
<file path=[Content_Types].xml><?xml version="1.0" encoding="utf-8"?>
<Types xmlns="http://schemas.openxmlformats.org/package/2006/content-types">
  <Default Extension="xml" ContentType="application/xml"/>
  <Default Extension="wmf" ContentType="image/x-wmf"/>
  <Default Extension="emf" ContentType="image/x-emf"/>
  <Default Extension="tiff" ContentType="image/tif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0B172DD">
      <w:pPr>
        <w:jc w:val="center"/>
        <w:rPr>
          <w:sz w:val="36"/>
          <w:szCs w:val="36"/>
        </w:rPr>
      </w:pPr>
      <w:r>
        <w:rPr>
          <w:sz w:val="36"/>
          <w:szCs w:val="36"/>
        </w:rPr>
        <w:t>Supplementary Information for</w:t>
      </w:r>
    </w:p>
    <w:p w14:paraId="12906C78"/>
    <w:p w14:paraId="499DE573">
      <w:pPr>
        <w:jc w:val="center"/>
        <w:rPr>
          <w:b/>
          <w:bCs/>
          <w:sz w:val="28"/>
          <w:szCs w:val="28"/>
        </w:rPr>
      </w:pPr>
      <w:r>
        <w:rPr>
          <w:b/>
          <w:bCs/>
          <w:sz w:val="28"/>
          <w:szCs w:val="28"/>
        </w:rPr>
        <w:cr/>
      </w:r>
      <w:r>
        <w:rPr>
          <w:b/>
          <w:bCs/>
          <w:sz w:val="28"/>
          <w:szCs w:val="28"/>
        </w:rPr>
        <w:t>Single-molecule neuromorphic device</w:t>
      </w:r>
    </w:p>
    <w:p w14:paraId="49784CE9">
      <w:pPr>
        <w:jc w:val="center"/>
        <w:rPr>
          <w:sz w:val="28"/>
          <w:szCs w:val="28"/>
        </w:rPr>
      </w:pPr>
    </w:p>
    <w:p w14:paraId="272B6235">
      <w:pPr>
        <w:jc w:val="both"/>
        <w:rPr>
          <w:szCs w:val="24"/>
        </w:rPr>
      </w:pPr>
      <w:r>
        <w:t>Hua Zhang</w:t>
      </w:r>
      <w:r>
        <w:rPr>
          <w:vertAlign w:val="superscript"/>
        </w:rPr>
        <w:t>1,2,3</w:t>
      </w:r>
      <w:r>
        <w:t>†, Jingyao Ye</w:t>
      </w:r>
      <w:r>
        <w:rPr>
          <w:vertAlign w:val="superscript"/>
        </w:rPr>
        <w:t>1</w:t>
      </w:r>
      <w:r>
        <w:t>†, Mingbin Gao</w:t>
      </w:r>
      <w:r>
        <w:rPr>
          <w:vertAlign w:val="superscript"/>
        </w:rPr>
        <w:t>1</w:t>
      </w:r>
      <w:r>
        <w:t>†, Chenshuai Yan</w:t>
      </w:r>
      <w:r>
        <w:rPr>
          <w:vertAlign w:val="superscript"/>
        </w:rPr>
        <w:t>1</w:t>
      </w:r>
      <w:r>
        <w:t>, Yiqiang Jiang</w:t>
      </w:r>
      <w:r>
        <w:rPr>
          <w:vertAlign w:val="superscript"/>
        </w:rPr>
        <w:t>1</w:t>
      </w:r>
      <w:r>
        <w:t>, Bei Zhang</w:t>
      </w:r>
      <w:r>
        <w:rPr>
          <w:vertAlign w:val="superscript"/>
        </w:rPr>
        <w:t>1</w:t>
      </w:r>
      <w:r>
        <w:t>, Yu Zhou</w:t>
      </w:r>
      <w:r>
        <w:rPr>
          <w:vertAlign w:val="superscript"/>
        </w:rPr>
        <w:t>1</w:t>
      </w:r>
      <w:r>
        <w:t>, Wansong Shang</w:t>
      </w:r>
      <w:r>
        <w:rPr>
          <w:vertAlign w:val="superscript"/>
        </w:rPr>
        <w:t>2,3</w:t>
      </w:r>
      <w:r>
        <w:t>, Liangliang Chen</w:t>
      </w:r>
      <w:r>
        <w:rPr>
          <w:vertAlign w:val="superscript"/>
        </w:rPr>
        <w:t>2,3</w:t>
      </w:r>
      <w:r>
        <w:t>, Jiayi Wu</w:t>
      </w:r>
      <w:r>
        <w:rPr>
          <w:vertAlign w:val="superscript"/>
        </w:rPr>
        <w:t>1</w:t>
      </w:r>
      <w:r>
        <w:t>, Wei Xu</w:t>
      </w:r>
      <w:r>
        <w:rPr>
          <w:vertAlign w:val="superscript"/>
        </w:rPr>
        <w:t>1</w:t>
      </w:r>
      <w:r>
        <w:t>, Xiaohui Li</w:t>
      </w:r>
      <w:r>
        <w:rPr>
          <w:vertAlign w:val="superscript"/>
        </w:rPr>
        <w:t>1</w:t>
      </w:r>
      <w:r>
        <w:t>, Jie Bai</w:t>
      </w:r>
      <w:r>
        <w:rPr>
          <w:vertAlign w:val="superscript"/>
        </w:rPr>
        <w:t>1</w:t>
      </w:r>
      <w:r>
        <w:t>, Jing Li</w:t>
      </w:r>
      <w:r>
        <w:rPr>
          <w:vertAlign w:val="superscript"/>
        </w:rPr>
        <w:t>1</w:t>
      </w:r>
      <w:r>
        <w:t>, Yanxi Zhang</w:t>
      </w:r>
      <w:r>
        <w:rPr>
          <w:vertAlign w:val="superscript"/>
        </w:rPr>
        <w:t>1</w:t>
      </w:r>
      <w:r>
        <w:t>, Guanxin Zhang</w:t>
      </w:r>
      <w:r>
        <w:rPr>
          <w:vertAlign w:val="superscript"/>
        </w:rPr>
        <w:t>2,3</w:t>
      </w:r>
      <w:r>
        <w:t>,</w:t>
      </w:r>
      <w:r>
        <w:rPr>
          <w:rFonts w:hint="eastAsia"/>
          <w:lang w:eastAsia="zh-CN"/>
        </w:rPr>
        <w:t xml:space="preserve"> </w:t>
      </w:r>
      <w:r>
        <w:rPr>
          <w:rFonts w:hint="eastAsia" w:eastAsia="宋体"/>
          <w:lang w:eastAsia="zh-CN"/>
        </w:rPr>
        <w:t>Zongyuan Xiao</w:t>
      </w:r>
      <w:r>
        <w:rPr>
          <w:vertAlign w:val="superscript"/>
        </w:rPr>
        <w:t>1</w:t>
      </w:r>
      <w:r>
        <w:rPr>
          <w:rFonts w:hint="eastAsia" w:eastAsia="宋体"/>
          <w:lang w:eastAsia="zh-CN"/>
        </w:rPr>
        <w:t>,</w:t>
      </w:r>
      <w:r>
        <w:t xml:space="preserve"> </w:t>
      </w:r>
      <w:r>
        <w:rPr>
          <w:rFonts w:hint="eastAsia" w:eastAsia="宋体"/>
          <w:lang w:eastAsia="zh-CN"/>
        </w:rPr>
        <w:t>Jia</w:t>
      </w:r>
      <w:r>
        <w:t xml:space="preserve"> </w:t>
      </w:r>
      <w:r>
        <w:rPr>
          <w:rFonts w:hint="eastAsia" w:eastAsia="宋体"/>
          <w:lang w:eastAsia="zh-CN"/>
        </w:rPr>
        <w:t>Shi</w:t>
      </w:r>
      <w:r>
        <w:rPr>
          <w:vertAlign w:val="superscript"/>
        </w:rPr>
        <w:t>1</w:t>
      </w:r>
      <w:r>
        <w:t>, Junyang Liu</w:t>
      </w:r>
      <w:r>
        <w:rPr>
          <w:vertAlign w:val="superscript"/>
        </w:rPr>
        <w:t>1</w:t>
      </w:r>
      <w:r>
        <w:t>*, Deqing Zhang</w:t>
      </w:r>
      <w:r>
        <w:rPr>
          <w:vertAlign w:val="superscript"/>
        </w:rPr>
        <w:t>2,3</w:t>
      </w:r>
      <w:r>
        <w:t>*, Wenjing Hong</w:t>
      </w:r>
      <w:r>
        <w:rPr>
          <w:vertAlign w:val="superscript"/>
        </w:rPr>
        <w:t>1</w:t>
      </w:r>
      <w:r>
        <w:t>*</w:t>
      </w:r>
    </w:p>
    <w:p w14:paraId="466363BF">
      <w:pPr>
        <w:jc w:val="center"/>
        <w:rPr>
          <w:szCs w:val="24"/>
        </w:rPr>
      </w:pPr>
    </w:p>
    <w:p w14:paraId="6DF65DB7">
      <w:pPr>
        <w:pStyle w:val="146"/>
        <w:ind w:firstLine="0"/>
        <w:jc w:val="both"/>
        <w:rPr>
          <w:rFonts w:eastAsiaTheme="minorEastAsia"/>
          <w:lang w:eastAsia="zh-CN"/>
        </w:rPr>
      </w:pPr>
      <w:r>
        <w:t>Corresponding author:</w:t>
      </w:r>
      <w:r>
        <w:rPr>
          <w:rFonts w:eastAsiaTheme="minorEastAsia"/>
          <w:lang w:eastAsia="zh-CN"/>
        </w:rPr>
        <w:t xml:space="preserve"> whong@xmu.edu.cn (W. Hong); dqzhang@iccas.ac.cn (D. Zhang); jyliu@xmu.edu.cn (J. Liu)</w:t>
      </w:r>
    </w:p>
    <w:p w14:paraId="1F7632B0">
      <w:pPr>
        <w:jc w:val="center"/>
        <w:rPr>
          <w:szCs w:val="24"/>
        </w:rPr>
      </w:pPr>
    </w:p>
    <w:p w14:paraId="1483517F">
      <w:pPr>
        <w:rPr>
          <w:lang w:eastAsia="zh-CN"/>
        </w:rPr>
      </w:pPr>
      <w:r>
        <w:rPr>
          <w:lang w:eastAsia="zh-CN"/>
        </w:rPr>
        <w:br w:type="page"/>
      </w:r>
    </w:p>
    <w:p w14:paraId="0CDA3A86">
      <w:pPr>
        <w:rPr>
          <w:lang w:eastAsia="zh-CN"/>
        </w:rPr>
      </w:pPr>
    </w:p>
    <w:p w14:paraId="2B03E1CD">
      <w:pPr>
        <w:spacing w:line="360" w:lineRule="auto"/>
        <w:jc w:val="center"/>
        <w:rPr>
          <w:b/>
          <w:bCs/>
          <w:sz w:val="28"/>
          <w:szCs w:val="28"/>
        </w:rPr>
      </w:pPr>
      <w:bookmarkStart w:id="0" w:name="_Hlk175824041"/>
      <w:r>
        <w:rPr>
          <w:b/>
          <w:bCs/>
          <w:sz w:val="28"/>
          <w:szCs w:val="28"/>
        </w:rPr>
        <w:t xml:space="preserve">Table of </w:t>
      </w:r>
      <w:r>
        <w:rPr>
          <w:rFonts w:hint="eastAsia"/>
          <w:b/>
          <w:bCs/>
          <w:sz w:val="28"/>
          <w:szCs w:val="28"/>
          <w:lang w:eastAsia="zh-CN"/>
        </w:rPr>
        <w:t>C</w:t>
      </w:r>
      <w:r>
        <w:rPr>
          <w:b/>
          <w:bCs/>
          <w:sz w:val="28"/>
          <w:szCs w:val="28"/>
        </w:rPr>
        <w:t>ontents</w:t>
      </w:r>
    </w:p>
    <w:p w14:paraId="4EFA3503">
      <w:pPr>
        <w:spacing w:line="360" w:lineRule="auto"/>
        <w:jc w:val="both"/>
        <w:rPr>
          <w:szCs w:val="24"/>
        </w:rPr>
      </w:pPr>
      <w:r>
        <w:rPr>
          <w:szCs w:val="24"/>
        </w:rPr>
        <w:t>S1. Materials and methods………………………………………………………………………...3</w:t>
      </w:r>
    </w:p>
    <w:p w14:paraId="6FD08F20">
      <w:pPr>
        <w:spacing w:line="360" w:lineRule="auto"/>
        <w:jc w:val="both"/>
        <w:rPr>
          <w:szCs w:val="24"/>
          <w:lang w:eastAsia="zh-CN"/>
        </w:rPr>
      </w:pPr>
      <w:r>
        <w:rPr>
          <w:szCs w:val="24"/>
        </w:rPr>
        <w:t xml:space="preserve">S2. Charge transport </w:t>
      </w:r>
      <w:r>
        <w:rPr>
          <w:rFonts w:hint="eastAsia"/>
          <w:szCs w:val="24"/>
          <w:lang w:eastAsia="zh-CN"/>
        </w:rPr>
        <w:t>c</w:t>
      </w:r>
      <w:r>
        <w:rPr>
          <w:szCs w:val="24"/>
        </w:rPr>
        <w:t>haracterizations………………………………………………………….....3</w:t>
      </w:r>
    </w:p>
    <w:p w14:paraId="2F0FB311">
      <w:pPr>
        <w:spacing w:line="360" w:lineRule="auto"/>
        <w:jc w:val="both"/>
        <w:rPr>
          <w:szCs w:val="24"/>
          <w:lang w:eastAsia="zh-CN"/>
        </w:rPr>
      </w:pPr>
      <w:r>
        <w:rPr>
          <w:szCs w:val="24"/>
        </w:rPr>
        <w:t>S3. Mimicking synaptic plasticity through a single-molecule device………………………..........</w:t>
      </w:r>
      <w:bookmarkStart w:id="1" w:name="OLE_LINK1"/>
      <w:r>
        <w:rPr>
          <w:szCs w:val="24"/>
        </w:rPr>
        <w:t>.</w:t>
      </w:r>
      <w:bookmarkEnd w:id="1"/>
      <w:r>
        <w:rPr>
          <w:rFonts w:hint="eastAsia"/>
          <w:szCs w:val="24"/>
          <w:lang w:eastAsia="zh-CN"/>
        </w:rPr>
        <w:t>9</w:t>
      </w:r>
    </w:p>
    <w:p w14:paraId="08555125">
      <w:pPr>
        <w:spacing w:line="360" w:lineRule="auto"/>
        <w:jc w:val="both"/>
        <w:rPr>
          <w:szCs w:val="24"/>
          <w:lang w:eastAsia="zh-CN"/>
        </w:rPr>
      </w:pPr>
      <w:r>
        <w:rPr>
          <w:szCs w:val="24"/>
        </w:rPr>
        <w:t>S4. Mechanism of neuromorphic devices constructed with a single molecule as the component...2</w:t>
      </w:r>
      <w:r>
        <w:rPr>
          <w:rFonts w:hint="eastAsia"/>
          <w:szCs w:val="24"/>
          <w:lang w:eastAsia="zh-CN"/>
        </w:rPr>
        <w:t>4</w:t>
      </w:r>
    </w:p>
    <w:p w14:paraId="4C16B43C">
      <w:pPr>
        <w:pStyle w:val="106"/>
        <w:jc w:val="both"/>
        <w:rPr>
          <w:szCs w:val="24"/>
          <w:lang w:eastAsia="zh-CN"/>
        </w:rPr>
      </w:pPr>
      <w:r>
        <w:rPr>
          <w:szCs w:val="24"/>
        </w:rPr>
        <w:t>S</w:t>
      </w:r>
      <w:r>
        <w:rPr>
          <w:rFonts w:hint="eastAsia"/>
          <w:szCs w:val="24"/>
          <w:lang w:eastAsia="zh-CN"/>
        </w:rPr>
        <w:t>5</w:t>
      </w:r>
      <w:r>
        <w:rPr>
          <w:szCs w:val="24"/>
        </w:rPr>
        <w:t xml:space="preserve">. </w:t>
      </w:r>
      <w:r>
        <w:rPr>
          <w:rFonts w:hint="eastAsia"/>
          <w:b/>
          <w:bCs/>
          <w:szCs w:val="24"/>
          <w:lang w:eastAsia="zh-CN"/>
        </w:rPr>
        <w:t>Movie S1</w:t>
      </w:r>
      <w:r>
        <w:rPr>
          <w:rFonts w:hint="eastAsia"/>
          <w:szCs w:val="24"/>
          <w:lang w:eastAsia="zh-CN"/>
        </w:rPr>
        <w:t xml:space="preserve">: </w:t>
      </w:r>
      <w:r>
        <w:rPr>
          <w:szCs w:val="24"/>
        </w:rPr>
        <w:t>Ion migration under bidirectional electric fields (</w:t>
      </w:r>
      <w:r>
        <w:rPr>
          <w:i/>
          <w:iCs/>
          <w:szCs w:val="24"/>
        </w:rPr>
        <w:t>X</w:t>
      </w:r>
      <w:r>
        <w:rPr>
          <w:szCs w:val="24"/>
        </w:rPr>
        <w:t>/</w:t>
      </w:r>
      <w:r>
        <w:rPr>
          <w:i/>
          <w:iCs/>
          <w:szCs w:val="24"/>
        </w:rPr>
        <w:t>Y</w:t>
      </w:r>
      <w:r>
        <w:rPr>
          <w:szCs w:val="24"/>
        </w:rPr>
        <w:t>-axes) simulated via non-equilibrium molecular dynamics.…………………………………………….………..................</w:t>
      </w:r>
      <w:r>
        <w:rPr>
          <w:rFonts w:hint="eastAsia"/>
          <w:szCs w:val="24"/>
          <w:lang w:eastAsia="zh-CN"/>
        </w:rPr>
        <w:t>31</w:t>
      </w:r>
    </w:p>
    <w:p w14:paraId="1E0D39B1">
      <w:pPr>
        <w:rPr>
          <w:szCs w:val="24"/>
          <w:u w:val="single"/>
          <w:lang w:eastAsia="zh-CN"/>
        </w:rPr>
      </w:pPr>
      <w:r>
        <w:rPr>
          <w:szCs w:val="24"/>
          <w:u w:val="single"/>
          <w:lang w:eastAsia="zh-CN"/>
        </w:rPr>
        <w:br w:type="page"/>
      </w:r>
    </w:p>
    <w:p w14:paraId="7C6AF13F">
      <w:pPr>
        <w:pStyle w:val="104"/>
        <w:spacing w:before="120" w:after="120"/>
        <w:rPr>
          <w:b/>
          <w:bCs/>
          <w:szCs w:val="24"/>
          <w:u w:val="none"/>
        </w:rPr>
      </w:pPr>
      <w:r>
        <w:rPr>
          <w:b/>
          <w:bCs/>
          <w:szCs w:val="24"/>
          <w:u w:val="none"/>
        </w:rPr>
        <w:t>S1. Materials and methods</w:t>
      </w:r>
    </w:p>
    <w:p w14:paraId="2DB5F5B3">
      <w:pPr>
        <w:spacing w:before="120" w:line="360" w:lineRule="auto"/>
        <w:jc w:val="center"/>
        <w:rPr>
          <w:color w:val="000000"/>
          <w:szCs w:val="24"/>
          <w:lang w:eastAsia="zh-CN"/>
        </w:rPr>
      </w:pPr>
      <w:r>
        <w:rPr>
          <w:szCs w:val="24"/>
        </w:rPr>
        <w:drawing>
          <wp:inline distT="0" distB="0" distL="0" distR="0">
            <wp:extent cx="5118100" cy="1822450"/>
            <wp:effectExtent l="0" t="0" r="6350" b="0"/>
            <wp:docPr id="18903327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32711"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118100" cy="1822450"/>
                    </a:xfrm>
                    <a:prstGeom prst="rect">
                      <a:avLst/>
                    </a:prstGeom>
                    <a:noFill/>
                    <a:ln>
                      <a:noFill/>
                    </a:ln>
                  </pic:spPr>
                </pic:pic>
              </a:graphicData>
            </a:graphic>
          </wp:inline>
        </w:drawing>
      </w:r>
    </w:p>
    <w:bookmarkEnd w:id="0"/>
    <w:p w14:paraId="389F9896">
      <w:pPr>
        <w:spacing w:before="120" w:after="240" w:line="360" w:lineRule="auto"/>
        <w:rPr>
          <w:b/>
          <w:bCs/>
          <w:color w:val="000000"/>
          <w:szCs w:val="24"/>
        </w:rPr>
      </w:pPr>
      <w:r>
        <w:rPr>
          <w:b/>
          <w:bCs/>
          <w:szCs w:val="24"/>
        </w:rPr>
        <w:t xml:space="preserve">Fig. S1 </w:t>
      </w:r>
      <w:r>
        <w:rPr>
          <w:b/>
          <w:bCs/>
          <w:color w:val="000000"/>
          <w:szCs w:val="24"/>
        </w:rPr>
        <w:t>Synthes</w:t>
      </w:r>
      <w:r>
        <w:rPr>
          <w:b/>
          <w:bCs/>
          <w:color w:val="000000"/>
          <w:szCs w:val="24"/>
          <w:lang w:eastAsia="zh-CN"/>
        </w:rPr>
        <w:t>e</w:t>
      </w:r>
      <w:r>
        <w:rPr>
          <w:b/>
          <w:bCs/>
          <w:color w:val="000000"/>
          <w:szCs w:val="24"/>
        </w:rPr>
        <w:t>s of MeO-TBT and Et-TBT.</w:t>
      </w:r>
    </w:p>
    <w:p w14:paraId="5DAD940C">
      <w:pPr>
        <w:spacing w:after="120"/>
        <w:rPr>
          <w:b/>
          <w:bCs/>
          <w:szCs w:val="24"/>
          <w:lang w:eastAsia="zh-CN"/>
        </w:rPr>
      </w:pPr>
      <w:r>
        <w:rPr>
          <w:b/>
          <w:bCs/>
          <w:szCs w:val="24"/>
        </w:rPr>
        <w:t>S2. Charge transport characterizations</w:t>
      </w:r>
    </w:p>
    <w:p w14:paraId="67157D3A">
      <w:pPr>
        <w:spacing w:after="240" w:afterLines="100" w:line="360" w:lineRule="auto"/>
        <w:jc w:val="center"/>
        <w:rPr>
          <w:szCs w:val="24"/>
        </w:rPr>
      </w:pPr>
      <w:r>
        <w:drawing>
          <wp:inline distT="0" distB="0" distL="0" distR="0">
            <wp:extent cx="5022850" cy="2305050"/>
            <wp:effectExtent l="0" t="0" r="6350" b="0"/>
            <wp:docPr id="2648203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20396" name="图片 3"/>
                    <pic:cNvPicPr>
                      <a:picLocks noChangeAspect="1" noChangeArrowheads="1"/>
                    </pic:cNvPicPr>
                  </pic:nvPicPr>
                  <pic:blipFill>
                    <a:blip r:embed="rId7">
                      <a:extLst>
                        <a:ext uri="{28A0092B-C50C-407E-A947-70E740481C1C}">
                          <a14:useLocalDpi xmlns:a14="http://schemas.microsoft.com/office/drawing/2010/main" val="0"/>
                        </a:ext>
                      </a:extLst>
                    </a:blip>
                    <a:srcRect l="6517" t="24644" r="8975" b="23646"/>
                    <a:stretch>
                      <a:fillRect/>
                    </a:stretch>
                  </pic:blipFill>
                  <pic:spPr>
                    <a:xfrm>
                      <a:off x="0" y="0"/>
                      <a:ext cx="5022850" cy="2305050"/>
                    </a:xfrm>
                    <a:prstGeom prst="rect">
                      <a:avLst/>
                    </a:prstGeom>
                    <a:noFill/>
                    <a:ln>
                      <a:noFill/>
                    </a:ln>
                  </pic:spPr>
                </pic:pic>
              </a:graphicData>
            </a:graphic>
          </wp:inline>
        </w:drawing>
      </w:r>
    </w:p>
    <w:p w14:paraId="3E72175A">
      <w:pPr>
        <w:spacing w:before="120"/>
        <w:jc w:val="both"/>
        <w:rPr>
          <w:szCs w:val="24"/>
          <w:lang w:eastAsia="zh-CN"/>
        </w:rPr>
      </w:pPr>
      <w:r>
        <w:rPr>
          <w:b/>
          <w:bCs/>
          <w:szCs w:val="24"/>
        </w:rPr>
        <w:t>Fig. S2 Physical diagram of</w:t>
      </w:r>
      <w:r>
        <w:rPr>
          <w:szCs w:val="24"/>
        </w:rPr>
        <w:t xml:space="preserve"> </w:t>
      </w:r>
      <w:r>
        <w:rPr>
          <w:b/>
          <w:bCs/>
          <w:szCs w:val="24"/>
        </w:rPr>
        <w:t xml:space="preserve">electrochemically gated scanning tunneling microscope break junction technique. </w:t>
      </w:r>
      <w:r>
        <w:rPr>
          <w:rFonts w:hint="eastAsia"/>
          <w:b/>
          <w:bCs/>
          <w:szCs w:val="24"/>
          <w:lang w:eastAsia="zh-CN"/>
        </w:rPr>
        <w:t>a</w:t>
      </w:r>
      <w:r>
        <w:rPr>
          <w:b/>
          <w:bCs/>
          <w:szCs w:val="24"/>
        </w:rPr>
        <w:t xml:space="preserve">, </w:t>
      </w:r>
      <w:r>
        <w:rPr>
          <w:szCs w:val="24"/>
        </w:rPr>
        <w:t>Ph</w:t>
      </w:r>
      <w:r>
        <w:rPr>
          <w:szCs w:val="24"/>
          <w:lang w:eastAsia="zh-CN"/>
        </w:rPr>
        <w:t>oto</w:t>
      </w:r>
      <w:r>
        <w:rPr>
          <w:szCs w:val="24"/>
        </w:rPr>
        <w:t xml:space="preserve"> of the test device. </w:t>
      </w:r>
      <w:r>
        <w:rPr>
          <w:rFonts w:hint="eastAsia"/>
          <w:b/>
          <w:bCs/>
          <w:szCs w:val="24"/>
          <w:lang w:eastAsia="zh-CN"/>
        </w:rPr>
        <w:t>b</w:t>
      </w:r>
      <w:r>
        <w:rPr>
          <w:b/>
          <w:bCs/>
          <w:szCs w:val="24"/>
        </w:rPr>
        <w:t xml:space="preserve">, </w:t>
      </w:r>
      <w:r>
        <w:rPr>
          <w:szCs w:val="24"/>
          <w:lang w:eastAsia="zh-CN"/>
        </w:rPr>
        <w:t>Photos</w:t>
      </w:r>
      <w:r>
        <w:rPr>
          <w:szCs w:val="24"/>
        </w:rPr>
        <w:t xml:space="preserve"> of a coated Au tip and a substrate electrode.</w:t>
      </w:r>
    </w:p>
    <w:p w14:paraId="39F6A625">
      <w:pPr>
        <w:spacing w:after="120" w:line="360" w:lineRule="auto"/>
        <w:jc w:val="center"/>
        <w:rPr>
          <w:szCs w:val="24"/>
          <w:lang w:eastAsia="zh-CN"/>
        </w:rPr>
      </w:pPr>
      <w:bookmarkStart w:id="2" w:name="_Hlk175601780"/>
      <w:r>
        <w:drawing>
          <wp:inline distT="0" distB="0" distL="0" distR="0">
            <wp:extent cx="5399405" cy="5443855"/>
            <wp:effectExtent l="0" t="0" r="0" b="4445"/>
            <wp:docPr id="19344519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51942" name="图片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400000" cy="5444423"/>
                    </a:xfrm>
                    <a:prstGeom prst="rect">
                      <a:avLst/>
                    </a:prstGeom>
                    <a:noFill/>
                    <a:ln>
                      <a:noFill/>
                    </a:ln>
                  </pic:spPr>
                </pic:pic>
              </a:graphicData>
            </a:graphic>
          </wp:inline>
        </w:drawing>
      </w:r>
    </w:p>
    <w:p w14:paraId="4650BA19">
      <w:pPr>
        <w:spacing w:before="120"/>
        <w:jc w:val="both"/>
        <w:rPr>
          <w:szCs w:val="24"/>
          <w:lang w:eastAsia="zh-CN"/>
        </w:rPr>
      </w:pPr>
      <w:bookmarkStart w:id="3" w:name="OLE_LINK11"/>
      <w:r>
        <w:rPr>
          <w:b/>
          <w:bCs/>
          <w:szCs w:val="24"/>
        </w:rPr>
        <w:t>Fig. S3</w:t>
      </w:r>
      <w:bookmarkEnd w:id="3"/>
      <w:r>
        <w:rPr>
          <w:b/>
          <w:bCs/>
          <w:szCs w:val="24"/>
        </w:rPr>
        <w:t xml:space="preserve"> Measurement of single molecule conductance of 0.5 mM MeO-TBT in propylene carbonate solution (PC) of 0.1 M tetrabutyl ammonium hexafluorophosphonate (TBAPF</w:t>
      </w:r>
      <w:r>
        <w:rPr>
          <w:b/>
          <w:bCs/>
          <w:szCs w:val="24"/>
          <w:vertAlign w:val="subscript"/>
        </w:rPr>
        <w:t>6</w:t>
      </w:r>
      <w:r>
        <w:rPr>
          <w:b/>
          <w:bCs/>
          <w:szCs w:val="24"/>
        </w:rPr>
        <w:t xml:space="preserve">) at the electrode potentials in non-Faraday region (gate voltage </w:t>
      </w:r>
      <w:r>
        <w:rPr>
          <w:b/>
          <w:bCs/>
          <w:i/>
          <w:iCs/>
          <w:szCs w:val="24"/>
        </w:rPr>
        <w:t>V</w:t>
      </w:r>
      <w:r>
        <w:rPr>
          <w:b/>
          <w:bCs/>
          <w:szCs w:val="24"/>
          <w:vertAlign w:val="subscript"/>
        </w:rPr>
        <w:t>G</w:t>
      </w:r>
      <w:r>
        <w:rPr>
          <w:b/>
          <w:bCs/>
          <w:szCs w:val="24"/>
        </w:rPr>
        <w:t xml:space="preserve"> = -0.4 V~0.5 V) under 0.1 V bias.</w:t>
      </w:r>
      <w:r>
        <w:rPr>
          <w:szCs w:val="24"/>
        </w:rPr>
        <w:t xml:space="preserve"> </w:t>
      </w:r>
      <w:r>
        <w:rPr>
          <w:rFonts w:hint="eastAsia"/>
          <w:b/>
          <w:bCs/>
          <w:szCs w:val="24"/>
          <w:lang w:eastAsia="zh-CN"/>
        </w:rPr>
        <w:t>a</w:t>
      </w:r>
      <w:r>
        <w:rPr>
          <w:b/>
          <w:bCs/>
          <w:szCs w:val="24"/>
        </w:rPr>
        <w:t>-</w:t>
      </w:r>
      <w:r>
        <w:rPr>
          <w:rFonts w:hint="eastAsia"/>
          <w:b/>
          <w:bCs/>
          <w:szCs w:val="24"/>
          <w:lang w:eastAsia="zh-CN"/>
        </w:rPr>
        <w:t>j</w:t>
      </w:r>
      <w:r>
        <w:rPr>
          <w:b/>
          <w:bCs/>
          <w:szCs w:val="24"/>
        </w:rPr>
        <w:t xml:space="preserve">, </w:t>
      </w:r>
      <w:r>
        <w:rPr>
          <w:szCs w:val="24"/>
        </w:rPr>
        <w:t xml:space="preserve">One-dimensional (1D) conductance histograms, two-dimensional (2D) conductance histograms (over 2000 </w:t>
      </w:r>
      <w:r>
        <w:rPr>
          <w:color w:val="222222"/>
          <w:szCs w:val="24"/>
          <w:shd w:val="clear" w:color="auto" w:fill="FFFFFF"/>
        </w:rPr>
        <w:t>traces</w:t>
      </w:r>
      <w:r>
        <w:rPr>
          <w:szCs w:val="24"/>
        </w:rPr>
        <w:t xml:space="preserve">) and relative displacement distributions (inset) of </w:t>
      </w:r>
      <w:r>
        <w:rPr>
          <w:b/>
          <w:bCs/>
          <w:szCs w:val="24"/>
        </w:rPr>
        <w:t>MeO-TBT</w:t>
      </w:r>
      <w:r>
        <w:rPr>
          <w:szCs w:val="24"/>
        </w:rPr>
        <w:t xml:space="preserve"> junctions at the electrode potential of -0.4 V~0.5 V (gate voltage </w:t>
      </w:r>
      <w:r>
        <w:rPr>
          <w:i/>
          <w:iCs/>
          <w:szCs w:val="24"/>
        </w:rPr>
        <w:t>V</w:t>
      </w:r>
      <w:r>
        <w:rPr>
          <w:szCs w:val="24"/>
          <w:vertAlign w:val="subscript"/>
        </w:rPr>
        <w:t>G</w:t>
      </w:r>
      <w:r>
        <w:rPr>
          <w:szCs w:val="24"/>
        </w:rPr>
        <w:t xml:space="preserve"> = -0.4 V~0.5 V) and at 0.1 V bias voltage.</w:t>
      </w:r>
    </w:p>
    <w:p w14:paraId="22003710">
      <w:pPr>
        <w:spacing w:line="360" w:lineRule="auto"/>
        <w:jc w:val="center"/>
        <w:rPr>
          <w:szCs w:val="24"/>
        </w:rPr>
      </w:pPr>
      <w:r>
        <w:rPr>
          <w:szCs w:val="24"/>
        </w:rPr>
        <w:drawing>
          <wp:inline distT="0" distB="0" distL="0" distR="0">
            <wp:extent cx="2159635" cy="2015490"/>
            <wp:effectExtent l="0" t="0" r="0" b="3810"/>
            <wp:docPr id="19299298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29807" name="图片 11"/>
                    <pic:cNvPicPr>
                      <a:picLocks noChangeAspect="1" noChangeArrowheads="1"/>
                    </pic:cNvPicPr>
                  </pic:nvPicPr>
                  <pic:blipFill>
                    <a:blip r:embed="rId9">
                      <a:extLst>
                        <a:ext uri="{28A0092B-C50C-407E-A947-70E740481C1C}">
                          <a14:useLocalDpi xmlns:a14="http://schemas.microsoft.com/office/drawing/2010/main" val="0"/>
                        </a:ext>
                      </a:extLst>
                    </a:blip>
                    <a:srcRect l="5054" t="8900" r="8926" b="2496"/>
                    <a:stretch>
                      <a:fillRect/>
                    </a:stretch>
                  </pic:blipFill>
                  <pic:spPr>
                    <a:xfrm>
                      <a:off x="0" y="0"/>
                      <a:ext cx="2160000" cy="2015819"/>
                    </a:xfrm>
                    <a:prstGeom prst="rect">
                      <a:avLst/>
                    </a:prstGeom>
                    <a:noFill/>
                    <a:ln>
                      <a:noFill/>
                    </a:ln>
                    <a:effectLst/>
                  </pic:spPr>
                </pic:pic>
              </a:graphicData>
            </a:graphic>
          </wp:inline>
        </w:drawing>
      </w:r>
    </w:p>
    <w:p w14:paraId="7D4D1C74">
      <w:pPr>
        <w:spacing w:before="120"/>
        <w:jc w:val="both"/>
        <w:rPr>
          <w:szCs w:val="24"/>
          <w:lang w:eastAsia="zh-CN"/>
        </w:rPr>
      </w:pPr>
      <w:r>
        <w:rPr>
          <w:b/>
          <w:bCs/>
          <w:color w:val="000000"/>
          <w:szCs w:val="24"/>
        </w:rPr>
        <w:t xml:space="preserve">Fig. S4 </w:t>
      </w:r>
      <w:r>
        <w:rPr>
          <w:b/>
          <w:bCs/>
          <w:szCs w:val="24"/>
        </w:rPr>
        <w:t>Non-Faradaic conductance variation.</w:t>
      </w:r>
      <w:r>
        <w:rPr>
          <w:szCs w:val="24"/>
        </w:rPr>
        <w:t xml:space="preserve"> Measurement of single molecule conductance of 0.5 mM </w:t>
      </w:r>
      <w:r>
        <w:rPr>
          <w:b/>
          <w:bCs/>
          <w:szCs w:val="24"/>
        </w:rPr>
        <w:t>MeO-TBT</w:t>
      </w:r>
      <w:r>
        <w:rPr>
          <w:szCs w:val="24"/>
        </w:rPr>
        <w:t xml:space="preserve"> in </w:t>
      </w:r>
      <w:r>
        <w:rPr>
          <w:szCs w:val="24"/>
          <w:lang w:eastAsia="zh-CN"/>
        </w:rPr>
        <w:t xml:space="preserve">PC </w:t>
      </w:r>
      <w:r>
        <w:rPr>
          <w:szCs w:val="24"/>
        </w:rPr>
        <w:t>solution of 0.1 M TBAPF</w:t>
      </w:r>
      <w:r>
        <w:rPr>
          <w:szCs w:val="24"/>
          <w:vertAlign w:val="subscript"/>
        </w:rPr>
        <w:t>6</w:t>
      </w:r>
      <w:r>
        <w:rPr>
          <w:szCs w:val="24"/>
        </w:rPr>
        <w:t xml:space="preserve"> at the electrode potentials in non-Faraday region (gate voltage </w:t>
      </w:r>
      <w:r>
        <w:rPr>
          <w:i/>
          <w:iCs/>
          <w:szCs w:val="24"/>
        </w:rPr>
        <w:t>V</w:t>
      </w:r>
      <w:r>
        <w:rPr>
          <w:szCs w:val="24"/>
          <w:vertAlign w:val="subscript"/>
        </w:rPr>
        <w:t>G</w:t>
      </w:r>
      <w:r>
        <w:rPr>
          <w:szCs w:val="24"/>
        </w:rPr>
        <w:t xml:space="preserve"> = -0.4 V~0.5 V) under 0.1 V bias. </w:t>
      </w:r>
    </w:p>
    <w:p w14:paraId="12497E76">
      <w:pPr>
        <w:spacing w:before="120"/>
        <w:jc w:val="both"/>
        <w:rPr>
          <w:szCs w:val="24"/>
          <w:lang w:eastAsia="zh-CN"/>
        </w:rPr>
      </w:pPr>
    </w:p>
    <w:p w14:paraId="28853322">
      <w:pPr>
        <w:spacing w:line="360" w:lineRule="auto"/>
        <w:jc w:val="center"/>
        <w:rPr>
          <w:szCs w:val="24"/>
        </w:rPr>
      </w:pPr>
      <w:r>
        <w:drawing>
          <wp:inline distT="0" distB="0" distL="0" distR="0">
            <wp:extent cx="4584700" cy="2758440"/>
            <wp:effectExtent l="0" t="0" r="6350" b="3810"/>
            <wp:docPr id="5820085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08578" name="图片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590812" cy="2761844"/>
                    </a:xfrm>
                    <a:prstGeom prst="rect">
                      <a:avLst/>
                    </a:prstGeom>
                    <a:noFill/>
                    <a:ln>
                      <a:noFill/>
                    </a:ln>
                  </pic:spPr>
                </pic:pic>
              </a:graphicData>
            </a:graphic>
          </wp:inline>
        </w:drawing>
      </w:r>
    </w:p>
    <w:p w14:paraId="19077705">
      <w:pPr>
        <w:spacing w:before="120"/>
        <w:jc w:val="both"/>
        <w:rPr>
          <w:szCs w:val="24"/>
        </w:rPr>
      </w:pPr>
      <w:r>
        <w:rPr>
          <w:b/>
          <w:bCs/>
          <w:szCs w:val="24"/>
        </w:rPr>
        <w:t xml:space="preserve">Fig. S5 The influence of electrolyte concentration, type, and solvent on the cyclic voltammetry test of MeO-TBT within the non-Faraday region. </w:t>
      </w:r>
      <w:r>
        <w:rPr>
          <w:rFonts w:hint="eastAsia"/>
          <w:b/>
          <w:bCs/>
          <w:szCs w:val="24"/>
          <w:lang w:eastAsia="zh-CN"/>
        </w:rPr>
        <w:t>a</w:t>
      </w:r>
      <w:r>
        <w:rPr>
          <w:b/>
          <w:bCs/>
          <w:szCs w:val="24"/>
        </w:rPr>
        <w:t>,</w:t>
      </w:r>
      <w:r>
        <w:rPr>
          <w:szCs w:val="24"/>
        </w:rPr>
        <w:t xml:space="preserve"> The cyclic voltammetry curve of 0.5 mM </w:t>
      </w:r>
      <w:r>
        <w:rPr>
          <w:b/>
          <w:bCs/>
          <w:szCs w:val="24"/>
        </w:rPr>
        <w:t>MeO-TBT</w:t>
      </w:r>
      <w:r>
        <w:rPr>
          <w:szCs w:val="24"/>
        </w:rPr>
        <w:t xml:space="preserve"> in PC of 0.1 M TBAPF</w:t>
      </w:r>
      <w:r>
        <w:rPr>
          <w:szCs w:val="24"/>
          <w:vertAlign w:val="subscript"/>
        </w:rPr>
        <w:t>6</w:t>
      </w:r>
      <w:r>
        <w:rPr>
          <w:szCs w:val="24"/>
        </w:rPr>
        <w:t xml:space="preserve"> at the electrode potentials in non-Faraday region (gate voltage </w:t>
      </w:r>
      <w:r>
        <w:rPr>
          <w:i/>
          <w:iCs/>
          <w:szCs w:val="24"/>
        </w:rPr>
        <w:t>V</w:t>
      </w:r>
      <w:r>
        <w:rPr>
          <w:szCs w:val="24"/>
          <w:vertAlign w:val="subscript"/>
        </w:rPr>
        <w:t>G</w:t>
      </w:r>
      <w:r>
        <w:rPr>
          <w:szCs w:val="24"/>
        </w:rPr>
        <w:t xml:space="preserve"> = </w:t>
      </w:r>
      <w:r>
        <w:rPr>
          <w:color w:val="000000"/>
          <w:szCs w:val="24"/>
          <w:lang w:eastAsia="zh-CN"/>
        </w:rPr>
        <w:t>–</w:t>
      </w:r>
      <w:r>
        <w:rPr>
          <w:szCs w:val="24"/>
        </w:rPr>
        <w:t xml:space="preserve">0.4~0.5 V). </w:t>
      </w:r>
      <w:r>
        <w:rPr>
          <w:rFonts w:hint="eastAsia"/>
          <w:b/>
          <w:bCs/>
          <w:szCs w:val="24"/>
          <w:lang w:eastAsia="zh-CN"/>
        </w:rPr>
        <w:t>b</w:t>
      </w:r>
      <w:r>
        <w:rPr>
          <w:b/>
          <w:bCs/>
          <w:szCs w:val="24"/>
        </w:rPr>
        <w:t xml:space="preserve">, </w:t>
      </w:r>
      <w:r>
        <w:rPr>
          <w:szCs w:val="24"/>
        </w:rPr>
        <w:t xml:space="preserve">The cyclic voltammetry curve of 0.5 mM </w:t>
      </w:r>
      <w:r>
        <w:rPr>
          <w:b/>
          <w:bCs/>
          <w:szCs w:val="24"/>
        </w:rPr>
        <w:t>MeO-TBT</w:t>
      </w:r>
      <w:r>
        <w:rPr>
          <w:szCs w:val="24"/>
        </w:rPr>
        <w:t xml:space="preserve"> in PC of 0.2 M TBAPF</w:t>
      </w:r>
      <w:r>
        <w:rPr>
          <w:szCs w:val="24"/>
          <w:vertAlign w:val="subscript"/>
        </w:rPr>
        <w:t>6</w:t>
      </w:r>
      <w:r>
        <w:rPr>
          <w:szCs w:val="24"/>
        </w:rPr>
        <w:t xml:space="preserve"> at the electrode potentials in non-Faraday region (gate voltage </w:t>
      </w:r>
      <w:r>
        <w:rPr>
          <w:i/>
          <w:iCs/>
          <w:szCs w:val="24"/>
        </w:rPr>
        <w:t>V</w:t>
      </w:r>
      <w:r>
        <w:rPr>
          <w:szCs w:val="24"/>
          <w:vertAlign w:val="subscript"/>
        </w:rPr>
        <w:t>G</w:t>
      </w:r>
      <w:r>
        <w:rPr>
          <w:szCs w:val="24"/>
        </w:rPr>
        <w:t xml:space="preserve"> = </w:t>
      </w:r>
      <w:r>
        <w:rPr>
          <w:color w:val="000000"/>
          <w:szCs w:val="24"/>
          <w:lang w:eastAsia="zh-CN"/>
        </w:rPr>
        <w:t>–</w:t>
      </w:r>
      <w:r>
        <w:rPr>
          <w:szCs w:val="24"/>
        </w:rPr>
        <w:t>0.4~0.5 V).</w:t>
      </w:r>
      <w:r>
        <w:rPr>
          <w:b/>
          <w:bCs/>
          <w:szCs w:val="24"/>
        </w:rPr>
        <w:t xml:space="preserve"> </w:t>
      </w:r>
      <w:r>
        <w:rPr>
          <w:rFonts w:hint="eastAsia"/>
          <w:b/>
          <w:bCs/>
          <w:szCs w:val="24"/>
          <w:lang w:eastAsia="zh-CN"/>
        </w:rPr>
        <w:t>c</w:t>
      </w:r>
      <w:r>
        <w:rPr>
          <w:b/>
          <w:bCs/>
          <w:szCs w:val="24"/>
        </w:rPr>
        <w:t xml:space="preserve">, </w:t>
      </w:r>
      <w:r>
        <w:rPr>
          <w:szCs w:val="24"/>
        </w:rPr>
        <w:t xml:space="preserve">The cyclic voltammetry curve of </w:t>
      </w:r>
      <w:r>
        <w:rPr>
          <w:b/>
          <w:bCs/>
          <w:szCs w:val="24"/>
        </w:rPr>
        <w:t>MeO-TBT</w:t>
      </w:r>
      <w:r>
        <w:rPr>
          <w:szCs w:val="24"/>
        </w:rPr>
        <w:t xml:space="preserve"> in PC of 0.2 M tetrabutylammonium tetrafluoroborate at the electrode potentials in non-Faraday region (gate voltage </w:t>
      </w:r>
      <w:r>
        <w:rPr>
          <w:i/>
          <w:iCs/>
          <w:szCs w:val="24"/>
        </w:rPr>
        <w:t>V</w:t>
      </w:r>
      <w:r>
        <w:rPr>
          <w:szCs w:val="24"/>
          <w:vertAlign w:val="subscript"/>
        </w:rPr>
        <w:t>G</w:t>
      </w:r>
      <w:r>
        <w:rPr>
          <w:szCs w:val="24"/>
        </w:rPr>
        <w:t xml:space="preserve"> = </w:t>
      </w:r>
      <w:r>
        <w:rPr>
          <w:color w:val="000000"/>
          <w:szCs w:val="24"/>
          <w:lang w:eastAsia="zh-CN"/>
        </w:rPr>
        <w:t>–</w:t>
      </w:r>
      <w:r>
        <w:rPr>
          <w:szCs w:val="24"/>
        </w:rPr>
        <w:t>0.4~0.5 V).</w:t>
      </w:r>
      <w:r>
        <w:rPr>
          <w:b/>
          <w:bCs/>
          <w:szCs w:val="24"/>
        </w:rPr>
        <w:t xml:space="preserve"> </w:t>
      </w:r>
      <w:r>
        <w:rPr>
          <w:rFonts w:hint="eastAsia"/>
          <w:b/>
          <w:bCs/>
          <w:szCs w:val="24"/>
          <w:lang w:eastAsia="zh-CN"/>
        </w:rPr>
        <w:t>d</w:t>
      </w:r>
      <w:r>
        <w:rPr>
          <w:b/>
          <w:bCs/>
          <w:szCs w:val="24"/>
        </w:rPr>
        <w:t xml:space="preserve">, </w:t>
      </w:r>
      <w:r>
        <w:rPr>
          <w:szCs w:val="24"/>
        </w:rPr>
        <w:t xml:space="preserve">The cyclic voltammetry curve of </w:t>
      </w:r>
      <w:r>
        <w:rPr>
          <w:b/>
          <w:bCs/>
          <w:szCs w:val="24"/>
        </w:rPr>
        <w:t>MeO-TBT</w:t>
      </w:r>
      <w:r>
        <w:rPr>
          <w:szCs w:val="24"/>
        </w:rPr>
        <w:t xml:space="preserve"> in PC of 0.2 M bistrifluoromethanesulfonimide lithium salt at the electrode potentials in non-Faraday region (gate voltage </w:t>
      </w:r>
      <w:r>
        <w:rPr>
          <w:i/>
          <w:iCs/>
          <w:szCs w:val="24"/>
        </w:rPr>
        <w:t>V</w:t>
      </w:r>
      <w:r>
        <w:rPr>
          <w:szCs w:val="24"/>
          <w:vertAlign w:val="subscript"/>
        </w:rPr>
        <w:t>G</w:t>
      </w:r>
      <w:r>
        <w:rPr>
          <w:szCs w:val="24"/>
        </w:rPr>
        <w:t xml:space="preserve"> = </w:t>
      </w:r>
      <w:r>
        <w:rPr>
          <w:color w:val="000000"/>
          <w:szCs w:val="24"/>
          <w:lang w:eastAsia="zh-CN"/>
        </w:rPr>
        <w:t>–</w:t>
      </w:r>
      <w:r>
        <w:rPr>
          <w:szCs w:val="24"/>
        </w:rPr>
        <w:t>0.4~0.5 V).</w:t>
      </w:r>
      <w:r>
        <w:rPr>
          <w:b/>
          <w:bCs/>
          <w:szCs w:val="24"/>
        </w:rPr>
        <w:t xml:space="preserve"> </w:t>
      </w:r>
      <w:r>
        <w:rPr>
          <w:rFonts w:hint="eastAsia"/>
          <w:b/>
          <w:bCs/>
          <w:szCs w:val="24"/>
          <w:lang w:eastAsia="zh-CN"/>
        </w:rPr>
        <w:t>e</w:t>
      </w:r>
      <w:r>
        <w:rPr>
          <w:b/>
          <w:bCs/>
          <w:szCs w:val="24"/>
        </w:rPr>
        <w:t xml:space="preserve">, </w:t>
      </w:r>
      <w:r>
        <w:rPr>
          <w:szCs w:val="24"/>
        </w:rPr>
        <w:t xml:space="preserve">The cyclic voltammetry curve of 0.5 mM </w:t>
      </w:r>
      <w:r>
        <w:rPr>
          <w:b/>
          <w:bCs/>
          <w:szCs w:val="24"/>
        </w:rPr>
        <w:t>MeO-TBT</w:t>
      </w:r>
      <w:r>
        <w:rPr>
          <w:szCs w:val="24"/>
        </w:rPr>
        <w:t xml:space="preserve"> in 1-hexyl-3-methylimidazolium hexafluorophosphate at the electrode potentials in non-Faraday region (gate voltage </w:t>
      </w:r>
      <w:r>
        <w:rPr>
          <w:i/>
          <w:iCs/>
          <w:szCs w:val="24"/>
        </w:rPr>
        <w:t>V</w:t>
      </w:r>
      <w:r>
        <w:rPr>
          <w:szCs w:val="24"/>
          <w:vertAlign w:val="subscript"/>
        </w:rPr>
        <w:t>G</w:t>
      </w:r>
      <w:r>
        <w:rPr>
          <w:szCs w:val="24"/>
        </w:rPr>
        <w:t xml:space="preserve"> = </w:t>
      </w:r>
      <w:r>
        <w:rPr>
          <w:color w:val="000000"/>
          <w:szCs w:val="24"/>
          <w:lang w:eastAsia="zh-CN"/>
        </w:rPr>
        <w:t>–</w:t>
      </w:r>
      <w:r>
        <w:rPr>
          <w:szCs w:val="24"/>
        </w:rPr>
        <w:t xml:space="preserve">0.4~0.5 V). </w:t>
      </w:r>
      <w:r>
        <w:rPr>
          <w:rFonts w:hint="eastAsia"/>
          <w:b/>
          <w:bCs/>
          <w:szCs w:val="24"/>
          <w:lang w:eastAsia="zh-CN"/>
        </w:rPr>
        <w:t>f</w:t>
      </w:r>
      <w:r>
        <w:rPr>
          <w:b/>
          <w:bCs/>
          <w:szCs w:val="24"/>
        </w:rPr>
        <w:t xml:space="preserve">, </w:t>
      </w:r>
      <w:r>
        <w:rPr>
          <w:szCs w:val="24"/>
        </w:rPr>
        <w:t xml:space="preserve">0.5 mM </w:t>
      </w:r>
      <w:r>
        <w:rPr>
          <w:b/>
          <w:bCs/>
          <w:szCs w:val="24"/>
        </w:rPr>
        <w:t>MeO-TBT</w:t>
      </w:r>
      <w:r>
        <w:rPr>
          <w:szCs w:val="24"/>
        </w:rPr>
        <w:t xml:space="preserve"> in acetonitrile solution of 0.2 M TBAPF</w:t>
      </w:r>
      <w:r>
        <w:rPr>
          <w:szCs w:val="24"/>
          <w:vertAlign w:val="subscript"/>
        </w:rPr>
        <w:t>6</w:t>
      </w:r>
      <w:r>
        <w:rPr>
          <w:szCs w:val="24"/>
        </w:rPr>
        <w:t xml:space="preserve"> at the electrode potentials in non-Faraday region (gate voltage </w:t>
      </w:r>
      <w:r>
        <w:rPr>
          <w:i/>
          <w:iCs/>
          <w:szCs w:val="24"/>
        </w:rPr>
        <w:t>V</w:t>
      </w:r>
      <w:r>
        <w:rPr>
          <w:szCs w:val="24"/>
          <w:vertAlign w:val="subscript"/>
        </w:rPr>
        <w:t>G</w:t>
      </w:r>
      <w:r>
        <w:rPr>
          <w:szCs w:val="24"/>
        </w:rPr>
        <w:t xml:space="preserve"> = </w:t>
      </w:r>
      <w:r>
        <w:rPr>
          <w:color w:val="000000"/>
          <w:szCs w:val="24"/>
          <w:lang w:eastAsia="zh-CN"/>
        </w:rPr>
        <w:t>–</w:t>
      </w:r>
      <w:r>
        <w:rPr>
          <w:szCs w:val="24"/>
        </w:rPr>
        <w:t>0.4~0.2 V).</w:t>
      </w:r>
    </w:p>
    <w:p w14:paraId="4E6DC239">
      <w:pPr>
        <w:rPr>
          <w:szCs w:val="24"/>
          <w:lang w:eastAsia="zh-CN"/>
        </w:rPr>
      </w:pPr>
    </w:p>
    <w:p w14:paraId="63C0E284">
      <w:pPr>
        <w:spacing w:line="360" w:lineRule="auto"/>
        <w:jc w:val="center"/>
        <w:rPr>
          <w:b/>
          <w:szCs w:val="24"/>
        </w:rPr>
      </w:pPr>
      <w:r>
        <w:rPr>
          <w:szCs w:val="24"/>
        </w:rPr>
        <w:drawing>
          <wp:inline distT="0" distB="0" distL="0" distR="0">
            <wp:extent cx="2519680" cy="2258060"/>
            <wp:effectExtent l="0" t="0" r="0" b="8890"/>
            <wp:docPr id="1874486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8629" name="图片 9"/>
                    <pic:cNvPicPr>
                      <a:picLocks noChangeAspect="1" noChangeArrowheads="1"/>
                    </pic:cNvPicPr>
                  </pic:nvPicPr>
                  <pic:blipFill>
                    <a:blip r:embed="rId11">
                      <a:extLst>
                        <a:ext uri="{28A0092B-C50C-407E-A947-70E740481C1C}">
                          <a14:useLocalDpi xmlns:a14="http://schemas.microsoft.com/office/drawing/2010/main" val="0"/>
                        </a:ext>
                      </a:extLst>
                    </a:blip>
                    <a:srcRect t="10362" r="6973" b="3497"/>
                    <a:stretch>
                      <a:fillRect/>
                    </a:stretch>
                  </pic:blipFill>
                  <pic:spPr>
                    <a:xfrm>
                      <a:off x="0" y="0"/>
                      <a:ext cx="2520000" cy="2258605"/>
                    </a:xfrm>
                    <a:prstGeom prst="rect">
                      <a:avLst/>
                    </a:prstGeom>
                    <a:noFill/>
                    <a:ln>
                      <a:noFill/>
                    </a:ln>
                  </pic:spPr>
                </pic:pic>
              </a:graphicData>
            </a:graphic>
          </wp:inline>
        </w:drawing>
      </w:r>
    </w:p>
    <w:p w14:paraId="79BECBAC">
      <w:pPr>
        <w:spacing w:before="120"/>
        <w:jc w:val="both"/>
        <w:rPr>
          <w:b/>
          <w:bCs/>
          <w:szCs w:val="24"/>
        </w:rPr>
      </w:pPr>
      <w:r>
        <w:rPr>
          <w:b/>
          <w:bCs/>
          <w:szCs w:val="24"/>
        </w:rPr>
        <w:t xml:space="preserve">Fig. S6 The </w:t>
      </w:r>
      <w:r>
        <w:rPr>
          <w:b/>
          <w:bCs/>
          <w:szCs w:val="24"/>
          <w:lang w:eastAsia="zh-CN"/>
        </w:rPr>
        <w:t>c</w:t>
      </w:r>
      <w:r>
        <w:rPr>
          <w:b/>
          <w:bCs/>
          <w:szCs w:val="24"/>
        </w:rPr>
        <w:t xml:space="preserve">yclic voltammetry curve of 0.5 mM MeO-TBT in PC of 0.05 M </w:t>
      </w:r>
      <w:r>
        <w:rPr>
          <w:b/>
          <w:bCs/>
          <w:szCs w:val="24"/>
          <w:lang w:eastAsia="zh-CN"/>
        </w:rPr>
        <w:t>TBAPF</w:t>
      </w:r>
      <w:r>
        <w:rPr>
          <w:b/>
          <w:bCs/>
          <w:szCs w:val="24"/>
          <w:vertAlign w:val="subscript"/>
          <w:lang w:eastAsia="zh-CN"/>
        </w:rPr>
        <w:t>6</w:t>
      </w:r>
      <w:r>
        <w:rPr>
          <w:b/>
          <w:bCs/>
          <w:szCs w:val="24"/>
        </w:rPr>
        <w:t xml:space="preserve"> at the electrode potentials in non-Farada</w:t>
      </w:r>
      <w:r>
        <w:rPr>
          <w:b/>
          <w:bCs/>
          <w:szCs w:val="24"/>
          <w:lang w:eastAsia="zh-CN"/>
        </w:rPr>
        <w:t>ic</w:t>
      </w:r>
      <w:r>
        <w:rPr>
          <w:b/>
          <w:bCs/>
          <w:szCs w:val="24"/>
        </w:rPr>
        <w:t xml:space="preserve"> region (gate voltage </w:t>
      </w:r>
      <w:r>
        <w:rPr>
          <w:b/>
          <w:bCs/>
          <w:i/>
          <w:iCs/>
          <w:szCs w:val="24"/>
        </w:rPr>
        <w:t>V</w:t>
      </w:r>
      <w:r>
        <w:rPr>
          <w:b/>
          <w:bCs/>
          <w:szCs w:val="24"/>
          <w:vertAlign w:val="subscript"/>
        </w:rPr>
        <w:t>G</w:t>
      </w:r>
      <w:r>
        <w:rPr>
          <w:b/>
          <w:bCs/>
          <w:szCs w:val="24"/>
        </w:rPr>
        <w:t xml:space="preserve"> = </w:t>
      </w:r>
      <w:r>
        <w:rPr>
          <w:b/>
          <w:bCs/>
          <w:color w:val="000000"/>
          <w:szCs w:val="24"/>
          <w:lang w:eastAsia="zh-CN"/>
        </w:rPr>
        <w:t>–</w:t>
      </w:r>
      <w:r>
        <w:rPr>
          <w:b/>
          <w:bCs/>
          <w:szCs w:val="24"/>
        </w:rPr>
        <w:t>0.4~0.5 V).</w:t>
      </w:r>
    </w:p>
    <w:p w14:paraId="27989101">
      <w:pPr>
        <w:rPr>
          <w:b/>
          <w:bCs/>
          <w:szCs w:val="24"/>
          <w:lang w:eastAsia="zh-CN"/>
        </w:rPr>
      </w:pPr>
    </w:p>
    <w:p w14:paraId="22FF8F3C">
      <w:pPr>
        <w:spacing w:after="120" w:line="360" w:lineRule="auto"/>
        <w:ind w:firstLine="480" w:firstLineChars="200"/>
        <w:jc w:val="center"/>
        <w:rPr>
          <w:szCs w:val="24"/>
        </w:rPr>
      </w:pPr>
      <w:r>
        <w:rPr>
          <w:szCs w:val="24"/>
        </w:rPr>
        <w:drawing>
          <wp:inline distT="0" distB="0" distL="0" distR="0">
            <wp:extent cx="2519680" cy="2526030"/>
            <wp:effectExtent l="0" t="0" r="0" b="7620"/>
            <wp:docPr id="3252290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29092" name="图片 8"/>
                    <pic:cNvPicPr>
                      <a:picLocks noChangeAspect="1" noChangeArrowheads="1"/>
                    </pic:cNvPicPr>
                  </pic:nvPicPr>
                  <pic:blipFill>
                    <a:blip r:embed="rId12">
                      <a:extLst>
                        <a:ext uri="{28A0092B-C50C-407E-A947-70E740481C1C}">
                          <a14:useLocalDpi xmlns:a14="http://schemas.microsoft.com/office/drawing/2010/main" val="0"/>
                        </a:ext>
                      </a:extLst>
                    </a:blip>
                    <a:srcRect l="22136" t="9785" r="33350" b="30702"/>
                    <a:stretch>
                      <a:fillRect/>
                    </a:stretch>
                  </pic:blipFill>
                  <pic:spPr>
                    <a:xfrm>
                      <a:off x="0" y="0"/>
                      <a:ext cx="2520000" cy="2526654"/>
                    </a:xfrm>
                    <a:prstGeom prst="rect">
                      <a:avLst/>
                    </a:prstGeom>
                    <a:noFill/>
                    <a:ln>
                      <a:noFill/>
                    </a:ln>
                  </pic:spPr>
                </pic:pic>
              </a:graphicData>
            </a:graphic>
          </wp:inline>
        </w:drawing>
      </w:r>
    </w:p>
    <w:p w14:paraId="4126A94B">
      <w:pPr>
        <w:spacing w:before="120"/>
        <w:jc w:val="both"/>
        <w:rPr>
          <w:b/>
          <w:bCs/>
          <w:szCs w:val="24"/>
        </w:rPr>
      </w:pPr>
      <w:r>
        <w:rPr>
          <w:rFonts w:eastAsia="楷体"/>
          <w:b/>
          <w:bCs/>
          <w:szCs w:val="24"/>
        </w:rPr>
        <w:t xml:space="preserve">Fig. S7 </w:t>
      </w:r>
      <w:r>
        <w:rPr>
          <w:b/>
          <w:bCs/>
          <w:szCs w:val="24"/>
        </w:rPr>
        <w:t>Statistical transfer characteristic (</w:t>
      </w:r>
      <w:r>
        <w:rPr>
          <w:b/>
          <w:bCs/>
          <w:i/>
          <w:iCs/>
          <w:szCs w:val="24"/>
        </w:rPr>
        <w:t>I</w:t>
      </w:r>
      <w:r>
        <w:rPr>
          <w:b/>
          <w:bCs/>
          <w:szCs w:val="24"/>
        </w:rPr>
        <w:t>-</w:t>
      </w:r>
      <w:r>
        <w:rPr>
          <w:b/>
          <w:bCs/>
          <w:i/>
          <w:iCs/>
          <w:szCs w:val="24"/>
        </w:rPr>
        <w:t>V</w:t>
      </w:r>
      <w:r>
        <w:rPr>
          <w:b/>
          <w:bCs/>
          <w:szCs w:val="24"/>
          <w:vertAlign w:val="subscript"/>
        </w:rPr>
        <w:t>G</w:t>
      </w:r>
      <w:r>
        <w:rPr>
          <w:b/>
          <w:bCs/>
          <w:szCs w:val="24"/>
        </w:rPr>
        <w:t xml:space="preserve">) curves (991 </w:t>
      </w:r>
      <w:r>
        <w:rPr>
          <w:b/>
          <w:bCs/>
          <w:color w:val="222222"/>
          <w:szCs w:val="24"/>
          <w:shd w:val="clear" w:color="auto" w:fill="FFFFFF"/>
        </w:rPr>
        <w:t>traces</w:t>
      </w:r>
      <w:r>
        <w:rPr>
          <w:b/>
          <w:bCs/>
          <w:szCs w:val="24"/>
        </w:rPr>
        <w:t>) illustrate both forward and reverse scans, and fitting curves (depicted in the inset) for single-molecule transistors utilizing 0.5 mM MeO-TBT in PC solution of 0.2 M TBAPF</w:t>
      </w:r>
      <w:r>
        <w:rPr>
          <w:b/>
          <w:bCs/>
          <w:szCs w:val="24"/>
          <w:vertAlign w:val="subscript"/>
        </w:rPr>
        <w:t>6</w:t>
      </w:r>
      <w:r>
        <w:rPr>
          <w:b/>
          <w:bCs/>
          <w:szCs w:val="24"/>
        </w:rPr>
        <w:t xml:space="preserve"> at the electrode potentials (gate voltage </w:t>
      </w:r>
      <w:r>
        <w:rPr>
          <w:b/>
          <w:bCs/>
          <w:i/>
          <w:iCs/>
          <w:szCs w:val="24"/>
        </w:rPr>
        <w:t>V</w:t>
      </w:r>
      <w:r>
        <w:rPr>
          <w:b/>
          <w:bCs/>
          <w:szCs w:val="24"/>
          <w:vertAlign w:val="subscript"/>
        </w:rPr>
        <w:t>G</w:t>
      </w:r>
      <w:r>
        <w:rPr>
          <w:b/>
          <w:bCs/>
          <w:szCs w:val="24"/>
        </w:rPr>
        <w:t xml:space="preserve"> = </w:t>
      </w:r>
      <w:r>
        <w:rPr>
          <w:b/>
          <w:bCs/>
          <w:color w:val="000000"/>
          <w:szCs w:val="24"/>
          <w:lang w:eastAsia="zh-CN"/>
        </w:rPr>
        <w:t>–</w:t>
      </w:r>
      <w:r>
        <w:rPr>
          <w:b/>
          <w:bCs/>
          <w:szCs w:val="24"/>
        </w:rPr>
        <w:t>0.4~0.5 V) in non-Farada</w:t>
      </w:r>
      <w:r>
        <w:rPr>
          <w:b/>
          <w:bCs/>
          <w:szCs w:val="24"/>
          <w:lang w:eastAsia="zh-CN"/>
        </w:rPr>
        <w:t>ic</w:t>
      </w:r>
      <w:r>
        <w:rPr>
          <w:b/>
          <w:bCs/>
          <w:szCs w:val="24"/>
        </w:rPr>
        <w:t xml:space="preserve"> region under 0.1 V bias. </w:t>
      </w:r>
    </w:p>
    <w:p w14:paraId="03397A71">
      <w:pPr>
        <w:rPr>
          <w:b/>
          <w:bCs/>
          <w:szCs w:val="24"/>
        </w:rPr>
      </w:pPr>
    </w:p>
    <w:p w14:paraId="4F1AEC82">
      <w:pPr>
        <w:spacing w:line="360" w:lineRule="auto"/>
        <w:jc w:val="center"/>
        <w:rPr>
          <w:szCs w:val="24"/>
        </w:rPr>
      </w:pPr>
      <w:r>
        <w:drawing>
          <wp:inline distT="0" distB="0" distL="0" distR="0">
            <wp:extent cx="5039995" cy="3101340"/>
            <wp:effectExtent l="0" t="0" r="8255" b="3810"/>
            <wp:docPr id="19075413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41359" name="图片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040000" cy="3101539"/>
                    </a:xfrm>
                    <a:prstGeom prst="rect">
                      <a:avLst/>
                    </a:prstGeom>
                    <a:noFill/>
                    <a:ln>
                      <a:noFill/>
                    </a:ln>
                  </pic:spPr>
                </pic:pic>
              </a:graphicData>
            </a:graphic>
          </wp:inline>
        </w:drawing>
      </w:r>
    </w:p>
    <w:p w14:paraId="56F01E8E">
      <w:pPr>
        <w:spacing w:before="120"/>
        <w:jc w:val="both"/>
        <w:rPr>
          <w:szCs w:val="24"/>
        </w:rPr>
      </w:pPr>
      <w:r>
        <w:rPr>
          <w:rFonts w:eastAsia="楷体"/>
          <w:b/>
          <w:bCs/>
          <w:szCs w:val="24"/>
        </w:rPr>
        <w:t xml:space="preserve">Fig. S8 </w:t>
      </w:r>
      <w:r>
        <w:rPr>
          <w:b/>
          <w:bCs/>
          <w:szCs w:val="24"/>
        </w:rPr>
        <w:t>Single-molecule electrochemical transistor based on MeO-TBT with intramolecular O-S noncovalent interaction.</w:t>
      </w:r>
      <w:r>
        <w:rPr>
          <w:szCs w:val="24"/>
        </w:rPr>
        <w:t xml:space="preserve"> </w:t>
      </w:r>
      <w:r>
        <w:rPr>
          <w:rFonts w:hint="eastAsia"/>
          <w:b/>
          <w:bCs/>
          <w:szCs w:val="24"/>
          <w:lang w:eastAsia="zh-CN"/>
        </w:rPr>
        <w:t>a</w:t>
      </w:r>
      <w:r>
        <w:rPr>
          <w:b/>
          <w:bCs/>
          <w:szCs w:val="24"/>
        </w:rPr>
        <w:t xml:space="preserve">, </w:t>
      </w:r>
      <w:r>
        <w:rPr>
          <w:rFonts w:hint="eastAsia"/>
          <w:b/>
          <w:bCs/>
          <w:szCs w:val="24"/>
          <w:lang w:eastAsia="zh-CN"/>
        </w:rPr>
        <w:t>b</w:t>
      </w:r>
      <w:r>
        <w:rPr>
          <w:b/>
          <w:bCs/>
          <w:szCs w:val="24"/>
        </w:rPr>
        <w:t>,</w:t>
      </w:r>
      <w:r>
        <w:rPr>
          <w:szCs w:val="24"/>
        </w:rPr>
        <w:t xml:space="preserve"> </w:t>
      </w:r>
      <w:r>
        <w:rPr>
          <w:rFonts w:hint="eastAsia"/>
          <w:b/>
          <w:bCs/>
          <w:szCs w:val="24"/>
          <w:lang w:eastAsia="zh-CN"/>
        </w:rPr>
        <w:t>c</w:t>
      </w:r>
      <w:r>
        <w:rPr>
          <w:b/>
          <w:bCs/>
          <w:szCs w:val="24"/>
        </w:rPr>
        <w:t>,</w:t>
      </w:r>
      <w:r>
        <w:rPr>
          <w:szCs w:val="24"/>
        </w:rPr>
        <w:t xml:space="preserve"> Statistical transfer characteristic (</w:t>
      </w:r>
      <w:r>
        <w:rPr>
          <w:i/>
          <w:iCs/>
          <w:szCs w:val="24"/>
        </w:rPr>
        <w:t>I</w:t>
      </w:r>
      <w:r>
        <w:rPr>
          <w:szCs w:val="24"/>
        </w:rPr>
        <w:t>-</w:t>
      </w:r>
      <w:r>
        <w:rPr>
          <w:i/>
          <w:iCs/>
          <w:szCs w:val="24"/>
        </w:rPr>
        <w:t>V</w:t>
      </w:r>
      <w:r>
        <w:rPr>
          <w:szCs w:val="24"/>
          <w:vertAlign w:val="subscript"/>
        </w:rPr>
        <w:t>G</w:t>
      </w:r>
      <w:r>
        <w:rPr>
          <w:szCs w:val="24"/>
        </w:rPr>
        <w:t xml:space="preserve">) curves (over 400 </w:t>
      </w:r>
      <w:r>
        <w:rPr>
          <w:color w:val="222222"/>
          <w:szCs w:val="24"/>
          <w:shd w:val="clear" w:color="auto" w:fill="FFFFFF"/>
        </w:rPr>
        <w:t>traces</w:t>
      </w:r>
      <w:r>
        <w:rPr>
          <w:szCs w:val="24"/>
        </w:rPr>
        <w:t xml:space="preserve">) illustrate both forward and reverse scans, and fitting curves (depicted in the inset) for single-molecule transistors utilizing 0.5 mM </w:t>
      </w:r>
      <w:r>
        <w:rPr>
          <w:b/>
          <w:bCs/>
          <w:szCs w:val="24"/>
        </w:rPr>
        <w:t>MeO-TBT</w:t>
      </w:r>
      <w:r>
        <w:rPr>
          <w:szCs w:val="24"/>
        </w:rPr>
        <w:t xml:space="preserve"> in PC solution of 0.1 M TBAPF</w:t>
      </w:r>
      <w:r>
        <w:rPr>
          <w:szCs w:val="24"/>
          <w:vertAlign w:val="subscript"/>
        </w:rPr>
        <w:t>6</w:t>
      </w:r>
      <w:r>
        <w:rPr>
          <w:szCs w:val="24"/>
        </w:rPr>
        <w:t xml:space="preserve"> at the electrode potentials (gate voltage </w:t>
      </w:r>
      <w:r>
        <w:rPr>
          <w:i/>
          <w:iCs/>
          <w:szCs w:val="24"/>
        </w:rPr>
        <w:t>V</w:t>
      </w:r>
      <w:r>
        <w:rPr>
          <w:szCs w:val="24"/>
          <w:vertAlign w:val="subscript"/>
        </w:rPr>
        <w:t>G</w:t>
      </w:r>
      <w:r>
        <w:rPr>
          <w:szCs w:val="24"/>
        </w:rPr>
        <w:t xml:space="preserve"> = </w:t>
      </w:r>
      <w:r>
        <w:rPr>
          <w:color w:val="000000"/>
          <w:szCs w:val="24"/>
          <w:lang w:eastAsia="zh-CN"/>
        </w:rPr>
        <w:t>–</w:t>
      </w:r>
      <w:r>
        <w:rPr>
          <w:szCs w:val="24"/>
        </w:rPr>
        <w:t>0.4 V~0.5 V) in non-Faraday region</w:t>
      </w:r>
      <w:r>
        <w:rPr>
          <w:b/>
          <w:bCs/>
          <w:szCs w:val="24"/>
        </w:rPr>
        <w:t xml:space="preserve"> </w:t>
      </w:r>
      <w:r>
        <w:rPr>
          <w:szCs w:val="24"/>
        </w:rPr>
        <w:t xml:space="preserve">under 0.1 V bias. </w:t>
      </w:r>
      <w:r>
        <w:rPr>
          <w:rFonts w:hint="eastAsia"/>
          <w:b/>
          <w:bCs/>
          <w:szCs w:val="24"/>
          <w:lang w:eastAsia="zh-CN"/>
        </w:rPr>
        <w:t>d</w:t>
      </w:r>
      <w:r>
        <w:rPr>
          <w:b/>
          <w:bCs/>
          <w:szCs w:val="24"/>
        </w:rPr>
        <w:t xml:space="preserve">, </w:t>
      </w:r>
      <w:r>
        <w:rPr>
          <w:szCs w:val="24"/>
        </w:rPr>
        <w:t xml:space="preserve">Typical single forward and reverse </w:t>
      </w:r>
      <w:r>
        <w:rPr>
          <w:i/>
          <w:iCs/>
          <w:szCs w:val="24"/>
        </w:rPr>
        <w:t>I</w:t>
      </w:r>
      <w:r>
        <w:rPr>
          <w:szCs w:val="24"/>
        </w:rPr>
        <w:t>-</w:t>
      </w:r>
      <w:r>
        <w:rPr>
          <w:i/>
          <w:iCs/>
          <w:szCs w:val="24"/>
        </w:rPr>
        <w:t>V</w:t>
      </w:r>
      <w:r>
        <w:rPr>
          <w:szCs w:val="24"/>
          <w:vertAlign w:val="subscript"/>
        </w:rPr>
        <w:t>G</w:t>
      </w:r>
      <w:r>
        <w:rPr>
          <w:szCs w:val="24"/>
        </w:rPr>
        <w:t xml:space="preserve"> curves for single-molecule transistors utilizing 0.5 mM </w:t>
      </w:r>
      <w:r>
        <w:rPr>
          <w:b/>
          <w:bCs/>
          <w:szCs w:val="24"/>
        </w:rPr>
        <w:t>MeO-TBT</w:t>
      </w:r>
      <w:r>
        <w:rPr>
          <w:szCs w:val="24"/>
        </w:rPr>
        <w:t xml:space="preserve"> in PC solution of 0.1 M TBAPF</w:t>
      </w:r>
      <w:r>
        <w:rPr>
          <w:szCs w:val="24"/>
          <w:vertAlign w:val="subscript"/>
        </w:rPr>
        <w:t>6</w:t>
      </w:r>
      <w:r>
        <w:rPr>
          <w:szCs w:val="24"/>
        </w:rPr>
        <w:t xml:space="preserve"> at the electrode potentials (gate voltage </w:t>
      </w:r>
      <w:r>
        <w:rPr>
          <w:i/>
          <w:iCs/>
          <w:szCs w:val="24"/>
        </w:rPr>
        <w:t>V</w:t>
      </w:r>
      <w:r>
        <w:rPr>
          <w:szCs w:val="24"/>
          <w:vertAlign w:val="subscript"/>
        </w:rPr>
        <w:t>G</w:t>
      </w:r>
      <w:r>
        <w:rPr>
          <w:szCs w:val="24"/>
        </w:rPr>
        <w:t xml:space="preserve"> = </w:t>
      </w:r>
      <w:r>
        <w:rPr>
          <w:color w:val="000000"/>
          <w:szCs w:val="24"/>
          <w:lang w:eastAsia="zh-CN"/>
        </w:rPr>
        <w:t>–</w:t>
      </w:r>
      <w:r>
        <w:rPr>
          <w:szCs w:val="24"/>
        </w:rPr>
        <w:t>0.4 V~0.5 V) in non-Faraday region</w:t>
      </w:r>
      <w:r>
        <w:rPr>
          <w:b/>
          <w:bCs/>
          <w:szCs w:val="24"/>
        </w:rPr>
        <w:t xml:space="preserve"> </w:t>
      </w:r>
      <w:r>
        <w:rPr>
          <w:szCs w:val="24"/>
        </w:rPr>
        <w:t>under 0.1 V bias. The orange curve represents the forward scan data, while the blue curve corresponds to the reverse scan data.</w:t>
      </w:r>
      <w:r>
        <w:rPr>
          <w:b/>
          <w:bCs/>
          <w:szCs w:val="24"/>
        </w:rPr>
        <w:t xml:space="preserve"> </w:t>
      </w:r>
      <w:r>
        <w:rPr>
          <w:rFonts w:hint="eastAsia"/>
          <w:b/>
          <w:bCs/>
          <w:szCs w:val="24"/>
          <w:lang w:eastAsia="zh-CN"/>
        </w:rPr>
        <w:t>e</w:t>
      </w:r>
      <w:r>
        <w:rPr>
          <w:b/>
          <w:bCs/>
          <w:szCs w:val="24"/>
        </w:rPr>
        <w:t xml:space="preserve">, </w:t>
      </w:r>
      <w:r>
        <w:rPr>
          <w:rFonts w:hint="eastAsia"/>
          <w:b/>
          <w:bCs/>
          <w:szCs w:val="24"/>
          <w:lang w:eastAsia="zh-CN"/>
        </w:rPr>
        <w:t>f</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B</w:t>
      </w:r>
      <w:r>
        <w:rPr>
          <w:szCs w:val="24"/>
        </w:rPr>
        <w:t xml:space="preserve"> characteristic curves (over 2000 </w:t>
      </w:r>
      <w:r>
        <w:rPr>
          <w:color w:val="222222"/>
          <w:szCs w:val="24"/>
          <w:shd w:val="clear" w:color="auto" w:fill="FFFFFF"/>
        </w:rPr>
        <w:t>traces</w:t>
      </w:r>
      <w:r>
        <w:rPr>
          <w:szCs w:val="24"/>
        </w:rPr>
        <w:t xml:space="preserve">) and fitting curves (depicted in the inset) represent both forward and reverse scans, along with typical single forward and reverse </w:t>
      </w:r>
      <w:r>
        <w:rPr>
          <w:i/>
          <w:iCs/>
          <w:szCs w:val="24"/>
        </w:rPr>
        <w:t>I</w:t>
      </w:r>
      <w:r>
        <w:rPr>
          <w:szCs w:val="24"/>
        </w:rPr>
        <w:t>-</w:t>
      </w:r>
      <w:r>
        <w:rPr>
          <w:i/>
          <w:iCs/>
          <w:szCs w:val="24"/>
        </w:rPr>
        <w:t>V</w:t>
      </w:r>
      <w:r>
        <w:rPr>
          <w:szCs w:val="24"/>
          <w:vertAlign w:val="subscript"/>
        </w:rPr>
        <w:t>B</w:t>
      </w:r>
      <w:r>
        <w:rPr>
          <w:szCs w:val="24"/>
        </w:rPr>
        <w:t xml:space="preserve"> curves at the electrode potential of </w:t>
      </w:r>
      <w:r>
        <w:rPr>
          <w:color w:val="000000"/>
          <w:szCs w:val="24"/>
          <w:lang w:eastAsia="zh-CN"/>
        </w:rPr>
        <w:t>–</w:t>
      </w:r>
      <w:r>
        <w:rPr>
          <w:szCs w:val="24"/>
        </w:rPr>
        <w:t xml:space="preserve">0.4 V for single-molecule transistors utilizing 0.5 mM </w:t>
      </w:r>
      <w:r>
        <w:rPr>
          <w:b/>
          <w:bCs/>
          <w:szCs w:val="24"/>
        </w:rPr>
        <w:t>MeO-TBT</w:t>
      </w:r>
      <w:r>
        <w:rPr>
          <w:szCs w:val="24"/>
        </w:rPr>
        <w:t xml:space="preserve"> in PC solution of 0.1 M TBAPF</w:t>
      </w:r>
      <w:r>
        <w:rPr>
          <w:szCs w:val="24"/>
          <w:vertAlign w:val="subscript"/>
        </w:rPr>
        <w:t>6</w:t>
      </w:r>
      <w:r>
        <w:rPr>
          <w:szCs w:val="24"/>
        </w:rPr>
        <w:t>. The orange curve represents the forward scan data, while the blue curve corresponds to the reverse scan data.</w:t>
      </w:r>
    </w:p>
    <w:p w14:paraId="54D10A92">
      <w:pPr>
        <w:rPr>
          <w:szCs w:val="24"/>
        </w:rPr>
      </w:pPr>
    </w:p>
    <w:p w14:paraId="728F6CD6">
      <w:pPr>
        <w:spacing w:line="360" w:lineRule="auto"/>
        <w:jc w:val="center"/>
        <w:rPr>
          <w:b/>
          <w:bCs/>
          <w:szCs w:val="24"/>
        </w:rPr>
      </w:pPr>
      <w:r>
        <w:drawing>
          <wp:inline distT="0" distB="0" distL="0" distR="0">
            <wp:extent cx="2686050" cy="2468880"/>
            <wp:effectExtent l="0" t="0" r="0" b="7620"/>
            <wp:docPr id="2368088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08818" name="图片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692693" cy="2475489"/>
                    </a:xfrm>
                    <a:prstGeom prst="rect">
                      <a:avLst/>
                    </a:prstGeom>
                    <a:noFill/>
                    <a:ln>
                      <a:noFill/>
                    </a:ln>
                  </pic:spPr>
                </pic:pic>
              </a:graphicData>
            </a:graphic>
          </wp:inline>
        </w:drawing>
      </w:r>
    </w:p>
    <w:p w14:paraId="034F39DE">
      <w:pPr>
        <w:spacing w:before="120"/>
        <w:jc w:val="both"/>
        <w:rPr>
          <w:szCs w:val="24"/>
        </w:rPr>
      </w:pPr>
      <w:r>
        <w:rPr>
          <w:b/>
          <w:bCs/>
          <w:szCs w:val="24"/>
        </w:rPr>
        <w:t xml:space="preserve">Fig. S9 The influence of electrolyte concentration on single-molecule transistors utilizing MeO-TBT. </w:t>
      </w:r>
      <w:r>
        <w:rPr>
          <w:rFonts w:hint="eastAsia"/>
          <w:b/>
          <w:bCs/>
          <w:szCs w:val="24"/>
          <w:lang w:eastAsia="zh-CN"/>
        </w:rPr>
        <w:t>a</w:t>
      </w:r>
      <w:r>
        <w:rPr>
          <w:b/>
          <w:bCs/>
          <w:szCs w:val="24"/>
        </w:rPr>
        <w:t xml:space="preserve">, </w:t>
      </w:r>
      <w:r>
        <w:rPr>
          <w:rFonts w:hint="eastAsia"/>
          <w:b/>
          <w:bCs/>
          <w:szCs w:val="24"/>
          <w:lang w:eastAsia="zh-CN"/>
        </w:rPr>
        <w:t>b</w:t>
      </w:r>
      <w:r>
        <w:rPr>
          <w:b/>
          <w:bCs/>
          <w:szCs w:val="24"/>
        </w:rPr>
        <w:t xml:space="preserve">, </w:t>
      </w:r>
      <w:r>
        <w:rPr>
          <w:rFonts w:hint="eastAsia"/>
          <w:b/>
          <w:bCs/>
          <w:szCs w:val="24"/>
          <w:lang w:eastAsia="zh-CN"/>
        </w:rPr>
        <w:t>c</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G</w:t>
      </w:r>
      <w:r>
        <w:rPr>
          <w:szCs w:val="24"/>
        </w:rPr>
        <w:t xml:space="preserve"> curves (over 400 </w:t>
      </w:r>
      <w:r>
        <w:rPr>
          <w:color w:val="222222"/>
          <w:szCs w:val="24"/>
          <w:shd w:val="clear" w:color="auto" w:fill="FFFFFF"/>
        </w:rPr>
        <w:t>traces</w:t>
      </w:r>
      <w:r>
        <w:rPr>
          <w:szCs w:val="24"/>
        </w:rPr>
        <w:t xml:space="preserve">) illustrate both forward and reverse scans, and fitting curves for single-molecule transistors utilizing 0.5 mM </w:t>
      </w:r>
      <w:r>
        <w:rPr>
          <w:b/>
          <w:bCs/>
          <w:szCs w:val="24"/>
        </w:rPr>
        <w:t>MeO-TBT</w:t>
      </w:r>
      <w:r>
        <w:rPr>
          <w:szCs w:val="24"/>
        </w:rPr>
        <w:t xml:space="preserve"> in PC solution of 0.05 M TBAPF</w:t>
      </w:r>
      <w:r>
        <w:rPr>
          <w:szCs w:val="24"/>
          <w:vertAlign w:val="subscript"/>
        </w:rPr>
        <w:t>6</w:t>
      </w:r>
      <w:r>
        <w:rPr>
          <w:szCs w:val="24"/>
        </w:rPr>
        <w:t xml:space="preserve"> at the electrode potentials (gate voltage </w:t>
      </w:r>
      <w:r>
        <w:rPr>
          <w:i/>
          <w:iCs/>
          <w:szCs w:val="24"/>
        </w:rPr>
        <w:t>V</w:t>
      </w:r>
      <w:r>
        <w:rPr>
          <w:szCs w:val="24"/>
          <w:vertAlign w:val="subscript"/>
        </w:rPr>
        <w:t>G</w:t>
      </w:r>
      <w:r>
        <w:rPr>
          <w:szCs w:val="24"/>
        </w:rPr>
        <w:t xml:space="preserve"> = </w:t>
      </w:r>
      <w:r>
        <w:rPr>
          <w:color w:val="000000"/>
          <w:szCs w:val="24"/>
          <w:lang w:eastAsia="zh-CN"/>
        </w:rPr>
        <w:t>–</w:t>
      </w:r>
      <w:r>
        <w:rPr>
          <w:szCs w:val="24"/>
        </w:rPr>
        <w:t xml:space="preserve">0.4~0.5 V) under 0.1 V bias. </w:t>
      </w:r>
      <w:r>
        <w:rPr>
          <w:rFonts w:hint="eastAsia"/>
          <w:b/>
          <w:bCs/>
          <w:szCs w:val="24"/>
          <w:lang w:eastAsia="zh-CN"/>
        </w:rPr>
        <w:t>d</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B</w:t>
      </w:r>
      <w:r>
        <w:rPr>
          <w:szCs w:val="24"/>
        </w:rPr>
        <w:t xml:space="preserve"> characteristic curves (over 2000 </w:t>
      </w:r>
      <w:r>
        <w:rPr>
          <w:color w:val="222222"/>
          <w:szCs w:val="24"/>
          <w:shd w:val="clear" w:color="auto" w:fill="FFFFFF"/>
        </w:rPr>
        <w:t>traces</w:t>
      </w:r>
      <w:r>
        <w:rPr>
          <w:szCs w:val="24"/>
        </w:rPr>
        <w:t xml:space="preserve">) and fitting curves (depicted in the inset) represent both forward and reverse scans at the electrode potential of </w:t>
      </w:r>
      <w:r>
        <w:rPr>
          <w:color w:val="000000"/>
          <w:szCs w:val="24"/>
          <w:lang w:eastAsia="zh-CN"/>
        </w:rPr>
        <w:t>–</w:t>
      </w:r>
      <w:r>
        <w:rPr>
          <w:szCs w:val="24"/>
        </w:rPr>
        <w:t xml:space="preserve">0.4 V for single-molecule transistors utilizing 0.5 mM </w:t>
      </w:r>
      <w:r>
        <w:rPr>
          <w:b/>
          <w:bCs/>
          <w:szCs w:val="24"/>
        </w:rPr>
        <w:t>MeO-TBT</w:t>
      </w:r>
      <w:r>
        <w:rPr>
          <w:szCs w:val="24"/>
        </w:rPr>
        <w:t xml:space="preserve"> in PC solution of 0.05 M TBAPF</w:t>
      </w:r>
      <w:r>
        <w:rPr>
          <w:szCs w:val="24"/>
          <w:vertAlign w:val="subscript"/>
        </w:rPr>
        <w:t>6</w:t>
      </w:r>
      <w:r>
        <w:rPr>
          <w:szCs w:val="24"/>
        </w:rPr>
        <w:t xml:space="preserve">. The orange curve represents the forward scan data, while the blue curve corresponds to the reverse scan data. </w:t>
      </w:r>
    </w:p>
    <w:p w14:paraId="116BB153">
      <w:pPr>
        <w:rPr>
          <w:szCs w:val="24"/>
        </w:rPr>
      </w:pPr>
    </w:p>
    <w:p w14:paraId="6B7E6F0E">
      <w:pPr>
        <w:spacing w:line="360" w:lineRule="auto"/>
        <w:jc w:val="center"/>
        <w:rPr>
          <w:szCs w:val="24"/>
        </w:rPr>
      </w:pPr>
      <w:r>
        <w:drawing>
          <wp:inline distT="0" distB="0" distL="0" distR="0">
            <wp:extent cx="4056380" cy="2546350"/>
            <wp:effectExtent l="0" t="0" r="1270" b="6350"/>
            <wp:docPr id="20837964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796445" name="图片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066833" cy="2552634"/>
                    </a:xfrm>
                    <a:prstGeom prst="rect">
                      <a:avLst/>
                    </a:prstGeom>
                    <a:noFill/>
                    <a:ln>
                      <a:noFill/>
                    </a:ln>
                  </pic:spPr>
                </pic:pic>
              </a:graphicData>
            </a:graphic>
          </wp:inline>
        </w:drawing>
      </w:r>
    </w:p>
    <w:p w14:paraId="6C775BE0">
      <w:pPr>
        <w:spacing w:before="120"/>
        <w:jc w:val="both"/>
        <w:rPr>
          <w:szCs w:val="24"/>
          <w:lang w:eastAsia="zh-CN"/>
        </w:rPr>
      </w:pPr>
      <w:r>
        <w:rPr>
          <w:b/>
          <w:bCs/>
          <w:szCs w:val="24"/>
        </w:rPr>
        <w:t xml:space="preserve">Fig. S10 The influence of solvent on </w:t>
      </w:r>
      <w:r>
        <w:rPr>
          <w:b/>
          <w:bCs/>
          <w:i/>
          <w:iCs/>
          <w:szCs w:val="24"/>
        </w:rPr>
        <w:t>I</w:t>
      </w:r>
      <w:r>
        <w:rPr>
          <w:b/>
          <w:bCs/>
          <w:szCs w:val="24"/>
        </w:rPr>
        <w:t>-</w:t>
      </w:r>
      <w:r>
        <w:rPr>
          <w:b/>
          <w:bCs/>
          <w:i/>
          <w:iCs/>
          <w:szCs w:val="24"/>
        </w:rPr>
        <w:t>V</w:t>
      </w:r>
      <w:r>
        <w:rPr>
          <w:b/>
          <w:bCs/>
          <w:szCs w:val="24"/>
          <w:vertAlign w:val="subscript"/>
        </w:rPr>
        <w:t>G</w:t>
      </w:r>
      <w:r>
        <w:rPr>
          <w:b/>
          <w:bCs/>
          <w:szCs w:val="24"/>
        </w:rPr>
        <w:t xml:space="preserve"> curves of forward and reverse scanning for single-molecule transistors utilizing MeO-TBT.</w:t>
      </w:r>
      <w:bookmarkStart w:id="4" w:name="_Hlk168512739"/>
      <w:r>
        <w:rPr>
          <w:b/>
          <w:bCs/>
          <w:szCs w:val="24"/>
        </w:rPr>
        <w:t xml:space="preserve"> </w:t>
      </w:r>
      <w:r>
        <w:rPr>
          <w:rFonts w:hint="eastAsia"/>
          <w:b/>
          <w:bCs/>
          <w:szCs w:val="24"/>
          <w:lang w:eastAsia="zh-CN"/>
        </w:rPr>
        <w:t>a</w:t>
      </w:r>
      <w:r>
        <w:rPr>
          <w:b/>
          <w:bCs/>
          <w:szCs w:val="24"/>
        </w:rPr>
        <w:t xml:space="preserve">, </w:t>
      </w:r>
      <w:r>
        <w:rPr>
          <w:rFonts w:hint="eastAsia"/>
          <w:b/>
          <w:bCs/>
          <w:szCs w:val="24"/>
          <w:lang w:eastAsia="zh-CN"/>
        </w:rPr>
        <w:t>b</w:t>
      </w:r>
      <w:r>
        <w:rPr>
          <w:b/>
          <w:bCs/>
          <w:szCs w:val="24"/>
        </w:rPr>
        <w:t xml:space="preserve">, </w:t>
      </w:r>
      <w:r>
        <w:rPr>
          <w:rFonts w:hint="eastAsia"/>
          <w:b/>
          <w:bCs/>
          <w:szCs w:val="24"/>
          <w:lang w:eastAsia="zh-CN"/>
        </w:rPr>
        <w:t>c</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G</w:t>
      </w:r>
      <w:r>
        <w:rPr>
          <w:szCs w:val="24"/>
        </w:rPr>
        <w:t xml:space="preserve"> curves (over 400 </w:t>
      </w:r>
      <w:r>
        <w:rPr>
          <w:color w:val="222222"/>
          <w:szCs w:val="24"/>
          <w:shd w:val="clear" w:color="auto" w:fill="FFFFFF"/>
        </w:rPr>
        <w:t>traces</w:t>
      </w:r>
      <w:r>
        <w:rPr>
          <w:szCs w:val="24"/>
        </w:rPr>
        <w:t xml:space="preserve">) illustrate both forward and reverse scans, and fitting curves (depicted in the inset) for single-molecule transistors utilizing 0.5 mM </w:t>
      </w:r>
      <w:r>
        <w:rPr>
          <w:b/>
          <w:bCs/>
          <w:szCs w:val="24"/>
        </w:rPr>
        <w:t>MeO-TBT</w:t>
      </w:r>
      <w:r>
        <w:rPr>
          <w:szCs w:val="24"/>
        </w:rPr>
        <w:t xml:space="preserve"> in acetonitrile solution of 0.2 M </w:t>
      </w:r>
      <w:r>
        <w:rPr>
          <w:b/>
          <w:bCs/>
          <w:szCs w:val="24"/>
        </w:rPr>
        <w:t>TBAPF</w:t>
      </w:r>
      <w:r>
        <w:rPr>
          <w:b/>
          <w:bCs/>
          <w:szCs w:val="24"/>
          <w:vertAlign w:val="subscript"/>
        </w:rPr>
        <w:t>6</w:t>
      </w:r>
      <w:r>
        <w:rPr>
          <w:b/>
          <w:bCs/>
          <w:szCs w:val="24"/>
        </w:rPr>
        <w:t xml:space="preserve"> </w:t>
      </w:r>
      <w:r>
        <w:rPr>
          <w:szCs w:val="24"/>
        </w:rPr>
        <w:t xml:space="preserve">under 0.1 V bias. </w:t>
      </w:r>
      <w:r>
        <w:rPr>
          <w:rFonts w:hint="eastAsia"/>
          <w:b/>
          <w:bCs/>
          <w:szCs w:val="24"/>
          <w:lang w:eastAsia="zh-CN"/>
        </w:rPr>
        <w:t>d</w:t>
      </w:r>
      <w:r>
        <w:rPr>
          <w:b/>
          <w:bCs/>
          <w:szCs w:val="24"/>
        </w:rPr>
        <w:t xml:space="preserve">, </w:t>
      </w:r>
      <w:r>
        <w:rPr>
          <w:rFonts w:hint="eastAsia"/>
          <w:b/>
          <w:bCs/>
          <w:szCs w:val="24"/>
          <w:lang w:eastAsia="zh-CN"/>
        </w:rPr>
        <w:t>e</w:t>
      </w:r>
      <w:r>
        <w:rPr>
          <w:b/>
          <w:bCs/>
          <w:szCs w:val="24"/>
        </w:rPr>
        <w:t xml:space="preserve">, </w:t>
      </w:r>
      <w:r>
        <w:rPr>
          <w:rFonts w:hint="eastAsia"/>
          <w:b/>
          <w:bCs/>
          <w:szCs w:val="24"/>
          <w:lang w:eastAsia="zh-CN"/>
        </w:rPr>
        <w:t>f</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G</w:t>
      </w:r>
      <w:r>
        <w:rPr>
          <w:szCs w:val="24"/>
        </w:rPr>
        <w:t xml:space="preserve"> curves (over </w:t>
      </w:r>
      <w:r>
        <w:rPr>
          <w:szCs w:val="24"/>
          <w:lang w:eastAsia="zh-CN"/>
        </w:rPr>
        <w:t>2</w:t>
      </w:r>
      <w:r>
        <w:rPr>
          <w:szCs w:val="24"/>
        </w:rPr>
        <w:t xml:space="preserve">00 </w:t>
      </w:r>
      <w:r>
        <w:rPr>
          <w:color w:val="222222"/>
          <w:szCs w:val="24"/>
          <w:shd w:val="clear" w:color="auto" w:fill="FFFFFF"/>
        </w:rPr>
        <w:t>traces</w:t>
      </w:r>
      <w:r>
        <w:rPr>
          <w:szCs w:val="24"/>
        </w:rPr>
        <w:t xml:space="preserve">) illustrate both forward and reverse scans, and fitting curves (depicted in the inset) for single-molecule transistors utilizing 0.5 mM </w:t>
      </w:r>
      <w:r>
        <w:rPr>
          <w:b/>
          <w:bCs/>
          <w:szCs w:val="24"/>
        </w:rPr>
        <w:t>MeO-TBT</w:t>
      </w:r>
      <w:r>
        <w:rPr>
          <w:szCs w:val="24"/>
        </w:rPr>
        <w:t xml:space="preserve"> in 1-hexyl-3-methylimidazolium hexafluorophosphate solution</w:t>
      </w:r>
      <w:r>
        <w:rPr>
          <w:szCs w:val="24"/>
          <w:lang w:eastAsia="zh-CN"/>
        </w:rPr>
        <w:t xml:space="preserve"> </w:t>
      </w:r>
      <w:r>
        <w:rPr>
          <w:szCs w:val="24"/>
        </w:rPr>
        <w:t>under 0.1 V bias.</w:t>
      </w:r>
    </w:p>
    <w:p w14:paraId="3A0CA0E1">
      <w:pPr>
        <w:spacing w:line="360" w:lineRule="auto"/>
        <w:jc w:val="center"/>
        <w:rPr>
          <w:szCs w:val="24"/>
        </w:rPr>
      </w:pPr>
      <w:r>
        <w:drawing>
          <wp:inline distT="0" distB="0" distL="0" distR="0">
            <wp:extent cx="3959860" cy="1707515"/>
            <wp:effectExtent l="0" t="0" r="2540" b="6985"/>
            <wp:docPr id="10003232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23251" name="图片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960000" cy="1708059"/>
                    </a:xfrm>
                    <a:prstGeom prst="rect">
                      <a:avLst/>
                    </a:prstGeom>
                    <a:noFill/>
                    <a:ln>
                      <a:noFill/>
                    </a:ln>
                  </pic:spPr>
                </pic:pic>
              </a:graphicData>
            </a:graphic>
          </wp:inline>
        </w:drawing>
      </w:r>
    </w:p>
    <w:p w14:paraId="11849F00">
      <w:pPr>
        <w:spacing w:before="120"/>
        <w:jc w:val="both"/>
        <w:rPr>
          <w:szCs w:val="24"/>
        </w:rPr>
      </w:pPr>
      <w:r>
        <w:rPr>
          <w:b/>
          <w:bCs/>
          <w:szCs w:val="24"/>
        </w:rPr>
        <w:t xml:space="preserve">Fig. S11 The influence of solvent on the </w:t>
      </w:r>
      <w:r>
        <w:rPr>
          <w:b/>
          <w:bCs/>
          <w:i/>
          <w:iCs/>
          <w:szCs w:val="24"/>
        </w:rPr>
        <w:t>I</w:t>
      </w:r>
      <w:r>
        <w:rPr>
          <w:b/>
          <w:bCs/>
          <w:szCs w:val="24"/>
        </w:rPr>
        <w:t>-</w:t>
      </w:r>
      <w:r>
        <w:rPr>
          <w:b/>
          <w:bCs/>
          <w:i/>
          <w:iCs/>
          <w:szCs w:val="24"/>
        </w:rPr>
        <w:t>V</w:t>
      </w:r>
      <w:r>
        <w:rPr>
          <w:b/>
          <w:bCs/>
          <w:szCs w:val="24"/>
          <w:vertAlign w:val="subscript"/>
        </w:rPr>
        <w:t>B</w:t>
      </w:r>
      <w:r>
        <w:rPr>
          <w:b/>
          <w:bCs/>
          <w:szCs w:val="24"/>
        </w:rPr>
        <w:t xml:space="preserve"> curves during forward and reverse scanning of single-molecule transistors that employ MeO-TBT is investigated. </w:t>
      </w:r>
      <w:r>
        <w:rPr>
          <w:rFonts w:hint="eastAsia"/>
          <w:b/>
          <w:bCs/>
          <w:szCs w:val="24"/>
          <w:lang w:eastAsia="zh-CN"/>
        </w:rPr>
        <w:t>a</w:t>
      </w:r>
      <w:r>
        <w:rPr>
          <w:b/>
          <w:bCs/>
          <w:szCs w:val="24"/>
        </w:rPr>
        <w:t>,</w:t>
      </w:r>
      <w:r>
        <w:rPr>
          <w:szCs w:val="24"/>
        </w:rPr>
        <w:t xml:space="preserve"> Statistical </w:t>
      </w:r>
      <w:r>
        <w:rPr>
          <w:i/>
          <w:iCs/>
          <w:szCs w:val="24"/>
        </w:rPr>
        <w:t>I</w:t>
      </w:r>
      <w:r>
        <w:rPr>
          <w:szCs w:val="24"/>
        </w:rPr>
        <w:t>-</w:t>
      </w:r>
      <w:r>
        <w:rPr>
          <w:i/>
          <w:iCs/>
          <w:szCs w:val="24"/>
        </w:rPr>
        <w:t>V</w:t>
      </w:r>
      <w:r>
        <w:rPr>
          <w:szCs w:val="24"/>
          <w:vertAlign w:val="subscript"/>
        </w:rPr>
        <w:t>B</w:t>
      </w:r>
      <w:r>
        <w:rPr>
          <w:szCs w:val="24"/>
        </w:rPr>
        <w:t xml:space="preserve"> curves (over 2000 traces) illustrate both forward and reverse scans, along with the fitting curves (depicted in the inset), for single-molecule transistors utilizing 0.5 mM </w:t>
      </w:r>
      <w:r>
        <w:rPr>
          <w:b/>
          <w:bCs/>
          <w:szCs w:val="24"/>
        </w:rPr>
        <w:t>MeO-TBT</w:t>
      </w:r>
      <w:r>
        <w:rPr>
          <w:szCs w:val="24"/>
        </w:rPr>
        <w:t xml:space="preserve"> in acetonitrile solution of 0.2 M TBAPF</w:t>
      </w:r>
      <w:r>
        <w:rPr>
          <w:szCs w:val="24"/>
          <w:vertAlign w:val="subscript"/>
        </w:rPr>
        <w:t>6</w:t>
      </w:r>
      <w:r>
        <w:rPr>
          <w:b/>
          <w:bCs/>
          <w:szCs w:val="24"/>
        </w:rPr>
        <w:t xml:space="preserve"> </w:t>
      </w:r>
      <w:r>
        <w:rPr>
          <w:szCs w:val="24"/>
        </w:rPr>
        <w:t xml:space="preserve">at the electrode potential of </w:t>
      </w:r>
      <w:r>
        <w:rPr>
          <w:color w:val="000000"/>
          <w:szCs w:val="24"/>
          <w:lang w:eastAsia="zh-CN"/>
        </w:rPr>
        <w:t>–</w:t>
      </w:r>
      <w:r>
        <w:rPr>
          <w:szCs w:val="24"/>
        </w:rPr>
        <w:t>0.4 V for single-molecule transistors. The orange curve represents the forward scan data, while the blue curve corresponds to the reverse scan data.</w:t>
      </w:r>
      <w:r>
        <w:rPr>
          <w:b/>
          <w:bCs/>
          <w:szCs w:val="24"/>
        </w:rPr>
        <w:t xml:space="preserve"> </w:t>
      </w:r>
      <w:r>
        <w:rPr>
          <w:rFonts w:hint="eastAsia"/>
          <w:b/>
          <w:bCs/>
          <w:szCs w:val="24"/>
          <w:lang w:eastAsia="zh-CN"/>
        </w:rPr>
        <w:t>b</w:t>
      </w:r>
      <w:r>
        <w:rPr>
          <w:b/>
          <w:bCs/>
          <w:szCs w:val="24"/>
        </w:rPr>
        <w:t>,</w:t>
      </w:r>
      <w:r>
        <w:rPr>
          <w:szCs w:val="24"/>
        </w:rPr>
        <w:t xml:space="preserve"> Statistical </w:t>
      </w:r>
      <w:r>
        <w:rPr>
          <w:i/>
          <w:iCs/>
          <w:szCs w:val="24"/>
        </w:rPr>
        <w:t>I</w:t>
      </w:r>
      <w:r>
        <w:rPr>
          <w:szCs w:val="24"/>
        </w:rPr>
        <w:t>-</w:t>
      </w:r>
      <w:r>
        <w:rPr>
          <w:i/>
          <w:iCs/>
          <w:szCs w:val="24"/>
        </w:rPr>
        <w:t>V</w:t>
      </w:r>
      <w:r>
        <w:rPr>
          <w:szCs w:val="24"/>
          <w:vertAlign w:val="subscript"/>
        </w:rPr>
        <w:t>B</w:t>
      </w:r>
      <w:r>
        <w:rPr>
          <w:szCs w:val="24"/>
        </w:rPr>
        <w:t xml:space="preserve"> curves (over 2000 traces) illustrate both forward and reverse scans, along with the fitting curves (depicted in the inset), for single-molecule transistors utilizing 0.5 mM </w:t>
      </w:r>
      <w:r>
        <w:rPr>
          <w:b/>
          <w:bCs/>
          <w:szCs w:val="24"/>
        </w:rPr>
        <w:t>MeO-TBT</w:t>
      </w:r>
      <w:r>
        <w:rPr>
          <w:szCs w:val="24"/>
        </w:rPr>
        <w:t xml:space="preserve"> in 1-hexyl-3-methylimidazolium hexafluorophosphate at the electrode potential of </w:t>
      </w:r>
      <w:r>
        <w:rPr>
          <w:color w:val="000000"/>
          <w:szCs w:val="24"/>
          <w:lang w:eastAsia="zh-CN"/>
        </w:rPr>
        <w:t>–</w:t>
      </w:r>
      <w:r>
        <w:rPr>
          <w:szCs w:val="24"/>
        </w:rPr>
        <w:t xml:space="preserve">0.4 V for single-molecule transistors. </w:t>
      </w:r>
    </w:p>
    <w:p w14:paraId="27D46C83">
      <w:pPr>
        <w:pStyle w:val="104"/>
        <w:spacing w:before="120" w:after="120"/>
        <w:jc w:val="both"/>
        <w:rPr>
          <w:b/>
          <w:bCs/>
          <w:szCs w:val="24"/>
          <w:u w:val="none"/>
          <w:lang w:eastAsia="zh-CN"/>
        </w:rPr>
      </w:pPr>
      <w:r>
        <w:rPr>
          <w:b/>
          <w:bCs/>
          <w:szCs w:val="24"/>
          <w:u w:val="none"/>
        </w:rPr>
        <w:t>S3. Mimicking synaptic plasticity through a single-molecule device</w:t>
      </w:r>
    </w:p>
    <w:p w14:paraId="1B53A932">
      <w:pPr>
        <w:spacing w:before="120" w:after="120"/>
        <w:jc w:val="both"/>
        <w:rPr>
          <w:szCs w:val="24"/>
          <w:lang w:eastAsia="zh-CN"/>
        </w:rPr>
      </w:pPr>
      <w:r>
        <w:rPr>
          <w:szCs w:val="24"/>
          <w:lang w:eastAsia="zh-CN"/>
        </w:rPr>
        <w:t>This study systematically compares the key performance parameters of reported neuromorphic devices, demonstrating the remarkable advantages of our developed device. As shown in Table S1, we have summarized and analyzed the critical parameters of neuromorphic devices: (1) energy consumption per operation, which directly determines the energy efficiency of the device; (2) working electrode spacing, reflecting the integration density limit of the device; and (3) device type, including typical systems such as single-molecular-layer devices, organic thin-film devices, and carbon nanotube devices. It is particularly noteworthy that our device achieves an ultralow energy consumption of ~0.8 aJ (</w:t>
      </w:r>
      <w:r>
        <w:rPr>
          <w:szCs w:val="24"/>
        </w:rPr>
        <w:t>1 aJ = 10</w:t>
      </w:r>
      <w:r>
        <w:rPr>
          <w:szCs w:val="24"/>
          <w:vertAlign w:val="superscript"/>
        </w:rPr>
        <w:t>-18</w:t>
      </w:r>
      <w:r>
        <w:rPr>
          <w:szCs w:val="24"/>
        </w:rPr>
        <w:t xml:space="preserve"> J</w:t>
      </w:r>
      <w:r>
        <w:rPr>
          <w:szCs w:val="24"/>
          <w:lang w:eastAsia="zh-CN"/>
        </w:rPr>
        <w:t>) per operation (Figs. S13 and S14), while simultaneously realizing a working electrode spacing of only ~1.5 nm. It should be noted that the comparative data cited in the table are either directly obtained from values explicitly reported in the literature or reasonably estimated by analyzing graphical data and textual descriptions in the references. The mutual breakthroughs in energy consumption, device size, and conductance states demonstrate the unique properties of our device in the fields of neuromorphic computing and low-power electronics.</w:t>
      </w:r>
    </w:p>
    <w:p w14:paraId="738EA134">
      <w:pPr>
        <w:spacing w:line="360" w:lineRule="auto"/>
        <w:jc w:val="center"/>
        <w:rPr>
          <w:b/>
          <w:bCs/>
          <w:szCs w:val="24"/>
        </w:rPr>
      </w:pPr>
      <w:r>
        <w:drawing>
          <wp:inline distT="0" distB="0" distL="0" distR="0">
            <wp:extent cx="5003800" cy="3897630"/>
            <wp:effectExtent l="0" t="0" r="6350" b="7620"/>
            <wp:docPr id="17340962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096282" name="图片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007458" cy="3901108"/>
                    </a:xfrm>
                    <a:prstGeom prst="rect">
                      <a:avLst/>
                    </a:prstGeom>
                    <a:noFill/>
                    <a:ln>
                      <a:noFill/>
                    </a:ln>
                  </pic:spPr>
                </pic:pic>
              </a:graphicData>
            </a:graphic>
          </wp:inline>
        </w:drawing>
      </w:r>
    </w:p>
    <w:p w14:paraId="41CB3104">
      <w:pPr>
        <w:spacing w:before="120"/>
        <w:jc w:val="both"/>
        <w:rPr>
          <w:b/>
          <w:bCs/>
          <w:szCs w:val="24"/>
        </w:rPr>
      </w:pPr>
      <w:r>
        <w:rPr>
          <w:b/>
          <w:bCs/>
          <w:szCs w:val="24"/>
        </w:rPr>
        <w:t>Fig</w:t>
      </w:r>
      <w:r>
        <w:rPr>
          <w:b/>
          <w:bCs/>
          <w:color w:val="000000"/>
          <w:szCs w:val="24"/>
        </w:rPr>
        <w:t>. S12</w:t>
      </w:r>
      <w:r>
        <w:rPr>
          <w:b/>
          <w:bCs/>
          <w:szCs w:val="24"/>
        </w:rPr>
        <w:t xml:space="preserve"> Conductance of the single-molecule organic electrochemical transistor at </w:t>
      </w:r>
      <w:r>
        <w:rPr>
          <w:b/>
          <w:bCs/>
          <w:color w:val="000000"/>
          <w:szCs w:val="24"/>
          <w:lang w:eastAsia="zh-CN"/>
        </w:rPr>
        <w:t>–</w:t>
      </w:r>
      <w:r>
        <w:rPr>
          <w:b/>
          <w:bCs/>
          <w:szCs w:val="24"/>
        </w:rPr>
        <w:t>0.4 V gate voltage and 0.1 V bias voltage utilizing</w:t>
      </w:r>
      <w:r>
        <w:rPr>
          <w:szCs w:val="24"/>
        </w:rPr>
        <w:t xml:space="preserve"> </w:t>
      </w:r>
      <w:r>
        <w:rPr>
          <w:b/>
          <w:bCs/>
          <w:szCs w:val="24"/>
        </w:rPr>
        <w:t>MeO-TBT without electric pulse stimulation.</w:t>
      </w:r>
    </w:p>
    <w:p w14:paraId="2B243A4D">
      <w:pPr>
        <w:rPr>
          <w:szCs w:val="24"/>
        </w:rPr>
      </w:pPr>
    </w:p>
    <w:p w14:paraId="27DD5944">
      <w:pPr>
        <w:spacing w:before="240" w:after="120" w:line="360" w:lineRule="auto"/>
        <w:jc w:val="center"/>
        <w:rPr>
          <w:b/>
          <w:bCs/>
          <w:color w:val="000000"/>
          <w:szCs w:val="24"/>
        </w:rPr>
      </w:pPr>
      <w:r>
        <w:rPr>
          <w:szCs w:val="24"/>
        </w:rPr>
        <w:drawing>
          <wp:inline distT="0" distB="0" distL="0" distR="0">
            <wp:extent cx="2519680" cy="2361565"/>
            <wp:effectExtent l="0" t="0" r="0" b="635"/>
            <wp:docPr id="6247037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03749" name="图片 26"/>
                    <pic:cNvPicPr>
                      <a:picLocks noChangeAspect="1" noChangeArrowheads="1"/>
                    </pic:cNvPicPr>
                  </pic:nvPicPr>
                  <pic:blipFill>
                    <a:blip r:embed="rId18">
                      <a:extLst>
                        <a:ext uri="{28A0092B-C50C-407E-A947-70E740481C1C}">
                          <a14:useLocalDpi xmlns:a14="http://schemas.microsoft.com/office/drawing/2010/main" val="0"/>
                        </a:ext>
                      </a:extLst>
                    </a:blip>
                    <a:srcRect l="14592" t="8916" r="36285" b="9193"/>
                    <a:stretch>
                      <a:fillRect/>
                    </a:stretch>
                  </pic:blipFill>
                  <pic:spPr>
                    <a:xfrm>
                      <a:off x="0" y="0"/>
                      <a:ext cx="2520000" cy="2362016"/>
                    </a:xfrm>
                    <a:prstGeom prst="rect">
                      <a:avLst/>
                    </a:prstGeom>
                    <a:noFill/>
                    <a:ln>
                      <a:noFill/>
                    </a:ln>
                  </pic:spPr>
                </pic:pic>
              </a:graphicData>
            </a:graphic>
          </wp:inline>
        </w:drawing>
      </w:r>
    </w:p>
    <w:p w14:paraId="71B64F81">
      <w:pPr>
        <w:spacing w:before="120"/>
        <w:jc w:val="both"/>
        <w:rPr>
          <w:color w:val="000000"/>
          <w:szCs w:val="24"/>
        </w:rPr>
      </w:pPr>
      <w:r>
        <w:rPr>
          <w:b/>
          <w:bCs/>
          <w:color w:val="000000"/>
          <w:szCs w:val="24"/>
        </w:rPr>
        <w:t>Fig. S13 Calculation of single-operation energy consumption in a single-molecule device.</w:t>
      </w:r>
      <w:r>
        <w:rPr>
          <w:color w:val="800080"/>
          <w:szCs w:val="24"/>
        </w:rPr>
        <w:t xml:space="preserve"> </w:t>
      </w:r>
      <w:bookmarkStart w:id="5" w:name="OLE_LINK19"/>
      <w:r>
        <w:rPr>
          <w:color w:val="000000"/>
          <w:szCs w:val="24"/>
        </w:rPr>
        <w:t>Operating conditions: 1 mV bias voltage, 1 ms pulse width.</w:t>
      </w:r>
      <w:bookmarkEnd w:id="5"/>
      <w:r>
        <w:rPr>
          <w:color w:val="000000"/>
          <w:szCs w:val="24"/>
        </w:rPr>
        <w:t xml:space="preserve"> Based on the formula </w:t>
      </w:r>
      <w:r>
        <w:rPr>
          <w:i/>
          <w:iCs/>
          <w:color w:val="000000"/>
          <w:szCs w:val="24"/>
        </w:rPr>
        <w:t>W</w:t>
      </w:r>
      <w:r>
        <w:rPr>
          <w:color w:val="000000"/>
          <w:szCs w:val="24"/>
        </w:rPr>
        <w:t xml:space="preserve"> = </w:t>
      </w:r>
      <w:r>
        <w:rPr>
          <w:i/>
          <w:iCs/>
          <w:color w:val="000000"/>
          <w:szCs w:val="24"/>
        </w:rPr>
        <w:t>UIt</w:t>
      </w:r>
      <w:r>
        <w:rPr>
          <w:color w:val="000000"/>
          <w:szCs w:val="24"/>
        </w:rPr>
        <w:t xml:space="preserve">, where </w:t>
      </w:r>
      <w:r>
        <w:rPr>
          <w:i/>
          <w:iCs/>
          <w:color w:val="000000"/>
          <w:szCs w:val="24"/>
        </w:rPr>
        <w:t>G</w:t>
      </w:r>
      <w:r>
        <w:rPr>
          <w:color w:val="000000"/>
          <w:szCs w:val="24"/>
        </w:rPr>
        <w:t>₀ = 77500 nS, the calculated energy consumption per switching event can reach as low as ~ 0.8 aJ (1 aJ = 1 × 10</w:t>
      </w:r>
      <w:r>
        <w:rPr>
          <w:color w:val="000000"/>
          <w:szCs w:val="24"/>
          <w:vertAlign w:val="superscript"/>
        </w:rPr>
        <w:t>-18</w:t>
      </w:r>
      <w:r>
        <w:rPr>
          <w:color w:val="000000"/>
          <w:szCs w:val="24"/>
        </w:rPr>
        <w:t xml:space="preserve"> J).</w:t>
      </w:r>
    </w:p>
    <w:p w14:paraId="7A1504D7">
      <w:pPr>
        <w:rPr>
          <w:color w:val="000000"/>
          <w:szCs w:val="24"/>
        </w:rPr>
      </w:pPr>
    </w:p>
    <w:p w14:paraId="1367AB69">
      <w:pPr>
        <w:spacing w:before="120" w:after="120" w:line="360" w:lineRule="auto"/>
        <w:jc w:val="center"/>
        <w:rPr>
          <w:b/>
          <w:bCs/>
          <w:szCs w:val="24"/>
        </w:rPr>
      </w:pPr>
      <w:r>
        <w:drawing>
          <wp:inline distT="0" distB="0" distL="0" distR="0">
            <wp:extent cx="5943600" cy="1762760"/>
            <wp:effectExtent l="0" t="0" r="0" b="8890"/>
            <wp:docPr id="8691381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38132" name="图片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43600" cy="1762760"/>
                    </a:xfrm>
                    <a:prstGeom prst="rect">
                      <a:avLst/>
                    </a:prstGeom>
                    <a:noFill/>
                    <a:ln>
                      <a:noFill/>
                    </a:ln>
                  </pic:spPr>
                </pic:pic>
              </a:graphicData>
            </a:graphic>
          </wp:inline>
        </w:drawing>
      </w:r>
    </w:p>
    <w:p w14:paraId="0B27A600">
      <w:pPr>
        <w:spacing w:before="120" w:after="120"/>
        <w:jc w:val="both"/>
        <w:rPr>
          <w:szCs w:val="24"/>
        </w:rPr>
      </w:pPr>
      <w:r>
        <w:rPr>
          <w:b/>
          <w:bCs/>
          <w:color w:val="000000"/>
          <w:szCs w:val="24"/>
        </w:rPr>
        <w:t>Fig. S14</w:t>
      </w:r>
      <w:r>
        <w:rPr>
          <w:b/>
          <w:bCs/>
          <w:szCs w:val="24"/>
        </w:rPr>
        <w:t xml:space="preserve"> Energy consumption comparison of single-molecule devices. </w:t>
      </w:r>
      <w:r>
        <w:rPr>
          <w:rFonts w:hint="eastAsia"/>
          <w:b/>
          <w:bCs/>
          <w:szCs w:val="24"/>
          <w:lang w:eastAsia="zh-CN"/>
        </w:rPr>
        <w:t>a</w:t>
      </w:r>
      <w:r>
        <w:rPr>
          <w:b/>
          <w:bCs/>
          <w:szCs w:val="24"/>
        </w:rPr>
        <w:t xml:space="preserve"> and </w:t>
      </w:r>
      <w:r>
        <w:rPr>
          <w:rFonts w:hint="eastAsia"/>
          <w:b/>
          <w:bCs/>
          <w:szCs w:val="24"/>
          <w:lang w:eastAsia="zh-CN"/>
        </w:rPr>
        <w:t>b</w:t>
      </w:r>
      <w:r>
        <w:rPr>
          <w:szCs w:val="24"/>
        </w:rPr>
        <w:t xml:space="preserve">, Statistical conductance of single-molecule devices under a single </w:t>
      </w:r>
      <w:r>
        <w:rPr>
          <w:i/>
          <w:iCs/>
          <w:szCs w:val="24"/>
        </w:rPr>
        <w:t>V</w:t>
      </w:r>
      <w:r>
        <w:rPr>
          <w:szCs w:val="24"/>
          <w:vertAlign w:val="subscript"/>
        </w:rPr>
        <w:t>G</w:t>
      </w:r>
      <w:r>
        <w:rPr>
          <w:szCs w:val="24"/>
        </w:rPr>
        <w:t xml:space="preserve"> pulse ranging from </w:t>
      </w:r>
      <w:r>
        <w:rPr>
          <w:color w:val="000000"/>
          <w:szCs w:val="24"/>
          <w:lang w:eastAsia="zh-CN"/>
        </w:rPr>
        <w:t>–</w:t>
      </w:r>
      <w:r>
        <w:rPr>
          <w:szCs w:val="24"/>
        </w:rPr>
        <w:t xml:space="preserve">0.4 V to 0.5 V were investigated at operating </w:t>
      </w:r>
      <w:r>
        <w:rPr>
          <w:i/>
          <w:iCs/>
          <w:szCs w:val="24"/>
        </w:rPr>
        <w:t>V</w:t>
      </w:r>
      <w:r>
        <w:rPr>
          <w:szCs w:val="24"/>
          <w:vertAlign w:val="subscript"/>
        </w:rPr>
        <w:t>B</w:t>
      </w:r>
      <w:r>
        <w:rPr>
          <w:szCs w:val="24"/>
        </w:rPr>
        <w:t xml:space="preserve">s of 10 mV (116 traces), and 100 mV (122 traces), respectively. And the black curve is the fitting curve of these traces (depicted in the inset). </w:t>
      </w:r>
      <w:r>
        <w:rPr>
          <w:rFonts w:hint="eastAsia"/>
          <w:b/>
          <w:bCs/>
          <w:szCs w:val="24"/>
          <w:lang w:eastAsia="zh-CN"/>
        </w:rPr>
        <w:t>c</w:t>
      </w:r>
      <w:r>
        <w:rPr>
          <w:szCs w:val="24"/>
        </w:rPr>
        <w:t>, Comparative plot of operating energy consumption for a single-molecule device under different bias voltages (single curve).</w:t>
      </w:r>
    </w:p>
    <w:p w14:paraId="0B181316">
      <w:pPr>
        <w:spacing w:before="120" w:after="120"/>
        <w:jc w:val="both"/>
        <w:rPr>
          <w:szCs w:val="24"/>
        </w:rPr>
      </w:pPr>
    </w:p>
    <w:p w14:paraId="35A0F89A">
      <w:pPr>
        <w:spacing w:before="120" w:after="120"/>
        <w:jc w:val="center"/>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Table S1 Comparison of energy consumption among neuromorphic devices of different</w:t>
      </w:r>
      <w:r>
        <w:rPr>
          <w:rFonts w:hint="eastAsia"/>
          <w:b/>
          <w:bCs/>
          <w:color w:val="000000" w:themeColor="text1"/>
          <w:szCs w:val="24"/>
          <w:lang w:eastAsia="zh-CN"/>
          <w14:textFill>
            <w14:solidFill>
              <w14:schemeClr w14:val="tx1"/>
            </w14:solidFill>
          </w14:textFill>
        </w:rPr>
        <w:t xml:space="preserve"> channel</w:t>
      </w:r>
      <w:r>
        <w:rPr>
          <w:b/>
          <w:bCs/>
          <w:color w:val="000000" w:themeColor="text1"/>
          <w:szCs w:val="24"/>
          <w14:textFill>
            <w14:solidFill>
              <w14:schemeClr w14:val="tx1"/>
            </w14:solidFill>
          </w14:textFill>
        </w:rPr>
        <w:t xml:space="preserve"> lengths</w:t>
      </w:r>
    </w:p>
    <w:tbl>
      <w:tblPr>
        <w:tblStyle w:val="88"/>
        <w:tblW w:w="93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9"/>
        <w:gridCol w:w="1763"/>
        <w:gridCol w:w="1381"/>
        <w:gridCol w:w="1276"/>
        <w:gridCol w:w="2977"/>
      </w:tblGrid>
      <w:tr w14:paraId="5D0CF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single" w:color="auto" w:sz="4" w:space="0"/>
              <w:left w:val="nil"/>
              <w:bottom w:val="single" w:color="auto" w:sz="4" w:space="0"/>
              <w:right w:val="nil"/>
            </w:tcBorders>
            <w:vAlign w:val="center"/>
          </w:tcPr>
          <w:p w14:paraId="7B6DFBF7">
            <w:pPr>
              <w:jc w:val="center"/>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The lowest energy consumption per synaptic event / J</w:t>
            </w:r>
          </w:p>
        </w:tc>
        <w:tc>
          <w:tcPr>
            <w:tcW w:w="1763" w:type="dxa"/>
            <w:tcBorders>
              <w:top w:val="single" w:color="auto" w:sz="4" w:space="0"/>
              <w:left w:val="nil"/>
              <w:bottom w:val="single" w:color="auto" w:sz="4" w:space="0"/>
              <w:right w:val="nil"/>
            </w:tcBorders>
            <w:vAlign w:val="center"/>
          </w:tcPr>
          <w:p w14:paraId="456832A2">
            <w:pPr>
              <w:jc w:val="center"/>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Channel length / m</w:t>
            </w:r>
          </w:p>
        </w:tc>
        <w:tc>
          <w:tcPr>
            <w:tcW w:w="1381" w:type="dxa"/>
            <w:tcBorders>
              <w:top w:val="single" w:color="auto" w:sz="4" w:space="0"/>
              <w:left w:val="nil"/>
              <w:bottom w:val="single" w:color="auto" w:sz="4" w:space="0"/>
              <w:right w:val="nil"/>
            </w:tcBorders>
            <w:vAlign w:val="center"/>
          </w:tcPr>
          <w:p w14:paraId="496B4D17">
            <w:pPr>
              <w:jc w:val="center"/>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reference</w:t>
            </w:r>
          </w:p>
        </w:tc>
        <w:tc>
          <w:tcPr>
            <w:tcW w:w="1276" w:type="dxa"/>
            <w:tcBorders>
              <w:top w:val="single" w:color="auto" w:sz="4" w:space="0"/>
              <w:left w:val="nil"/>
              <w:bottom w:val="single" w:color="auto" w:sz="4" w:space="0"/>
              <w:right w:val="nil"/>
            </w:tcBorders>
            <w:vAlign w:val="center"/>
          </w:tcPr>
          <w:p w14:paraId="347935D6">
            <w:pPr>
              <w:jc w:val="center"/>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Marking symbol</w:t>
            </w:r>
          </w:p>
        </w:tc>
        <w:tc>
          <w:tcPr>
            <w:tcW w:w="2977" w:type="dxa"/>
            <w:tcBorders>
              <w:top w:val="single" w:color="auto" w:sz="4" w:space="0"/>
              <w:left w:val="nil"/>
              <w:bottom w:val="single" w:color="auto" w:sz="4" w:space="0"/>
              <w:right w:val="nil"/>
            </w:tcBorders>
            <w:vAlign w:val="center"/>
          </w:tcPr>
          <w:p w14:paraId="29131B59">
            <w:pPr>
              <w:jc w:val="center"/>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Device type</w:t>
            </w:r>
          </w:p>
        </w:tc>
      </w:tr>
      <w:tr w14:paraId="5AAF7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single" w:color="auto" w:sz="4" w:space="0"/>
              <w:left w:val="nil"/>
              <w:bottom w:val="nil"/>
              <w:right w:val="nil"/>
            </w:tcBorders>
            <w:vAlign w:val="center"/>
          </w:tcPr>
          <w:p w14:paraId="56B46C02">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t>(0.8~</w:t>
            </w:r>
            <w:r>
              <w:rPr>
                <w:color w:val="000000" w:themeColor="text1"/>
                <w:szCs w:val="24"/>
                <w14:textFill>
                  <w14:solidFill>
                    <w14:schemeClr w14:val="tx1"/>
                  </w14:solidFill>
                </w14:textFill>
              </w:rPr>
              <w:t>2.8</w:t>
            </w:r>
            <w:r>
              <w:rPr>
                <w:color w:val="000000" w:themeColor="text1"/>
                <w:szCs w:val="24"/>
                <w:lang w:eastAsia="zh-CN"/>
                <w14:textFill>
                  <w14:solidFill>
                    <w14:schemeClr w14:val="tx1"/>
                  </w14:solidFill>
                </w14:textFill>
              </w:rPr>
              <w:t>)</w:t>
            </w:r>
            <w:r>
              <w:rPr>
                <w:color w:val="000000" w:themeColor="text1"/>
                <w:szCs w:val="24"/>
                <w14:textFill>
                  <w14:solidFill>
                    <w14:schemeClr w14:val="tx1"/>
                  </w14:solidFill>
                </w14:textFill>
              </w:rPr>
              <w:t xml:space="preserve"> × 10</w:t>
            </w:r>
            <w:r>
              <w:rPr>
                <w:color w:val="000000" w:themeColor="text1"/>
                <w:szCs w:val="24"/>
                <w:vertAlign w:val="superscript"/>
                <w14:textFill>
                  <w14:solidFill>
                    <w14:schemeClr w14:val="tx1"/>
                  </w14:solidFill>
                </w14:textFill>
              </w:rPr>
              <w:t>-18</w:t>
            </w:r>
          </w:p>
        </w:tc>
        <w:tc>
          <w:tcPr>
            <w:tcW w:w="1763" w:type="dxa"/>
            <w:tcBorders>
              <w:top w:val="single" w:color="auto" w:sz="4" w:space="0"/>
              <w:left w:val="nil"/>
              <w:bottom w:val="nil"/>
              <w:right w:val="nil"/>
            </w:tcBorders>
            <w:vAlign w:val="center"/>
          </w:tcPr>
          <w:p w14:paraId="62A073D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~1.50 × 10</w:t>
            </w:r>
            <w:r>
              <w:rPr>
                <w:color w:val="000000" w:themeColor="text1"/>
                <w:szCs w:val="24"/>
                <w:vertAlign w:val="superscript"/>
                <w14:textFill>
                  <w14:solidFill>
                    <w14:schemeClr w14:val="tx1"/>
                  </w14:solidFill>
                </w14:textFill>
              </w:rPr>
              <w:t>-9</w:t>
            </w:r>
          </w:p>
        </w:tc>
        <w:tc>
          <w:tcPr>
            <w:tcW w:w="1381" w:type="dxa"/>
            <w:tcBorders>
              <w:top w:val="single" w:color="auto" w:sz="4" w:space="0"/>
              <w:left w:val="nil"/>
              <w:bottom w:val="nil"/>
              <w:right w:val="nil"/>
            </w:tcBorders>
            <w:vAlign w:val="center"/>
          </w:tcPr>
          <w:p w14:paraId="408A287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This work</w:t>
            </w:r>
          </w:p>
        </w:tc>
        <w:tc>
          <w:tcPr>
            <w:tcW w:w="1276" w:type="dxa"/>
            <w:tcBorders>
              <w:top w:val="single" w:color="auto" w:sz="4" w:space="0"/>
              <w:left w:val="nil"/>
              <w:bottom w:val="nil"/>
              <w:right w:val="nil"/>
            </w:tcBorders>
            <w:vAlign w:val="center"/>
          </w:tcPr>
          <w:p w14:paraId="0F3F8A7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17500" cy="285750"/>
                  <wp:effectExtent l="0" t="0" r="6350" b="0"/>
                  <wp:docPr id="83237363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73631" name="图片 62"/>
                          <pic:cNvPicPr>
                            <a:picLocks noChangeAspect="1" noChangeArrowheads="1"/>
                          </pic:cNvPicPr>
                        </pic:nvPicPr>
                        <pic:blipFill>
                          <a:blip r:embed="rId20">
                            <a:extLst>
                              <a:ext uri="{28A0092B-C50C-407E-A947-70E740481C1C}">
                                <a14:useLocalDpi xmlns:a14="http://schemas.microsoft.com/office/drawing/2010/main" val="0"/>
                              </a:ext>
                            </a:extLst>
                          </a:blip>
                          <a:srcRect l="9534" t="16476" r="10582"/>
                          <a:stretch>
                            <a:fillRect/>
                          </a:stretch>
                        </pic:blipFill>
                        <pic:spPr>
                          <a:xfrm>
                            <a:off x="0" y="0"/>
                            <a:ext cx="317500" cy="285750"/>
                          </a:xfrm>
                          <a:prstGeom prst="rect">
                            <a:avLst/>
                          </a:prstGeom>
                          <a:noFill/>
                          <a:ln>
                            <a:noFill/>
                          </a:ln>
                        </pic:spPr>
                      </pic:pic>
                    </a:graphicData>
                  </a:graphic>
                </wp:inline>
              </w:drawing>
            </w:r>
          </w:p>
        </w:tc>
        <w:tc>
          <w:tcPr>
            <w:tcW w:w="2977" w:type="dxa"/>
            <w:tcBorders>
              <w:top w:val="single" w:color="auto" w:sz="4" w:space="0"/>
              <w:left w:val="nil"/>
              <w:bottom w:val="nil"/>
              <w:right w:val="nil"/>
            </w:tcBorders>
            <w:vAlign w:val="center"/>
          </w:tcPr>
          <w:p w14:paraId="13AFCF4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Single-molecule device</w:t>
            </w:r>
          </w:p>
        </w:tc>
      </w:tr>
      <w:tr w14:paraId="08AF1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180E10A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3.9 × 10</w:t>
            </w:r>
            <w:r>
              <w:rPr>
                <w:color w:val="000000" w:themeColor="text1"/>
                <w:szCs w:val="24"/>
                <w:vertAlign w:val="superscript"/>
                <w14:textFill>
                  <w14:solidFill>
                    <w14:schemeClr w14:val="tx1"/>
                  </w14:solidFill>
                </w14:textFill>
              </w:rPr>
              <w:t>-5</w:t>
            </w:r>
          </w:p>
        </w:tc>
        <w:tc>
          <w:tcPr>
            <w:tcW w:w="1763" w:type="dxa"/>
            <w:tcBorders>
              <w:top w:val="nil"/>
              <w:left w:val="nil"/>
              <w:bottom w:val="nil"/>
              <w:right w:val="nil"/>
            </w:tcBorders>
            <w:vAlign w:val="center"/>
          </w:tcPr>
          <w:p w14:paraId="6EA0DC1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Monolayer with a thickness of 2.40 × 10</w:t>
            </w:r>
            <w:r>
              <w:rPr>
                <w:color w:val="000000" w:themeColor="text1"/>
                <w:szCs w:val="24"/>
                <w:vertAlign w:val="superscript"/>
                <w14:textFill>
                  <w14:solidFill>
                    <w14:schemeClr w14:val="tx1"/>
                  </w14:solidFill>
                </w14:textFill>
              </w:rPr>
              <w:t>-9</w:t>
            </w:r>
          </w:p>
        </w:tc>
        <w:tc>
          <w:tcPr>
            <w:tcW w:w="1381" w:type="dxa"/>
            <w:tcBorders>
              <w:top w:val="nil"/>
              <w:left w:val="nil"/>
              <w:bottom w:val="nil"/>
              <w:right w:val="nil"/>
            </w:tcBorders>
            <w:vAlign w:val="center"/>
          </w:tcPr>
          <w:p w14:paraId="2C280B8A">
            <w:pPr>
              <w:jc w:val="center"/>
              <w:rPr>
                <w:color w:val="000000" w:themeColor="text1"/>
                <w:szCs w:val="24"/>
                <w14:textFill>
                  <w14:solidFill>
                    <w14:schemeClr w14:val="tx1"/>
                  </w14:solidFill>
                </w14:textFill>
              </w:rPr>
            </w:pPr>
            <w:r>
              <w:rPr>
                <w:szCs w:val="24"/>
                <w:vertAlign w:val="superscript"/>
              </w:rPr>
              <w:t>1</w:t>
            </w:r>
          </w:p>
        </w:tc>
        <w:tc>
          <w:tcPr>
            <w:tcW w:w="1276" w:type="dxa"/>
            <w:tcBorders>
              <w:top w:val="nil"/>
              <w:left w:val="nil"/>
              <w:bottom w:val="nil"/>
              <w:right w:val="nil"/>
            </w:tcBorders>
            <w:vAlign w:val="center"/>
          </w:tcPr>
          <w:p w14:paraId="174F74F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54000" cy="266700"/>
                  <wp:effectExtent l="0" t="0" r="0" b="0"/>
                  <wp:docPr id="22547762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77622" name="图片 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54000" cy="2667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5E47EF2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Single-molecule layer device</w:t>
            </w:r>
          </w:p>
        </w:tc>
      </w:tr>
      <w:tr w14:paraId="6D6D2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3FDD35C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6.6 × 10</w:t>
            </w:r>
            <w:r>
              <w:rPr>
                <w:color w:val="000000" w:themeColor="text1"/>
                <w:szCs w:val="24"/>
                <w:vertAlign w:val="superscript"/>
                <w14:textFill>
                  <w14:solidFill>
                    <w14:schemeClr w14:val="tx1"/>
                  </w14:solidFill>
                </w14:textFill>
              </w:rPr>
              <w:t>-13</w:t>
            </w:r>
          </w:p>
        </w:tc>
        <w:tc>
          <w:tcPr>
            <w:tcW w:w="1763" w:type="dxa"/>
            <w:tcBorders>
              <w:top w:val="nil"/>
              <w:left w:val="nil"/>
              <w:bottom w:val="nil"/>
              <w:right w:val="nil"/>
            </w:tcBorders>
            <w:vAlign w:val="center"/>
          </w:tcPr>
          <w:p w14:paraId="2465C66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1.5 × 10</w:t>
            </w:r>
            <w:r>
              <w:rPr>
                <w:color w:val="000000" w:themeColor="text1"/>
                <w:szCs w:val="24"/>
                <w:vertAlign w:val="superscript"/>
                <w14:textFill>
                  <w14:solidFill>
                    <w14:schemeClr w14:val="tx1"/>
                  </w14:solidFill>
                </w14:textFill>
              </w:rPr>
              <w:t>-7</w:t>
            </w:r>
          </w:p>
        </w:tc>
        <w:tc>
          <w:tcPr>
            <w:tcW w:w="1381" w:type="dxa"/>
            <w:tcBorders>
              <w:top w:val="nil"/>
              <w:left w:val="nil"/>
              <w:bottom w:val="nil"/>
              <w:right w:val="nil"/>
            </w:tcBorders>
            <w:vAlign w:val="center"/>
          </w:tcPr>
          <w:p w14:paraId="6F7A0BFA">
            <w:pPr>
              <w:jc w:val="center"/>
              <w:rPr>
                <w:color w:val="000000" w:themeColor="text1"/>
                <w:szCs w:val="24"/>
                <w14:textFill>
                  <w14:solidFill>
                    <w14:schemeClr w14:val="tx1"/>
                  </w14:solidFill>
                </w14:textFill>
              </w:rPr>
            </w:pPr>
            <w:r>
              <w:rPr>
                <w:szCs w:val="24"/>
                <w:vertAlign w:val="superscript"/>
              </w:rPr>
              <w:t>2</w:t>
            </w:r>
          </w:p>
        </w:tc>
        <w:tc>
          <w:tcPr>
            <w:tcW w:w="1276" w:type="dxa"/>
            <w:tcBorders>
              <w:top w:val="nil"/>
              <w:left w:val="nil"/>
              <w:bottom w:val="nil"/>
              <w:right w:val="nil"/>
            </w:tcBorders>
            <w:vAlign w:val="center"/>
          </w:tcPr>
          <w:p w14:paraId="382A617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66700" cy="285750"/>
                  <wp:effectExtent l="0" t="0" r="0" b="0"/>
                  <wp:docPr id="130643505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35057" name="图片 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66700" cy="2857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4CEAF95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Bioinspired nanofluidics</w:t>
            </w:r>
          </w:p>
        </w:tc>
      </w:tr>
      <w:tr w14:paraId="14AC9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10C0CC0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~1.2 × 10</w:t>
            </w:r>
            <w:r>
              <w:rPr>
                <w:color w:val="000000" w:themeColor="text1"/>
                <w:szCs w:val="24"/>
                <w:vertAlign w:val="superscript"/>
                <w14:textFill>
                  <w14:solidFill>
                    <w14:schemeClr w14:val="tx1"/>
                  </w14:solidFill>
                </w14:textFill>
              </w:rPr>
              <w:t>-15</w:t>
            </w:r>
          </w:p>
        </w:tc>
        <w:tc>
          <w:tcPr>
            <w:tcW w:w="1763" w:type="dxa"/>
            <w:tcBorders>
              <w:top w:val="nil"/>
              <w:left w:val="nil"/>
              <w:bottom w:val="nil"/>
              <w:right w:val="nil"/>
            </w:tcBorders>
            <w:vAlign w:val="center"/>
          </w:tcPr>
          <w:p w14:paraId="4F60E0C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3.0 × 10</w:t>
            </w:r>
            <w:r>
              <w:rPr>
                <w:color w:val="000000" w:themeColor="text1"/>
                <w:szCs w:val="24"/>
                <w:vertAlign w:val="superscript"/>
                <w14:textFill>
                  <w14:solidFill>
                    <w14:schemeClr w14:val="tx1"/>
                  </w14:solidFill>
                </w14:textFill>
              </w:rPr>
              <w:t>-7</w:t>
            </w:r>
          </w:p>
        </w:tc>
        <w:tc>
          <w:tcPr>
            <w:tcW w:w="1381" w:type="dxa"/>
            <w:tcBorders>
              <w:top w:val="nil"/>
              <w:left w:val="nil"/>
              <w:bottom w:val="nil"/>
              <w:right w:val="nil"/>
            </w:tcBorders>
            <w:vAlign w:val="center"/>
          </w:tcPr>
          <w:p w14:paraId="529BBB6F">
            <w:pPr>
              <w:jc w:val="center"/>
              <w:rPr>
                <w:color w:val="000000" w:themeColor="text1"/>
                <w:szCs w:val="24"/>
                <w:lang w:eastAsia="zh-CN"/>
                <w14:textFill>
                  <w14:solidFill>
                    <w14:schemeClr w14:val="tx1"/>
                  </w14:solidFill>
                </w14:textFill>
              </w:rPr>
            </w:pPr>
            <w:r>
              <w:rPr>
                <w:szCs w:val="24"/>
                <w:vertAlign w:val="superscript"/>
                <w:lang w:eastAsia="zh-CN"/>
              </w:rPr>
              <w:t>3</w:t>
            </w:r>
          </w:p>
        </w:tc>
        <w:tc>
          <w:tcPr>
            <w:tcW w:w="1276" w:type="dxa"/>
            <w:tcBorders>
              <w:top w:val="nil"/>
              <w:left w:val="nil"/>
              <w:bottom w:val="nil"/>
              <w:right w:val="nil"/>
            </w:tcBorders>
            <w:vAlign w:val="center"/>
          </w:tcPr>
          <w:p w14:paraId="3B72714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28600" cy="292100"/>
                  <wp:effectExtent l="0" t="0" r="0" b="0"/>
                  <wp:docPr id="182869024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90246" name="图片 5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28600" cy="2921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3071B15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nanowire neuromorphic devices</w:t>
            </w:r>
          </w:p>
        </w:tc>
      </w:tr>
      <w:tr w14:paraId="00C73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3D31D40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~3.5 × 10</w:t>
            </w:r>
            <w:r>
              <w:rPr>
                <w:color w:val="000000" w:themeColor="text1"/>
                <w:szCs w:val="24"/>
                <w:vertAlign w:val="superscript"/>
                <w14:textFill>
                  <w14:solidFill>
                    <w14:schemeClr w14:val="tx1"/>
                  </w14:solidFill>
                </w14:textFill>
              </w:rPr>
              <w:t>-11</w:t>
            </w:r>
          </w:p>
        </w:tc>
        <w:tc>
          <w:tcPr>
            <w:tcW w:w="1763" w:type="dxa"/>
            <w:tcBorders>
              <w:top w:val="nil"/>
              <w:left w:val="nil"/>
              <w:bottom w:val="nil"/>
              <w:right w:val="nil"/>
            </w:tcBorders>
            <w:vAlign w:val="center"/>
          </w:tcPr>
          <w:p w14:paraId="3BA0AE3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 × 10</w:t>
            </w:r>
            <w:r>
              <w:rPr>
                <w:color w:val="000000" w:themeColor="text1"/>
                <w:szCs w:val="24"/>
                <w:vertAlign w:val="superscript"/>
                <w14:textFill>
                  <w14:solidFill>
                    <w14:schemeClr w14:val="tx1"/>
                  </w14:solidFill>
                </w14:textFill>
              </w:rPr>
              <w:t>-4</w:t>
            </w:r>
          </w:p>
        </w:tc>
        <w:tc>
          <w:tcPr>
            <w:tcW w:w="1381" w:type="dxa"/>
            <w:tcBorders>
              <w:top w:val="nil"/>
              <w:left w:val="nil"/>
              <w:bottom w:val="nil"/>
              <w:right w:val="nil"/>
            </w:tcBorders>
            <w:vAlign w:val="center"/>
          </w:tcPr>
          <w:p w14:paraId="1E497138">
            <w:pPr>
              <w:jc w:val="center"/>
              <w:rPr>
                <w:color w:val="000000" w:themeColor="text1"/>
                <w:szCs w:val="24"/>
                <w:lang w:eastAsia="zh-CN"/>
                <w14:textFill>
                  <w14:solidFill>
                    <w14:schemeClr w14:val="tx1"/>
                  </w14:solidFill>
                </w14:textFill>
              </w:rPr>
            </w:pPr>
            <w:r>
              <w:rPr>
                <w:szCs w:val="24"/>
                <w:vertAlign w:val="superscript"/>
                <w:lang w:eastAsia="zh-CN"/>
              </w:rPr>
              <w:t>4</w:t>
            </w:r>
          </w:p>
        </w:tc>
        <w:tc>
          <w:tcPr>
            <w:tcW w:w="1276" w:type="dxa"/>
            <w:tcBorders>
              <w:top w:val="nil"/>
              <w:left w:val="nil"/>
              <w:bottom w:val="nil"/>
              <w:right w:val="nil"/>
            </w:tcBorders>
            <w:vAlign w:val="center"/>
          </w:tcPr>
          <w:p w14:paraId="02892C04">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17500" cy="311150"/>
                  <wp:effectExtent l="0" t="0" r="6350" b="0"/>
                  <wp:docPr id="889877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7702" name="图片 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17500" cy="3111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636A518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69BEC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75532E2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~1.8 × 10</w:t>
            </w:r>
            <w:r>
              <w:rPr>
                <w:color w:val="000000" w:themeColor="text1"/>
                <w:szCs w:val="24"/>
                <w:vertAlign w:val="superscript"/>
                <w14:textFill>
                  <w14:solidFill>
                    <w14:schemeClr w14:val="tx1"/>
                  </w14:solidFill>
                </w14:textFill>
              </w:rPr>
              <w:t>-10</w:t>
            </w:r>
          </w:p>
        </w:tc>
        <w:tc>
          <w:tcPr>
            <w:tcW w:w="1763" w:type="dxa"/>
            <w:tcBorders>
              <w:top w:val="nil"/>
              <w:left w:val="nil"/>
              <w:bottom w:val="nil"/>
              <w:right w:val="nil"/>
            </w:tcBorders>
            <w:vAlign w:val="center"/>
          </w:tcPr>
          <w:p w14:paraId="131F17D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5.0 × 10</w:t>
            </w:r>
            <w:r>
              <w:rPr>
                <w:color w:val="000000" w:themeColor="text1"/>
                <w:szCs w:val="24"/>
                <w:vertAlign w:val="superscript"/>
                <w14:textFill>
                  <w14:solidFill>
                    <w14:schemeClr w14:val="tx1"/>
                  </w14:solidFill>
                </w14:textFill>
              </w:rPr>
              <w:t>-5</w:t>
            </w:r>
          </w:p>
        </w:tc>
        <w:tc>
          <w:tcPr>
            <w:tcW w:w="1381" w:type="dxa"/>
            <w:tcBorders>
              <w:top w:val="nil"/>
              <w:left w:val="nil"/>
              <w:bottom w:val="nil"/>
              <w:right w:val="nil"/>
            </w:tcBorders>
            <w:vAlign w:val="center"/>
          </w:tcPr>
          <w:p w14:paraId="2AE36269">
            <w:pPr>
              <w:jc w:val="center"/>
              <w:rPr>
                <w:color w:val="000000" w:themeColor="text1"/>
                <w:szCs w:val="24"/>
                <w:lang w:eastAsia="zh-CN"/>
                <w14:textFill>
                  <w14:solidFill>
                    <w14:schemeClr w14:val="tx1"/>
                  </w14:solidFill>
                </w14:textFill>
              </w:rPr>
            </w:pPr>
            <w:r>
              <w:rPr>
                <w:szCs w:val="24"/>
                <w:vertAlign w:val="superscript"/>
                <w:lang w:eastAsia="zh-CN"/>
              </w:rPr>
              <w:t>5</w:t>
            </w:r>
          </w:p>
        </w:tc>
        <w:tc>
          <w:tcPr>
            <w:tcW w:w="1276" w:type="dxa"/>
            <w:tcBorders>
              <w:top w:val="nil"/>
              <w:left w:val="nil"/>
              <w:bottom w:val="nil"/>
              <w:right w:val="nil"/>
            </w:tcBorders>
            <w:vAlign w:val="center"/>
          </w:tcPr>
          <w:p w14:paraId="704329E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30200" cy="323850"/>
                  <wp:effectExtent l="0" t="0" r="0" b="0"/>
                  <wp:docPr id="9271099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0998" name="图片 5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330200" cy="3238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5BABD2B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31149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568B8AF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 × 10</w:t>
            </w:r>
            <w:r>
              <w:rPr>
                <w:color w:val="000000" w:themeColor="text1"/>
                <w:szCs w:val="24"/>
                <w:vertAlign w:val="superscript"/>
                <w14:textFill>
                  <w14:solidFill>
                    <w14:schemeClr w14:val="tx1"/>
                  </w14:solidFill>
                </w14:textFill>
              </w:rPr>
              <w:t>-11</w:t>
            </w:r>
          </w:p>
        </w:tc>
        <w:tc>
          <w:tcPr>
            <w:tcW w:w="1763" w:type="dxa"/>
            <w:tcBorders>
              <w:top w:val="nil"/>
              <w:left w:val="nil"/>
              <w:bottom w:val="nil"/>
              <w:right w:val="nil"/>
            </w:tcBorders>
            <w:vAlign w:val="center"/>
          </w:tcPr>
          <w:p w14:paraId="425F246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 × 10</w:t>
            </w:r>
            <w:r>
              <w:rPr>
                <w:color w:val="000000" w:themeColor="text1"/>
                <w:szCs w:val="24"/>
                <w:vertAlign w:val="superscript"/>
                <w14:textFill>
                  <w14:solidFill>
                    <w14:schemeClr w14:val="tx1"/>
                  </w14:solidFill>
                </w14:textFill>
              </w:rPr>
              <w:t>-6</w:t>
            </w:r>
          </w:p>
        </w:tc>
        <w:tc>
          <w:tcPr>
            <w:tcW w:w="1381" w:type="dxa"/>
            <w:tcBorders>
              <w:top w:val="nil"/>
              <w:left w:val="nil"/>
              <w:bottom w:val="nil"/>
              <w:right w:val="nil"/>
            </w:tcBorders>
            <w:vAlign w:val="center"/>
          </w:tcPr>
          <w:p w14:paraId="57059615">
            <w:pPr>
              <w:jc w:val="center"/>
              <w:rPr>
                <w:color w:val="000000" w:themeColor="text1"/>
                <w:szCs w:val="24"/>
                <w:lang w:eastAsia="zh-CN"/>
                <w14:textFill>
                  <w14:solidFill>
                    <w14:schemeClr w14:val="tx1"/>
                  </w14:solidFill>
                </w14:textFill>
              </w:rPr>
            </w:pPr>
            <w:r>
              <w:rPr>
                <w:szCs w:val="24"/>
                <w:vertAlign w:val="superscript"/>
                <w:lang w:eastAsia="zh-CN"/>
              </w:rPr>
              <w:t>6</w:t>
            </w:r>
          </w:p>
        </w:tc>
        <w:tc>
          <w:tcPr>
            <w:tcW w:w="1276" w:type="dxa"/>
            <w:tcBorders>
              <w:top w:val="nil"/>
              <w:left w:val="nil"/>
              <w:bottom w:val="nil"/>
              <w:right w:val="nil"/>
            </w:tcBorders>
            <w:vAlign w:val="center"/>
          </w:tcPr>
          <w:p w14:paraId="0C5B82B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04800" cy="311150"/>
                  <wp:effectExtent l="0" t="0" r="0" b="0"/>
                  <wp:docPr id="142310762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07621" name="图片 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04800" cy="3111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2DB26D3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WSe</w:t>
            </w:r>
            <w:r>
              <w:rPr>
                <w:color w:val="000000" w:themeColor="text1"/>
                <w:szCs w:val="24"/>
                <w:vertAlign w:val="subscript"/>
                <w14:textFill>
                  <w14:solidFill>
                    <w14:schemeClr w14:val="tx1"/>
                  </w14:solidFill>
                </w14:textFill>
              </w:rPr>
              <w:t xml:space="preserve">2 </w:t>
            </w:r>
            <w:r>
              <w:rPr>
                <w:color w:val="000000" w:themeColor="text1"/>
                <w:szCs w:val="24"/>
                <w14:textFill>
                  <w14:solidFill>
                    <w14:schemeClr w14:val="tx1"/>
                  </w14:solidFill>
                </w14:textFill>
              </w:rPr>
              <w:t>(2D material)</w:t>
            </w:r>
          </w:p>
        </w:tc>
      </w:tr>
      <w:tr w14:paraId="3A964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7EC25D2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 × 10</w:t>
            </w:r>
            <w:r>
              <w:rPr>
                <w:color w:val="000000" w:themeColor="text1"/>
                <w:szCs w:val="24"/>
                <w:vertAlign w:val="superscript"/>
                <w14:textFill>
                  <w14:solidFill>
                    <w14:schemeClr w14:val="tx1"/>
                  </w14:solidFill>
                </w14:textFill>
              </w:rPr>
              <w:t>-10</w:t>
            </w:r>
          </w:p>
        </w:tc>
        <w:tc>
          <w:tcPr>
            <w:tcW w:w="1763" w:type="dxa"/>
            <w:tcBorders>
              <w:top w:val="nil"/>
              <w:left w:val="nil"/>
              <w:bottom w:val="nil"/>
              <w:right w:val="nil"/>
            </w:tcBorders>
            <w:vAlign w:val="center"/>
          </w:tcPr>
          <w:p w14:paraId="017BE98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2.1 × 10</w:t>
            </w:r>
            <w:r>
              <w:rPr>
                <w:color w:val="000000" w:themeColor="text1"/>
                <w:szCs w:val="24"/>
                <w:vertAlign w:val="superscript"/>
                <w14:textFill>
                  <w14:solidFill>
                    <w14:schemeClr w14:val="tx1"/>
                  </w14:solidFill>
                </w14:textFill>
              </w:rPr>
              <w:t>-4</w:t>
            </w:r>
          </w:p>
        </w:tc>
        <w:tc>
          <w:tcPr>
            <w:tcW w:w="1381" w:type="dxa"/>
            <w:tcBorders>
              <w:top w:val="nil"/>
              <w:left w:val="nil"/>
              <w:bottom w:val="nil"/>
              <w:right w:val="nil"/>
            </w:tcBorders>
            <w:vAlign w:val="center"/>
          </w:tcPr>
          <w:p w14:paraId="09B988A1">
            <w:pPr>
              <w:jc w:val="center"/>
              <w:rPr>
                <w:color w:val="000000" w:themeColor="text1"/>
                <w:szCs w:val="24"/>
                <w:lang w:eastAsia="zh-CN"/>
                <w14:textFill>
                  <w14:solidFill>
                    <w14:schemeClr w14:val="tx1"/>
                  </w14:solidFill>
                </w14:textFill>
              </w:rPr>
            </w:pPr>
            <w:r>
              <w:rPr>
                <w:szCs w:val="24"/>
                <w:vertAlign w:val="superscript"/>
                <w:lang w:eastAsia="zh-CN"/>
              </w:rPr>
              <w:t>7</w:t>
            </w:r>
          </w:p>
        </w:tc>
        <w:tc>
          <w:tcPr>
            <w:tcW w:w="1276" w:type="dxa"/>
            <w:tcBorders>
              <w:top w:val="nil"/>
              <w:left w:val="nil"/>
              <w:bottom w:val="nil"/>
              <w:right w:val="nil"/>
            </w:tcBorders>
            <w:vAlign w:val="center"/>
          </w:tcPr>
          <w:p w14:paraId="2DBB33A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92100" cy="317500"/>
                  <wp:effectExtent l="0" t="0" r="0" b="6350"/>
                  <wp:docPr id="1505473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7355" name="图片 5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92100" cy="3175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01B93E4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0E734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3365172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~2.2 × 10</w:t>
            </w:r>
            <w:r>
              <w:rPr>
                <w:color w:val="000000" w:themeColor="text1"/>
                <w:szCs w:val="24"/>
                <w:vertAlign w:val="superscript"/>
                <w14:textFill>
                  <w14:solidFill>
                    <w14:schemeClr w14:val="tx1"/>
                  </w14:solidFill>
                </w14:textFill>
              </w:rPr>
              <w:t>-12</w:t>
            </w:r>
          </w:p>
        </w:tc>
        <w:tc>
          <w:tcPr>
            <w:tcW w:w="1763" w:type="dxa"/>
            <w:tcBorders>
              <w:top w:val="nil"/>
              <w:left w:val="nil"/>
              <w:bottom w:val="nil"/>
              <w:right w:val="nil"/>
            </w:tcBorders>
            <w:vAlign w:val="center"/>
          </w:tcPr>
          <w:p w14:paraId="4835707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 × 10</w:t>
            </w:r>
            <w:r>
              <w:rPr>
                <w:color w:val="000000" w:themeColor="text1"/>
                <w:szCs w:val="24"/>
                <w:vertAlign w:val="superscript"/>
                <w14:textFill>
                  <w14:solidFill>
                    <w14:schemeClr w14:val="tx1"/>
                  </w14:solidFill>
                </w14:textFill>
              </w:rPr>
              <w:t>-4</w:t>
            </w:r>
          </w:p>
        </w:tc>
        <w:tc>
          <w:tcPr>
            <w:tcW w:w="1381" w:type="dxa"/>
            <w:tcBorders>
              <w:top w:val="nil"/>
              <w:left w:val="nil"/>
              <w:bottom w:val="nil"/>
              <w:right w:val="nil"/>
            </w:tcBorders>
            <w:vAlign w:val="center"/>
          </w:tcPr>
          <w:p w14:paraId="4529058F">
            <w:pPr>
              <w:jc w:val="center"/>
              <w:rPr>
                <w:color w:val="000000" w:themeColor="text1"/>
                <w:szCs w:val="24"/>
                <w:lang w:eastAsia="zh-CN"/>
                <w14:textFill>
                  <w14:solidFill>
                    <w14:schemeClr w14:val="tx1"/>
                  </w14:solidFill>
                </w14:textFill>
              </w:rPr>
            </w:pPr>
            <w:r>
              <w:rPr>
                <w:szCs w:val="24"/>
                <w:vertAlign w:val="superscript"/>
                <w:lang w:eastAsia="zh-CN"/>
              </w:rPr>
              <w:t>8</w:t>
            </w:r>
          </w:p>
        </w:tc>
        <w:tc>
          <w:tcPr>
            <w:tcW w:w="1276" w:type="dxa"/>
            <w:tcBorders>
              <w:top w:val="nil"/>
              <w:left w:val="nil"/>
              <w:bottom w:val="nil"/>
              <w:right w:val="nil"/>
            </w:tcBorders>
            <w:vAlign w:val="center"/>
          </w:tcPr>
          <w:p w14:paraId="51C727D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30200" cy="266700"/>
                  <wp:effectExtent l="0" t="0" r="0" b="0"/>
                  <wp:docPr id="44465213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52135" name="图片 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30200" cy="2667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6050950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0E563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77D7804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~3.0 × 10</w:t>
            </w:r>
            <w:r>
              <w:rPr>
                <w:color w:val="000000" w:themeColor="text1"/>
                <w:szCs w:val="24"/>
                <w:vertAlign w:val="superscript"/>
                <w14:textFill>
                  <w14:solidFill>
                    <w14:schemeClr w14:val="tx1"/>
                  </w14:solidFill>
                </w14:textFill>
              </w:rPr>
              <w:t>-14</w:t>
            </w:r>
          </w:p>
        </w:tc>
        <w:tc>
          <w:tcPr>
            <w:tcW w:w="1763" w:type="dxa"/>
            <w:tcBorders>
              <w:top w:val="nil"/>
              <w:left w:val="nil"/>
              <w:bottom w:val="nil"/>
              <w:right w:val="nil"/>
            </w:tcBorders>
            <w:vAlign w:val="center"/>
          </w:tcPr>
          <w:p w14:paraId="2161EAC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3.0 × 10</w:t>
            </w:r>
            <w:r>
              <w:rPr>
                <w:color w:val="000000" w:themeColor="text1"/>
                <w:szCs w:val="24"/>
                <w:vertAlign w:val="superscript"/>
                <w14:textFill>
                  <w14:solidFill>
                    <w14:schemeClr w14:val="tx1"/>
                  </w14:solidFill>
                </w14:textFill>
              </w:rPr>
              <w:t>-8</w:t>
            </w:r>
          </w:p>
        </w:tc>
        <w:tc>
          <w:tcPr>
            <w:tcW w:w="1381" w:type="dxa"/>
            <w:tcBorders>
              <w:top w:val="nil"/>
              <w:left w:val="nil"/>
              <w:bottom w:val="nil"/>
              <w:right w:val="nil"/>
            </w:tcBorders>
            <w:vAlign w:val="center"/>
          </w:tcPr>
          <w:p w14:paraId="4478C835">
            <w:pPr>
              <w:jc w:val="center"/>
              <w:rPr>
                <w:color w:val="000000" w:themeColor="text1"/>
                <w:szCs w:val="24"/>
                <w:lang w:eastAsia="zh-CN"/>
                <w14:textFill>
                  <w14:solidFill>
                    <w14:schemeClr w14:val="tx1"/>
                  </w14:solidFill>
                </w14:textFill>
              </w:rPr>
            </w:pPr>
            <w:r>
              <w:rPr>
                <w:szCs w:val="24"/>
                <w:vertAlign w:val="superscript"/>
                <w:lang w:eastAsia="zh-CN"/>
              </w:rPr>
              <w:t>9</w:t>
            </w:r>
          </w:p>
        </w:tc>
        <w:tc>
          <w:tcPr>
            <w:tcW w:w="1276" w:type="dxa"/>
            <w:tcBorders>
              <w:top w:val="nil"/>
              <w:left w:val="nil"/>
              <w:bottom w:val="nil"/>
              <w:right w:val="nil"/>
            </w:tcBorders>
            <w:vAlign w:val="center"/>
          </w:tcPr>
          <w:p w14:paraId="68A5730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85750" cy="311150"/>
                  <wp:effectExtent l="0" t="0" r="0" b="0"/>
                  <wp:docPr id="33889299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92993" name="图片 53"/>
                          <pic:cNvPicPr>
                            <a:picLocks noChangeAspect="1" noChangeArrowheads="1"/>
                          </pic:cNvPicPr>
                        </pic:nvPicPr>
                        <pic:blipFill>
                          <a:blip r:embed="rId29">
                            <a:extLst>
                              <a:ext uri="{28A0092B-C50C-407E-A947-70E740481C1C}">
                                <a14:useLocalDpi xmlns:a14="http://schemas.microsoft.com/office/drawing/2010/main" val="0"/>
                              </a:ext>
                            </a:extLst>
                          </a:blip>
                          <a:srcRect l="16949" t="10170"/>
                          <a:stretch>
                            <a:fillRect/>
                          </a:stretch>
                        </pic:blipFill>
                        <pic:spPr>
                          <a:xfrm>
                            <a:off x="0" y="0"/>
                            <a:ext cx="285750" cy="3111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2E3A518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metal oxide</w:t>
            </w:r>
          </w:p>
        </w:tc>
      </w:tr>
      <w:tr w14:paraId="2A2F8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1CCEEAD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~3.9 × 10</w:t>
            </w:r>
            <w:r>
              <w:rPr>
                <w:color w:val="000000" w:themeColor="text1"/>
                <w:szCs w:val="24"/>
                <w:vertAlign w:val="superscript"/>
                <w14:textFill>
                  <w14:solidFill>
                    <w14:schemeClr w14:val="tx1"/>
                  </w14:solidFill>
                </w14:textFill>
              </w:rPr>
              <w:t>-9</w:t>
            </w:r>
          </w:p>
        </w:tc>
        <w:tc>
          <w:tcPr>
            <w:tcW w:w="1763" w:type="dxa"/>
            <w:tcBorders>
              <w:top w:val="nil"/>
              <w:left w:val="nil"/>
              <w:bottom w:val="nil"/>
              <w:right w:val="nil"/>
            </w:tcBorders>
            <w:vAlign w:val="center"/>
          </w:tcPr>
          <w:p w14:paraId="491515E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5.0 × 10</w:t>
            </w:r>
            <w:r>
              <w:rPr>
                <w:color w:val="000000" w:themeColor="text1"/>
                <w:szCs w:val="24"/>
                <w:vertAlign w:val="superscript"/>
                <w14:textFill>
                  <w14:solidFill>
                    <w14:schemeClr w14:val="tx1"/>
                  </w14:solidFill>
                </w14:textFill>
              </w:rPr>
              <w:t>-7</w:t>
            </w:r>
          </w:p>
        </w:tc>
        <w:tc>
          <w:tcPr>
            <w:tcW w:w="1381" w:type="dxa"/>
            <w:tcBorders>
              <w:top w:val="nil"/>
              <w:left w:val="nil"/>
              <w:bottom w:val="nil"/>
              <w:right w:val="nil"/>
            </w:tcBorders>
            <w:vAlign w:val="center"/>
          </w:tcPr>
          <w:p w14:paraId="48F6DF51">
            <w:pPr>
              <w:jc w:val="center"/>
              <w:rPr>
                <w:color w:val="000000" w:themeColor="text1"/>
                <w:szCs w:val="24"/>
                <w:lang w:eastAsia="zh-CN"/>
                <w14:textFill>
                  <w14:solidFill>
                    <w14:schemeClr w14:val="tx1"/>
                  </w14:solidFill>
                </w14:textFill>
              </w:rPr>
            </w:pPr>
            <w:r>
              <w:rPr>
                <w:szCs w:val="24"/>
                <w:vertAlign w:val="superscript"/>
                <w:lang w:eastAsia="zh-CN"/>
              </w:rPr>
              <w:t>10</w:t>
            </w:r>
          </w:p>
        </w:tc>
        <w:tc>
          <w:tcPr>
            <w:tcW w:w="1276" w:type="dxa"/>
            <w:tcBorders>
              <w:top w:val="nil"/>
              <w:left w:val="nil"/>
              <w:bottom w:val="nil"/>
              <w:right w:val="nil"/>
            </w:tcBorders>
            <w:vAlign w:val="center"/>
          </w:tcPr>
          <w:p w14:paraId="41E2056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74650" cy="336550"/>
                  <wp:effectExtent l="0" t="0" r="6350" b="6350"/>
                  <wp:docPr id="163961132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11326" name="图片 52"/>
                          <pic:cNvPicPr>
                            <a:picLocks noChangeAspect="1" noChangeArrowheads="1"/>
                          </pic:cNvPicPr>
                        </pic:nvPicPr>
                        <pic:blipFill>
                          <a:blip r:embed="rId30">
                            <a:extLst>
                              <a:ext uri="{28A0092B-C50C-407E-A947-70E740481C1C}">
                                <a14:useLocalDpi xmlns:a14="http://schemas.microsoft.com/office/drawing/2010/main" val="0"/>
                              </a:ext>
                            </a:extLst>
                          </a:blip>
                          <a:srcRect l="8466" t="8333"/>
                          <a:stretch>
                            <a:fillRect/>
                          </a:stretch>
                        </pic:blipFill>
                        <pic:spPr>
                          <a:xfrm>
                            <a:off x="0" y="0"/>
                            <a:ext cx="374650" cy="3365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16F7597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metal oxide</w:t>
            </w:r>
          </w:p>
        </w:tc>
      </w:tr>
      <w:tr w14:paraId="72143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7B69FAE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 × 10</w:t>
            </w:r>
            <w:r>
              <w:rPr>
                <w:color w:val="000000" w:themeColor="text1"/>
                <w:szCs w:val="24"/>
                <w:vertAlign w:val="superscript"/>
                <w14:textFill>
                  <w14:solidFill>
                    <w14:schemeClr w14:val="tx1"/>
                  </w14:solidFill>
                </w14:textFill>
              </w:rPr>
              <w:t>-15</w:t>
            </w:r>
          </w:p>
        </w:tc>
        <w:tc>
          <w:tcPr>
            <w:tcW w:w="1763" w:type="dxa"/>
            <w:tcBorders>
              <w:top w:val="nil"/>
              <w:left w:val="nil"/>
              <w:bottom w:val="nil"/>
              <w:right w:val="nil"/>
            </w:tcBorders>
            <w:vAlign w:val="center"/>
          </w:tcPr>
          <w:p w14:paraId="2BCBEEA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1.5 × 10</w:t>
            </w:r>
            <w:r>
              <w:rPr>
                <w:color w:val="000000" w:themeColor="text1"/>
                <w:szCs w:val="24"/>
                <w:vertAlign w:val="superscript"/>
                <w14:textFill>
                  <w14:solidFill>
                    <w14:schemeClr w14:val="tx1"/>
                  </w14:solidFill>
                </w14:textFill>
              </w:rPr>
              <w:t>-5</w:t>
            </w:r>
          </w:p>
        </w:tc>
        <w:tc>
          <w:tcPr>
            <w:tcW w:w="1381" w:type="dxa"/>
            <w:tcBorders>
              <w:top w:val="nil"/>
              <w:left w:val="nil"/>
              <w:bottom w:val="nil"/>
              <w:right w:val="nil"/>
            </w:tcBorders>
            <w:vAlign w:val="center"/>
          </w:tcPr>
          <w:p w14:paraId="49902C80">
            <w:pPr>
              <w:jc w:val="center"/>
              <w:rPr>
                <w:color w:val="000000" w:themeColor="text1"/>
                <w:szCs w:val="24"/>
                <w:lang w:eastAsia="zh-CN"/>
                <w14:textFill>
                  <w14:solidFill>
                    <w14:schemeClr w14:val="tx1"/>
                  </w14:solidFill>
                </w14:textFill>
              </w:rPr>
            </w:pPr>
            <w:r>
              <w:rPr>
                <w:szCs w:val="24"/>
                <w:vertAlign w:val="superscript"/>
                <w:lang w:eastAsia="zh-CN"/>
              </w:rPr>
              <w:t>11</w:t>
            </w:r>
          </w:p>
        </w:tc>
        <w:tc>
          <w:tcPr>
            <w:tcW w:w="1276" w:type="dxa"/>
            <w:tcBorders>
              <w:top w:val="nil"/>
              <w:left w:val="nil"/>
              <w:bottom w:val="nil"/>
              <w:right w:val="nil"/>
            </w:tcBorders>
            <w:vAlign w:val="center"/>
          </w:tcPr>
          <w:p w14:paraId="3B08198B">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81000" cy="368300"/>
                  <wp:effectExtent l="0" t="0" r="0" b="0"/>
                  <wp:docPr id="121868187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81875" name="图片 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81000" cy="3683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40C8CAA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metal oxide</w:t>
            </w:r>
          </w:p>
        </w:tc>
      </w:tr>
      <w:tr w14:paraId="5253A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0DCAF2B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~1.8 × 10</w:t>
            </w:r>
            <w:r>
              <w:rPr>
                <w:color w:val="000000" w:themeColor="text1"/>
                <w:szCs w:val="24"/>
                <w:vertAlign w:val="superscript"/>
                <w14:textFill>
                  <w14:solidFill>
                    <w14:schemeClr w14:val="tx1"/>
                  </w14:solidFill>
                </w14:textFill>
              </w:rPr>
              <w:t>-7</w:t>
            </w:r>
          </w:p>
        </w:tc>
        <w:tc>
          <w:tcPr>
            <w:tcW w:w="1763" w:type="dxa"/>
            <w:tcBorders>
              <w:top w:val="nil"/>
              <w:left w:val="nil"/>
              <w:bottom w:val="nil"/>
              <w:right w:val="nil"/>
            </w:tcBorders>
            <w:vAlign w:val="center"/>
          </w:tcPr>
          <w:p w14:paraId="3DCCF03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4.0 × 10</w:t>
            </w:r>
            <w:r>
              <w:rPr>
                <w:color w:val="000000" w:themeColor="text1"/>
                <w:szCs w:val="24"/>
                <w:vertAlign w:val="superscript"/>
                <w14:textFill>
                  <w14:solidFill>
                    <w14:schemeClr w14:val="tx1"/>
                  </w14:solidFill>
                </w14:textFill>
              </w:rPr>
              <w:t>-5</w:t>
            </w:r>
          </w:p>
        </w:tc>
        <w:tc>
          <w:tcPr>
            <w:tcW w:w="1381" w:type="dxa"/>
            <w:tcBorders>
              <w:top w:val="nil"/>
              <w:left w:val="nil"/>
              <w:bottom w:val="nil"/>
              <w:right w:val="nil"/>
            </w:tcBorders>
            <w:vAlign w:val="center"/>
          </w:tcPr>
          <w:p w14:paraId="7A28B3F0">
            <w:pPr>
              <w:jc w:val="center"/>
              <w:rPr>
                <w:color w:val="000000" w:themeColor="text1"/>
                <w:szCs w:val="24"/>
                <w14:textFill>
                  <w14:solidFill>
                    <w14:schemeClr w14:val="tx1"/>
                  </w14:solidFill>
                </w14:textFill>
              </w:rPr>
            </w:pPr>
            <w:r>
              <w:rPr>
                <w:szCs w:val="24"/>
                <w:vertAlign w:val="superscript"/>
                <w:lang w:eastAsia="zh-CN"/>
              </w:rPr>
              <w:t>1</w:t>
            </w:r>
            <w:r>
              <w:rPr>
                <w:szCs w:val="24"/>
                <w:vertAlign w:val="superscript"/>
              </w:rPr>
              <w:t>2</w:t>
            </w:r>
          </w:p>
        </w:tc>
        <w:tc>
          <w:tcPr>
            <w:tcW w:w="1276" w:type="dxa"/>
            <w:tcBorders>
              <w:top w:val="nil"/>
              <w:left w:val="nil"/>
              <w:bottom w:val="nil"/>
              <w:right w:val="nil"/>
            </w:tcBorders>
            <w:vAlign w:val="center"/>
          </w:tcPr>
          <w:p w14:paraId="068BFA59">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61950" cy="387350"/>
                  <wp:effectExtent l="0" t="0" r="0" b="0"/>
                  <wp:docPr id="143307194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71944" name="图片 5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61950" cy="3873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430FDB0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658DF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6E40D27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~5.7 × 10</w:t>
            </w:r>
            <w:r>
              <w:rPr>
                <w:color w:val="000000" w:themeColor="text1"/>
                <w:szCs w:val="24"/>
                <w:vertAlign w:val="superscript"/>
                <w14:textFill>
                  <w14:solidFill>
                    <w14:schemeClr w14:val="tx1"/>
                  </w14:solidFill>
                </w14:textFill>
              </w:rPr>
              <w:t>-8</w:t>
            </w:r>
          </w:p>
        </w:tc>
        <w:tc>
          <w:tcPr>
            <w:tcW w:w="1763" w:type="dxa"/>
            <w:tcBorders>
              <w:top w:val="nil"/>
              <w:left w:val="nil"/>
              <w:bottom w:val="nil"/>
              <w:right w:val="nil"/>
            </w:tcBorders>
            <w:vAlign w:val="center"/>
          </w:tcPr>
          <w:p w14:paraId="47D81C9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5.0 × 10</w:t>
            </w:r>
            <w:r>
              <w:rPr>
                <w:color w:val="000000" w:themeColor="text1"/>
                <w:szCs w:val="24"/>
                <w:vertAlign w:val="superscript"/>
                <w14:textFill>
                  <w14:solidFill>
                    <w14:schemeClr w14:val="tx1"/>
                  </w14:solidFill>
                </w14:textFill>
              </w:rPr>
              <w:t>-5</w:t>
            </w:r>
          </w:p>
        </w:tc>
        <w:tc>
          <w:tcPr>
            <w:tcW w:w="1381" w:type="dxa"/>
            <w:tcBorders>
              <w:top w:val="nil"/>
              <w:left w:val="nil"/>
              <w:bottom w:val="nil"/>
              <w:right w:val="nil"/>
            </w:tcBorders>
            <w:vAlign w:val="center"/>
          </w:tcPr>
          <w:p w14:paraId="48CEA227">
            <w:pPr>
              <w:jc w:val="center"/>
              <w:rPr>
                <w:color w:val="000000" w:themeColor="text1"/>
                <w:szCs w:val="24"/>
                <w:lang w:eastAsia="zh-CN"/>
                <w14:textFill>
                  <w14:solidFill>
                    <w14:schemeClr w14:val="tx1"/>
                  </w14:solidFill>
                </w14:textFill>
              </w:rPr>
            </w:pPr>
            <w:r>
              <w:rPr>
                <w:szCs w:val="24"/>
                <w:vertAlign w:val="superscript"/>
                <w:lang w:eastAsia="zh-CN"/>
              </w:rPr>
              <w:t>13</w:t>
            </w:r>
          </w:p>
        </w:tc>
        <w:tc>
          <w:tcPr>
            <w:tcW w:w="1276" w:type="dxa"/>
            <w:tcBorders>
              <w:top w:val="nil"/>
              <w:left w:val="nil"/>
              <w:bottom w:val="nil"/>
              <w:right w:val="nil"/>
            </w:tcBorders>
            <w:vAlign w:val="center"/>
          </w:tcPr>
          <w:p w14:paraId="3A2F9A5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30200" cy="374650"/>
                  <wp:effectExtent l="0" t="0" r="0" b="6350"/>
                  <wp:docPr id="173763772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37729" name="图片 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30200" cy="3746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4F4001B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3C14F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12125E5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~6.0 × 10</w:t>
            </w:r>
            <w:r>
              <w:rPr>
                <w:color w:val="000000" w:themeColor="text1"/>
                <w:szCs w:val="24"/>
                <w:vertAlign w:val="superscript"/>
                <w14:textFill>
                  <w14:solidFill>
                    <w14:schemeClr w14:val="tx1"/>
                  </w14:solidFill>
                </w14:textFill>
              </w:rPr>
              <w:t>-17</w:t>
            </w:r>
          </w:p>
        </w:tc>
        <w:tc>
          <w:tcPr>
            <w:tcW w:w="1763" w:type="dxa"/>
            <w:tcBorders>
              <w:top w:val="nil"/>
              <w:left w:val="nil"/>
              <w:bottom w:val="nil"/>
              <w:right w:val="nil"/>
            </w:tcBorders>
            <w:vAlign w:val="center"/>
          </w:tcPr>
          <w:p w14:paraId="65BB19C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3.0 × 10</w:t>
            </w:r>
            <w:r>
              <w:rPr>
                <w:color w:val="000000" w:themeColor="text1"/>
                <w:szCs w:val="24"/>
                <w:vertAlign w:val="superscript"/>
                <w14:textFill>
                  <w14:solidFill>
                    <w14:schemeClr w14:val="tx1"/>
                  </w14:solidFill>
                </w14:textFill>
              </w:rPr>
              <w:t>-8</w:t>
            </w:r>
          </w:p>
        </w:tc>
        <w:tc>
          <w:tcPr>
            <w:tcW w:w="1381" w:type="dxa"/>
            <w:tcBorders>
              <w:top w:val="nil"/>
              <w:left w:val="nil"/>
              <w:bottom w:val="nil"/>
              <w:right w:val="nil"/>
            </w:tcBorders>
            <w:vAlign w:val="center"/>
          </w:tcPr>
          <w:p w14:paraId="55D9F5FC">
            <w:pPr>
              <w:jc w:val="center"/>
              <w:rPr>
                <w:color w:val="000000" w:themeColor="text1"/>
                <w:szCs w:val="24"/>
                <w14:textFill>
                  <w14:solidFill>
                    <w14:schemeClr w14:val="tx1"/>
                  </w14:solidFill>
                </w14:textFill>
              </w:rPr>
            </w:pPr>
            <w:r>
              <w:rPr>
                <w:szCs w:val="24"/>
                <w:vertAlign w:val="superscript"/>
              </w:rPr>
              <w:t>14</w:t>
            </w:r>
          </w:p>
        </w:tc>
        <w:tc>
          <w:tcPr>
            <w:tcW w:w="1276" w:type="dxa"/>
            <w:tcBorders>
              <w:top w:val="nil"/>
              <w:left w:val="nil"/>
              <w:bottom w:val="nil"/>
              <w:right w:val="nil"/>
            </w:tcBorders>
            <w:vAlign w:val="center"/>
          </w:tcPr>
          <w:p w14:paraId="25BEB1F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17500" cy="323850"/>
                  <wp:effectExtent l="0" t="0" r="6350" b="0"/>
                  <wp:docPr id="98097733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77336" name="图片 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17500" cy="3238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1FBD4BE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64B13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0B0A707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~3.1 × 10</w:t>
            </w:r>
            <w:r>
              <w:rPr>
                <w:color w:val="000000" w:themeColor="text1"/>
                <w:szCs w:val="24"/>
                <w:vertAlign w:val="superscript"/>
                <w14:textFill>
                  <w14:solidFill>
                    <w14:schemeClr w14:val="tx1"/>
                  </w14:solidFill>
                </w14:textFill>
              </w:rPr>
              <w:t>-5</w:t>
            </w:r>
          </w:p>
        </w:tc>
        <w:tc>
          <w:tcPr>
            <w:tcW w:w="1763" w:type="dxa"/>
            <w:tcBorders>
              <w:top w:val="nil"/>
              <w:left w:val="nil"/>
              <w:bottom w:val="nil"/>
              <w:right w:val="nil"/>
            </w:tcBorders>
            <w:vAlign w:val="center"/>
          </w:tcPr>
          <w:p w14:paraId="2A8905D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~5 × 10</w:t>
            </w:r>
            <w:r>
              <w:rPr>
                <w:color w:val="000000" w:themeColor="text1"/>
                <w:szCs w:val="24"/>
                <w:vertAlign w:val="superscript"/>
                <w14:textFill>
                  <w14:solidFill>
                    <w14:schemeClr w14:val="tx1"/>
                  </w14:solidFill>
                </w14:textFill>
              </w:rPr>
              <w:t>-6</w:t>
            </w:r>
          </w:p>
        </w:tc>
        <w:tc>
          <w:tcPr>
            <w:tcW w:w="1381" w:type="dxa"/>
            <w:tcBorders>
              <w:top w:val="nil"/>
              <w:left w:val="nil"/>
              <w:bottom w:val="nil"/>
              <w:right w:val="nil"/>
            </w:tcBorders>
            <w:vAlign w:val="center"/>
          </w:tcPr>
          <w:p w14:paraId="65B1813C">
            <w:pPr>
              <w:jc w:val="center"/>
              <w:rPr>
                <w:color w:val="000000" w:themeColor="text1"/>
                <w:szCs w:val="24"/>
                <w:lang w:eastAsia="zh-CN"/>
                <w14:textFill>
                  <w14:solidFill>
                    <w14:schemeClr w14:val="tx1"/>
                  </w14:solidFill>
                </w14:textFill>
              </w:rPr>
            </w:pPr>
            <w:r>
              <w:rPr>
                <w:szCs w:val="24"/>
                <w:vertAlign w:val="superscript"/>
              </w:rPr>
              <w:t>1</w:t>
            </w:r>
            <w:r>
              <w:rPr>
                <w:szCs w:val="24"/>
                <w:vertAlign w:val="superscript"/>
                <w:lang w:eastAsia="zh-CN"/>
              </w:rPr>
              <w:t>5</w:t>
            </w:r>
          </w:p>
        </w:tc>
        <w:tc>
          <w:tcPr>
            <w:tcW w:w="1276" w:type="dxa"/>
            <w:tcBorders>
              <w:top w:val="nil"/>
              <w:left w:val="nil"/>
              <w:bottom w:val="nil"/>
              <w:right w:val="nil"/>
            </w:tcBorders>
            <w:vAlign w:val="center"/>
          </w:tcPr>
          <w:p w14:paraId="65B7D83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04800" cy="285750"/>
                  <wp:effectExtent l="0" t="0" r="0" b="0"/>
                  <wp:docPr id="209067893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78934" name="图片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04800" cy="2857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58EF057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2BA4A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7CD4EB1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~2.9 × 10</w:t>
            </w:r>
            <w:r>
              <w:rPr>
                <w:color w:val="000000" w:themeColor="text1"/>
                <w:szCs w:val="24"/>
                <w:vertAlign w:val="superscript"/>
                <w14:textFill>
                  <w14:solidFill>
                    <w14:schemeClr w14:val="tx1"/>
                  </w14:solidFill>
                </w14:textFill>
              </w:rPr>
              <w:t>-5</w:t>
            </w:r>
          </w:p>
        </w:tc>
        <w:tc>
          <w:tcPr>
            <w:tcW w:w="1763" w:type="dxa"/>
            <w:tcBorders>
              <w:top w:val="nil"/>
              <w:left w:val="nil"/>
              <w:bottom w:val="nil"/>
              <w:right w:val="nil"/>
            </w:tcBorders>
            <w:vAlign w:val="center"/>
          </w:tcPr>
          <w:p w14:paraId="0F4BF90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 × 10</w:t>
            </w:r>
            <w:r>
              <w:rPr>
                <w:color w:val="000000" w:themeColor="text1"/>
                <w:szCs w:val="24"/>
                <w:vertAlign w:val="superscript"/>
                <w14:textFill>
                  <w14:solidFill>
                    <w14:schemeClr w14:val="tx1"/>
                  </w14:solidFill>
                </w14:textFill>
              </w:rPr>
              <w:t>-4</w:t>
            </w:r>
          </w:p>
        </w:tc>
        <w:tc>
          <w:tcPr>
            <w:tcW w:w="1381" w:type="dxa"/>
            <w:tcBorders>
              <w:top w:val="nil"/>
              <w:left w:val="nil"/>
              <w:bottom w:val="nil"/>
              <w:right w:val="nil"/>
            </w:tcBorders>
            <w:vAlign w:val="center"/>
          </w:tcPr>
          <w:p w14:paraId="709E089D">
            <w:pPr>
              <w:jc w:val="center"/>
              <w:rPr>
                <w:color w:val="000000" w:themeColor="text1"/>
                <w:szCs w:val="24"/>
                <w:lang w:eastAsia="zh-CN"/>
                <w14:textFill>
                  <w14:solidFill>
                    <w14:schemeClr w14:val="tx1"/>
                  </w14:solidFill>
                </w14:textFill>
              </w:rPr>
            </w:pPr>
            <w:r>
              <w:rPr>
                <w:szCs w:val="24"/>
                <w:vertAlign w:val="superscript"/>
              </w:rPr>
              <w:t>1</w:t>
            </w:r>
            <w:r>
              <w:rPr>
                <w:szCs w:val="24"/>
                <w:vertAlign w:val="superscript"/>
                <w:lang w:eastAsia="zh-CN"/>
              </w:rPr>
              <w:t>6</w:t>
            </w:r>
          </w:p>
        </w:tc>
        <w:tc>
          <w:tcPr>
            <w:tcW w:w="1276" w:type="dxa"/>
            <w:tcBorders>
              <w:top w:val="nil"/>
              <w:left w:val="nil"/>
              <w:bottom w:val="nil"/>
              <w:right w:val="nil"/>
            </w:tcBorders>
            <w:vAlign w:val="center"/>
          </w:tcPr>
          <w:p w14:paraId="79BD654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79400" cy="311150"/>
                  <wp:effectExtent l="0" t="0" r="6350" b="0"/>
                  <wp:docPr id="17711537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15371" name="图片 4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79400" cy="3111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71E2FA2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02DB9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66F9188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~1.1 × 10</w:t>
            </w:r>
            <w:r>
              <w:rPr>
                <w:color w:val="000000" w:themeColor="text1"/>
                <w:szCs w:val="24"/>
                <w:vertAlign w:val="superscript"/>
                <w14:textFill>
                  <w14:solidFill>
                    <w14:schemeClr w14:val="tx1"/>
                  </w14:solidFill>
                </w14:textFill>
              </w:rPr>
              <w:t>-8</w:t>
            </w:r>
          </w:p>
        </w:tc>
        <w:tc>
          <w:tcPr>
            <w:tcW w:w="1763" w:type="dxa"/>
            <w:tcBorders>
              <w:top w:val="nil"/>
              <w:left w:val="nil"/>
              <w:bottom w:val="nil"/>
              <w:right w:val="nil"/>
            </w:tcBorders>
            <w:vAlign w:val="center"/>
          </w:tcPr>
          <w:p w14:paraId="7D2FB096">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4.0 × 10</w:t>
            </w:r>
            <w:r>
              <w:rPr>
                <w:color w:val="000000" w:themeColor="text1"/>
                <w:szCs w:val="24"/>
                <w:vertAlign w:val="superscript"/>
                <w14:textFill>
                  <w14:solidFill>
                    <w14:schemeClr w14:val="tx1"/>
                  </w14:solidFill>
                </w14:textFill>
              </w:rPr>
              <w:t>-5</w:t>
            </w:r>
          </w:p>
        </w:tc>
        <w:tc>
          <w:tcPr>
            <w:tcW w:w="1381" w:type="dxa"/>
            <w:tcBorders>
              <w:top w:val="nil"/>
              <w:left w:val="nil"/>
              <w:bottom w:val="nil"/>
              <w:right w:val="nil"/>
            </w:tcBorders>
            <w:vAlign w:val="center"/>
          </w:tcPr>
          <w:p w14:paraId="299662C1">
            <w:pPr>
              <w:jc w:val="center"/>
              <w:rPr>
                <w:color w:val="000000" w:themeColor="text1"/>
                <w:szCs w:val="24"/>
                <w:lang w:eastAsia="zh-CN"/>
                <w14:textFill>
                  <w14:solidFill>
                    <w14:schemeClr w14:val="tx1"/>
                  </w14:solidFill>
                </w14:textFill>
              </w:rPr>
            </w:pPr>
            <w:r>
              <w:rPr>
                <w:szCs w:val="24"/>
                <w:vertAlign w:val="superscript"/>
              </w:rPr>
              <w:t>1</w:t>
            </w:r>
            <w:r>
              <w:rPr>
                <w:szCs w:val="24"/>
                <w:vertAlign w:val="superscript"/>
                <w:lang w:eastAsia="zh-CN"/>
              </w:rPr>
              <w:t>7</w:t>
            </w:r>
          </w:p>
        </w:tc>
        <w:tc>
          <w:tcPr>
            <w:tcW w:w="1276" w:type="dxa"/>
            <w:tcBorders>
              <w:top w:val="nil"/>
              <w:left w:val="nil"/>
              <w:bottom w:val="nil"/>
              <w:right w:val="nil"/>
            </w:tcBorders>
            <w:vAlign w:val="center"/>
          </w:tcPr>
          <w:p w14:paraId="09574E1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23850" cy="285750"/>
                  <wp:effectExtent l="0" t="0" r="0" b="0"/>
                  <wp:docPr id="12210105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1053" name="图片 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323850" cy="2857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755CC41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metal oxide</w:t>
            </w:r>
          </w:p>
        </w:tc>
      </w:tr>
      <w:tr w14:paraId="0557A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3D022B2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~3.2 × 10</w:t>
            </w:r>
            <w:r>
              <w:rPr>
                <w:color w:val="000000" w:themeColor="text1"/>
                <w:szCs w:val="24"/>
                <w:vertAlign w:val="superscript"/>
                <w14:textFill>
                  <w14:solidFill>
                    <w14:schemeClr w14:val="tx1"/>
                  </w14:solidFill>
                </w14:textFill>
              </w:rPr>
              <w:t>-6</w:t>
            </w:r>
          </w:p>
        </w:tc>
        <w:tc>
          <w:tcPr>
            <w:tcW w:w="1763" w:type="dxa"/>
            <w:tcBorders>
              <w:top w:val="nil"/>
              <w:left w:val="nil"/>
              <w:bottom w:val="nil"/>
              <w:right w:val="nil"/>
            </w:tcBorders>
            <w:vAlign w:val="center"/>
          </w:tcPr>
          <w:p w14:paraId="173F76F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 × 10</w:t>
            </w:r>
            <w:r>
              <w:rPr>
                <w:color w:val="000000" w:themeColor="text1"/>
                <w:szCs w:val="24"/>
                <w:vertAlign w:val="superscript"/>
                <w14:textFill>
                  <w14:solidFill>
                    <w14:schemeClr w14:val="tx1"/>
                  </w14:solidFill>
                </w14:textFill>
              </w:rPr>
              <w:t>-7</w:t>
            </w:r>
          </w:p>
        </w:tc>
        <w:tc>
          <w:tcPr>
            <w:tcW w:w="1381" w:type="dxa"/>
            <w:tcBorders>
              <w:top w:val="nil"/>
              <w:left w:val="nil"/>
              <w:bottom w:val="nil"/>
              <w:right w:val="nil"/>
            </w:tcBorders>
            <w:vAlign w:val="center"/>
          </w:tcPr>
          <w:p w14:paraId="78C3470E">
            <w:pPr>
              <w:jc w:val="center"/>
              <w:rPr>
                <w:color w:val="000000" w:themeColor="text1"/>
                <w:szCs w:val="24"/>
                <w:lang w:eastAsia="zh-CN"/>
                <w14:textFill>
                  <w14:solidFill>
                    <w14:schemeClr w14:val="tx1"/>
                  </w14:solidFill>
                </w14:textFill>
              </w:rPr>
            </w:pPr>
            <w:r>
              <w:rPr>
                <w:szCs w:val="24"/>
                <w:vertAlign w:val="superscript"/>
              </w:rPr>
              <w:t>1</w:t>
            </w:r>
            <w:r>
              <w:rPr>
                <w:szCs w:val="24"/>
                <w:vertAlign w:val="superscript"/>
                <w:lang w:eastAsia="zh-CN"/>
              </w:rPr>
              <w:t>8</w:t>
            </w:r>
          </w:p>
        </w:tc>
        <w:tc>
          <w:tcPr>
            <w:tcW w:w="1276" w:type="dxa"/>
            <w:tcBorders>
              <w:top w:val="nil"/>
              <w:left w:val="nil"/>
              <w:bottom w:val="nil"/>
              <w:right w:val="nil"/>
            </w:tcBorders>
            <w:vAlign w:val="center"/>
          </w:tcPr>
          <w:p w14:paraId="7689CAC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47650" cy="279400"/>
                  <wp:effectExtent l="0" t="0" r="0" b="6350"/>
                  <wp:docPr id="5247251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2515" name="图片 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47650" cy="2794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1F36689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metal oxide nanowires and organic nanowires</w:t>
            </w:r>
          </w:p>
        </w:tc>
      </w:tr>
      <w:tr w14:paraId="11DF0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9" w:hRule="atLeast"/>
          <w:jc w:val="center"/>
        </w:trPr>
        <w:tc>
          <w:tcPr>
            <w:tcW w:w="1959" w:type="dxa"/>
            <w:tcBorders>
              <w:top w:val="nil"/>
              <w:left w:val="nil"/>
              <w:bottom w:val="nil"/>
              <w:right w:val="nil"/>
            </w:tcBorders>
            <w:vAlign w:val="center"/>
          </w:tcPr>
          <w:p w14:paraId="0F2545D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1.5 × 10</w:t>
            </w:r>
            <w:r>
              <w:rPr>
                <w:color w:val="000000" w:themeColor="text1"/>
                <w:szCs w:val="24"/>
                <w:vertAlign w:val="superscript"/>
                <w14:textFill>
                  <w14:solidFill>
                    <w14:schemeClr w14:val="tx1"/>
                  </w14:solidFill>
                </w14:textFill>
              </w:rPr>
              <w:t>-17</w:t>
            </w:r>
          </w:p>
        </w:tc>
        <w:tc>
          <w:tcPr>
            <w:tcW w:w="1763" w:type="dxa"/>
            <w:tcBorders>
              <w:top w:val="nil"/>
              <w:left w:val="nil"/>
              <w:bottom w:val="nil"/>
              <w:right w:val="nil"/>
            </w:tcBorders>
            <w:vAlign w:val="center"/>
          </w:tcPr>
          <w:p w14:paraId="23F625C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4.0 × 10</w:t>
            </w:r>
            <w:r>
              <w:rPr>
                <w:color w:val="000000" w:themeColor="text1"/>
                <w:szCs w:val="24"/>
                <w:vertAlign w:val="superscript"/>
                <w14:textFill>
                  <w14:solidFill>
                    <w14:schemeClr w14:val="tx1"/>
                  </w14:solidFill>
                </w14:textFill>
              </w:rPr>
              <w:t>-5</w:t>
            </w:r>
          </w:p>
        </w:tc>
        <w:tc>
          <w:tcPr>
            <w:tcW w:w="1381" w:type="dxa"/>
            <w:tcBorders>
              <w:top w:val="nil"/>
              <w:left w:val="nil"/>
              <w:bottom w:val="nil"/>
              <w:right w:val="nil"/>
            </w:tcBorders>
            <w:vAlign w:val="center"/>
          </w:tcPr>
          <w:p w14:paraId="3512F0E5">
            <w:pPr>
              <w:jc w:val="center"/>
              <w:rPr>
                <w:color w:val="000000" w:themeColor="text1"/>
                <w:szCs w:val="24"/>
                <w:lang w:eastAsia="zh-CN"/>
                <w14:textFill>
                  <w14:solidFill>
                    <w14:schemeClr w14:val="tx1"/>
                  </w14:solidFill>
                </w14:textFill>
              </w:rPr>
            </w:pPr>
            <w:r>
              <w:rPr>
                <w:szCs w:val="24"/>
                <w:vertAlign w:val="superscript"/>
              </w:rPr>
              <w:t>1</w:t>
            </w:r>
            <w:r>
              <w:rPr>
                <w:szCs w:val="24"/>
                <w:vertAlign w:val="superscript"/>
                <w:lang w:eastAsia="zh-CN"/>
              </w:rPr>
              <w:t>9</w:t>
            </w:r>
          </w:p>
        </w:tc>
        <w:tc>
          <w:tcPr>
            <w:tcW w:w="1276" w:type="dxa"/>
            <w:tcBorders>
              <w:top w:val="nil"/>
              <w:left w:val="nil"/>
              <w:bottom w:val="nil"/>
              <w:right w:val="nil"/>
            </w:tcBorders>
            <w:vAlign w:val="center"/>
          </w:tcPr>
          <w:p w14:paraId="32B0593C">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42900" cy="374650"/>
                  <wp:effectExtent l="0" t="0" r="0" b="6350"/>
                  <wp:docPr id="169016570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165701" name="图片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42900" cy="3746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325C16A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single-walled carbon nanotubes</w:t>
            </w:r>
          </w:p>
        </w:tc>
      </w:tr>
      <w:tr w14:paraId="4D64E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1959" w:type="dxa"/>
            <w:tcBorders>
              <w:top w:val="nil"/>
              <w:left w:val="nil"/>
              <w:bottom w:val="nil"/>
              <w:right w:val="nil"/>
            </w:tcBorders>
            <w:vAlign w:val="center"/>
          </w:tcPr>
          <w:p w14:paraId="332DBDE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1.5 × 10</w:t>
            </w:r>
            <w:r>
              <w:rPr>
                <w:color w:val="000000" w:themeColor="text1"/>
                <w:szCs w:val="24"/>
                <w:vertAlign w:val="superscript"/>
                <w14:textFill>
                  <w14:solidFill>
                    <w14:schemeClr w14:val="tx1"/>
                  </w14:solidFill>
                </w14:textFill>
              </w:rPr>
              <w:t>-7</w:t>
            </w:r>
          </w:p>
        </w:tc>
        <w:tc>
          <w:tcPr>
            <w:tcW w:w="1763" w:type="dxa"/>
            <w:tcBorders>
              <w:top w:val="nil"/>
              <w:left w:val="nil"/>
              <w:bottom w:val="nil"/>
              <w:right w:val="nil"/>
            </w:tcBorders>
            <w:vAlign w:val="center"/>
          </w:tcPr>
          <w:p w14:paraId="7CDAA75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 × 10</w:t>
            </w:r>
            <w:r>
              <w:rPr>
                <w:color w:val="000000" w:themeColor="text1"/>
                <w:szCs w:val="24"/>
                <w:vertAlign w:val="superscript"/>
                <w14:textFill>
                  <w14:solidFill>
                    <w14:schemeClr w14:val="tx1"/>
                  </w14:solidFill>
                </w14:textFill>
              </w:rPr>
              <w:t>-4</w:t>
            </w:r>
          </w:p>
        </w:tc>
        <w:tc>
          <w:tcPr>
            <w:tcW w:w="1381" w:type="dxa"/>
            <w:tcBorders>
              <w:top w:val="nil"/>
              <w:left w:val="nil"/>
              <w:bottom w:val="nil"/>
              <w:right w:val="nil"/>
            </w:tcBorders>
            <w:vAlign w:val="center"/>
          </w:tcPr>
          <w:p w14:paraId="6B53D5A7">
            <w:pPr>
              <w:jc w:val="center"/>
              <w:rPr>
                <w:color w:val="000000" w:themeColor="text1"/>
                <w:szCs w:val="24"/>
                <w:lang w:eastAsia="zh-CN"/>
                <w14:textFill>
                  <w14:solidFill>
                    <w14:schemeClr w14:val="tx1"/>
                  </w14:solidFill>
                </w14:textFill>
              </w:rPr>
            </w:pPr>
            <w:r>
              <w:rPr>
                <w:szCs w:val="24"/>
                <w:vertAlign w:val="superscript"/>
                <w:lang w:eastAsia="zh-CN"/>
              </w:rPr>
              <w:t>20</w:t>
            </w:r>
          </w:p>
        </w:tc>
        <w:tc>
          <w:tcPr>
            <w:tcW w:w="1276" w:type="dxa"/>
            <w:tcBorders>
              <w:top w:val="nil"/>
              <w:left w:val="nil"/>
              <w:bottom w:val="nil"/>
              <w:right w:val="nil"/>
            </w:tcBorders>
            <w:vAlign w:val="center"/>
          </w:tcPr>
          <w:p w14:paraId="0A38687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73050" cy="279400"/>
                  <wp:effectExtent l="0" t="0" r="0" b="6350"/>
                  <wp:docPr id="60363522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35220" name="图片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73050" cy="2794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310CA6BA">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1EA61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33E3667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5.7 × 10</w:t>
            </w:r>
            <w:r>
              <w:rPr>
                <w:color w:val="000000" w:themeColor="text1"/>
                <w:szCs w:val="24"/>
                <w:vertAlign w:val="superscript"/>
                <w14:textFill>
                  <w14:solidFill>
                    <w14:schemeClr w14:val="tx1"/>
                  </w14:solidFill>
                </w14:textFill>
              </w:rPr>
              <w:t>-14</w:t>
            </w:r>
          </w:p>
        </w:tc>
        <w:tc>
          <w:tcPr>
            <w:tcW w:w="1763" w:type="dxa"/>
            <w:tcBorders>
              <w:top w:val="nil"/>
              <w:left w:val="nil"/>
              <w:bottom w:val="nil"/>
              <w:right w:val="nil"/>
            </w:tcBorders>
            <w:vAlign w:val="center"/>
          </w:tcPr>
          <w:p w14:paraId="35DEDFE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 × 10</w:t>
            </w:r>
            <w:r>
              <w:rPr>
                <w:color w:val="000000" w:themeColor="text1"/>
                <w:szCs w:val="24"/>
                <w:vertAlign w:val="superscript"/>
                <w14:textFill>
                  <w14:solidFill>
                    <w14:schemeClr w14:val="tx1"/>
                  </w14:solidFill>
                </w14:textFill>
              </w:rPr>
              <w:t>-4</w:t>
            </w:r>
          </w:p>
        </w:tc>
        <w:tc>
          <w:tcPr>
            <w:tcW w:w="1381" w:type="dxa"/>
            <w:tcBorders>
              <w:top w:val="nil"/>
              <w:left w:val="nil"/>
              <w:bottom w:val="nil"/>
              <w:right w:val="nil"/>
            </w:tcBorders>
            <w:vAlign w:val="center"/>
          </w:tcPr>
          <w:p w14:paraId="4240D113">
            <w:pPr>
              <w:jc w:val="center"/>
              <w:rPr>
                <w:color w:val="000000" w:themeColor="text1"/>
                <w:szCs w:val="24"/>
                <w:lang w:eastAsia="zh-CN"/>
                <w14:textFill>
                  <w14:solidFill>
                    <w14:schemeClr w14:val="tx1"/>
                  </w14:solidFill>
                </w14:textFill>
              </w:rPr>
            </w:pPr>
            <w:r>
              <w:rPr>
                <w:szCs w:val="24"/>
                <w:vertAlign w:val="superscript"/>
                <w:lang w:eastAsia="zh-CN"/>
              </w:rPr>
              <w:t>21</w:t>
            </w:r>
          </w:p>
        </w:tc>
        <w:tc>
          <w:tcPr>
            <w:tcW w:w="1276" w:type="dxa"/>
            <w:tcBorders>
              <w:top w:val="nil"/>
              <w:left w:val="nil"/>
              <w:bottom w:val="nil"/>
              <w:right w:val="nil"/>
            </w:tcBorders>
            <w:vAlign w:val="center"/>
          </w:tcPr>
          <w:p w14:paraId="4BA1A12A">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260350" cy="260350"/>
                  <wp:effectExtent l="0" t="0" r="6350" b="6350"/>
                  <wp:docPr id="122086041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60412" name="图片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60350" cy="2603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12B0AB3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few-layer graphene films</w:t>
            </w:r>
            <w:r>
              <w:rPr>
                <w:color w:val="000000" w:themeColor="text1"/>
                <w:szCs w:val="24"/>
                <w:vertAlign w:val="subscript"/>
                <w14:textFill>
                  <w14:solidFill>
                    <w14:schemeClr w14:val="tx1"/>
                  </w14:solidFill>
                </w14:textFill>
              </w:rPr>
              <w:t xml:space="preserve"> </w:t>
            </w:r>
            <w:r>
              <w:rPr>
                <w:color w:val="000000" w:themeColor="text1"/>
                <w:szCs w:val="24"/>
                <w14:textFill>
                  <w14:solidFill>
                    <w14:schemeClr w14:val="tx1"/>
                  </w14:solidFill>
                </w14:textFill>
              </w:rPr>
              <w:t>(2D material)</w:t>
            </w:r>
          </w:p>
        </w:tc>
      </w:tr>
      <w:tr w14:paraId="376B9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6565BE2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1.3 × 10</w:t>
            </w:r>
            <w:r>
              <w:rPr>
                <w:color w:val="000000" w:themeColor="text1"/>
                <w:szCs w:val="24"/>
                <w:vertAlign w:val="superscript"/>
                <w14:textFill>
                  <w14:solidFill>
                    <w14:schemeClr w14:val="tx1"/>
                  </w14:solidFill>
                </w14:textFill>
              </w:rPr>
              <w:t>-14</w:t>
            </w:r>
          </w:p>
        </w:tc>
        <w:tc>
          <w:tcPr>
            <w:tcW w:w="1763" w:type="dxa"/>
            <w:tcBorders>
              <w:top w:val="nil"/>
              <w:left w:val="nil"/>
              <w:bottom w:val="nil"/>
              <w:right w:val="nil"/>
            </w:tcBorders>
            <w:vAlign w:val="center"/>
          </w:tcPr>
          <w:p w14:paraId="0B3D26D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 × 10</w:t>
            </w:r>
            <w:r>
              <w:rPr>
                <w:color w:val="000000" w:themeColor="text1"/>
                <w:szCs w:val="24"/>
                <w:vertAlign w:val="superscript"/>
                <w14:textFill>
                  <w14:solidFill>
                    <w14:schemeClr w14:val="tx1"/>
                  </w14:solidFill>
                </w14:textFill>
              </w:rPr>
              <w:t>-6</w:t>
            </w:r>
          </w:p>
        </w:tc>
        <w:tc>
          <w:tcPr>
            <w:tcW w:w="1381" w:type="dxa"/>
            <w:tcBorders>
              <w:top w:val="nil"/>
              <w:left w:val="nil"/>
              <w:bottom w:val="nil"/>
              <w:right w:val="nil"/>
            </w:tcBorders>
            <w:vAlign w:val="center"/>
          </w:tcPr>
          <w:p w14:paraId="44075720">
            <w:pPr>
              <w:jc w:val="center"/>
              <w:rPr>
                <w:color w:val="000000" w:themeColor="text1"/>
                <w:szCs w:val="24"/>
                <w:lang w:eastAsia="zh-CN"/>
                <w14:textFill>
                  <w14:solidFill>
                    <w14:schemeClr w14:val="tx1"/>
                  </w14:solidFill>
                </w14:textFill>
              </w:rPr>
            </w:pPr>
            <w:r>
              <w:rPr>
                <w:szCs w:val="24"/>
                <w:vertAlign w:val="superscript"/>
                <w:lang w:eastAsia="zh-CN"/>
              </w:rPr>
              <w:t>22</w:t>
            </w:r>
          </w:p>
        </w:tc>
        <w:tc>
          <w:tcPr>
            <w:tcW w:w="1276" w:type="dxa"/>
            <w:tcBorders>
              <w:top w:val="nil"/>
              <w:left w:val="nil"/>
              <w:bottom w:val="nil"/>
              <w:right w:val="nil"/>
            </w:tcBorders>
            <w:vAlign w:val="center"/>
          </w:tcPr>
          <w:p w14:paraId="68A644B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304800" cy="323850"/>
                  <wp:effectExtent l="0" t="0" r="0" b="0"/>
                  <wp:docPr id="130136740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67400" name="图片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304800" cy="3238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4DA7BF8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4411A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35DC517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6.2 × 10</w:t>
            </w:r>
            <w:r>
              <w:rPr>
                <w:color w:val="000000" w:themeColor="text1"/>
                <w:szCs w:val="24"/>
                <w:vertAlign w:val="superscript"/>
                <w14:textFill>
                  <w14:solidFill>
                    <w14:schemeClr w14:val="tx1"/>
                  </w14:solidFill>
                </w14:textFill>
              </w:rPr>
              <w:t>-12</w:t>
            </w:r>
          </w:p>
        </w:tc>
        <w:tc>
          <w:tcPr>
            <w:tcW w:w="1763" w:type="dxa"/>
            <w:tcBorders>
              <w:top w:val="nil"/>
              <w:left w:val="nil"/>
              <w:bottom w:val="nil"/>
              <w:right w:val="nil"/>
            </w:tcBorders>
            <w:vAlign w:val="center"/>
          </w:tcPr>
          <w:p w14:paraId="602EC4E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1.5 × 10</w:t>
            </w:r>
            <w:r>
              <w:rPr>
                <w:color w:val="000000" w:themeColor="text1"/>
                <w:szCs w:val="24"/>
                <w:vertAlign w:val="superscript"/>
                <w14:textFill>
                  <w14:solidFill>
                    <w14:schemeClr w14:val="tx1"/>
                  </w14:solidFill>
                </w14:textFill>
              </w:rPr>
              <w:t>-7</w:t>
            </w:r>
          </w:p>
        </w:tc>
        <w:tc>
          <w:tcPr>
            <w:tcW w:w="1381" w:type="dxa"/>
            <w:tcBorders>
              <w:top w:val="nil"/>
              <w:left w:val="nil"/>
              <w:bottom w:val="nil"/>
              <w:right w:val="nil"/>
            </w:tcBorders>
            <w:vAlign w:val="center"/>
          </w:tcPr>
          <w:p w14:paraId="7D43ECD6">
            <w:pPr>
              <w:jc w:val="center"/>
              <w:rPr>
                <w:color w:val="000000" w:themeColor="text1"/>
                <w:szCs w:val="24"/>
                <w:lang w:eastAsia="zh-CN"/>
                <w14:textFill>
                  <w14:solidFill>
                    <w14:schemeClr w14:val="tx1"/>
                  </w14:solidFill>
                </w14:textFill>
              </w:rPr>
            </w:pPr>
            <w:r>
              <w:rPr>
                <w:szCs w:val="24"/>
                <w:vertAlign w:val="superscript"/>
                <w:lang w:eastAsia="zh-CN"/>
              </w:rPr>
              <w:t>23</w:t>
            </w:r>
          </w:p>
        </w:tc>
        <w:tc>
          <w:tcPr>
            <w:tcW w:w="1276" w:type="dxa"/>
            <w:tcBorders>
              <w:top w:val="nil"/>
              <w:left w:val="nil"/>
              <w:bottom w:val="nil"/>
              <w:right w:val="nil"/>
            </w:tcBorders>
            <w:vAlign w:val="center"/>
          </w:tcPr>
          <w:p w14:paraId="31E1CCA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28600" cy="266700"/>
                  <wp:effectExtent l="0" t="0" r="0" b="0"/>
                  <wp:docPr id="13235273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27341" name="图片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28600" cy="2667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3E75B0E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Organic neuromorphic device</w:t>
            </w:r>
          </w:p>
        </w:tc>
      </w:tr>
      <w:tr w14:paraId="31E79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736CD1A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6.5 × 10</w:t>
            </w:r>
            <w:r>
              <w:rPr>
                <w:color w:val="000000" w:themeColor="text1"/>
                <w:szCs w:val="24"/>
                <w:vertAlign w:val="superscript"/>
                <w14:textFill>
                  <w14:solidFill>
                    <w14:schemeClr w14:val="tx1"/>
                  </w14:solidFill>
                </w14:textFill>
              </w:rPr>
              <w:t>-18</w:t>
            </w:r>
          </w:p>
        </w:tc>
        <w:tc>
          <w:tcPr>
            <w:tcW w:w="1763" w:type="dxa"/>
            <w:tcBorders>
              <w:top w:val="nil"/>
              <w:left w:val="nil"/>
              <w:bottom w:val="nil"/>
              <w:right w:val="nil"/>
            </w:tcBorders>
            <w:vAlign w:val="center"/>
          </w:tcPr>
          <w:p w14:paraId="30B4226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 × 10</w:t>
            </w:r>
            <w:r>
              <w:rPr>
                <w:color w:val="000000" w:themeColor="text1"/>
                <w:szCs w:val="24"/>
                <w:vertAlign w:val="superscript"/>
                <w14:textFill>
                  <w14:solidFill>
                    <w14:schemeClr w14:val="tx1"/>
                  </w14:solidFill>
                </w14:textFill>
              </w:rPr>
              <w:t>-5</w:t>
            </w:r>
          </w:p>
        </w:tc>
        <w:tc>
          <w:tcPr>
            <w:tcW w:w="1381" w:type="dxa"/>
            <w:tcBorders>
              <w:top w:val="nil"/>
              <w:left w:val="nil"/>
              <w:bottom w:val="nil"/>
              <w:right w:val="nil"/>
            </w:tcBorders>
            <w:vAlign w:val="center"/>
          </w:tcPr>
          <w:p w14:paraId="09989360">
            <w:pPr>
              <w:jc w:val="center"/>
              <w:rPr>
                <w:color w:val="000000" w:themeColor="text1"/>
                <w:szCs w:val="24"/>
                <w:lang w:eastAsia="zh-CN"/>
                <w14:textFill>
                  <w14:solidFill>
                    <w14:schemeClr w14:val="tx1"/>
                  </w14:solidFill>
                </w14:textFill>
              </w:rPr>
            </w:pPr>
            <w:r>
              <w:rPr>
                <w:szCs w:val="24"/>
                <w:vertAlign w:val="superscript"/>
                <w:lang w:eastAsia="zh-CN"/>
              </w:rPr>
              <w:t>24</w:t>
            </w:r>
          </w:p>
        </w:tc>
        <w:tc>
          <w:tcPr>
            <w:tcW w:w="1276" w:type="dxa"/>
            <w:tcBorders>
              <w:top w:val="nil"/>
              <w:left w:val="nil"/>
              <w:bottom w:val="nil"/>
              <w:right w:val="nil"/>
            </w:tcBorders>
            <w:vAlign w:val="center"/>
          </w:tcPr>
          <w:p w14:paraId="3D5A8811">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234950" cy="241300"/>
                  <wp:effectExtent l="0" t="0" r="0" b="6350"/>
                  <wp:docPr id="144769362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93622" name="图片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34950" cy="2413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5522C4DF">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single-walled carbon nanotubes</w:t>
            </w:r>
          </w:p>
        </w:tc>
      </w:tr>
      <w:tr w14:paraId="73E5E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1BAECB5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2.0 × 10</w:t>
            </w:r>
            <w:r>
              <w:rPr>
                <w:color w:val="000000" w:themeColor="text1"/>
                <w:szCs w:val="24"/>
                <w:vertAlign w:val="superscript"/>
                <w14:textFill>
                  <w14:solidFill>
                    <w14:schemeClr w14:val="tx1"/>
                  </w14:solidFill>
                </w14:textFill>
              </w:rPr>
              <w:t>-13</w:t>
            </w:r>
          </w:p>
        </w:tc>
        <w:tc>
          <w:tcPr>
            <w:tcW w:w="1763" w:type="dxa"/>
            <w:tcBorders>
              <w:top w:val="nil"/>
              <w:left w:val="nil"/>
              <w:bottom w:val="nil"/>
              <w:right w:val="nil"/>
            </w:tcBorders>
            <w:vAlign w:val="center"/>
          </w:tcPr>
          <w:p w14:paraId="1BBC28F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 × 10</w:t>
            </w:r>
            <w:r>
              <w:rPr>
                <w:color w:val="000000" w:themeColor="text1"/>
                <w:szCs w:val="24"/>
                <w:vertAlign w:val="superscript"/>
                <w14:textFill>
                  <w14:solidFill>
                    <w14:schemeClr w14:val="tx1"/>
                  </w14:solidFill>
                </w14:textFill>
              </w:rPr>
              <w:t>-8</w:t>
            </w:r>
          </w:p>
        </w:tc>
        <w:tc>
          <w:tcPr>
            <w:tcW w:w="1381" w:type="dxa"/>
            <w:tcBorders>
              <w:top w:val="nil"/>
              <w:left w:val="nil"/>
              <w:bottom w:val="nil"/>
              <w:right w:val="nil"/>
            </w:tcBorders>
            <w:vAlign w:val="center"/>
          </w:tcPr>
          <w:p w14:paraId="1C7B78F3">
            <w:pPr>
              <w:jc w:val="center"/>
              <w:rPr>
                <w:color w:val="000000" w:themeColor="text1"/>
                <w:szCs w:val="24"/>
                <w:lang w:eastAsia="zh-CN"/>
                <w14:textFill>
                  <w14:solidFill>
                    <w14:schemeClr w14:val="tx1"/>
                  </w14:solidFill>
                </w14:textFill>
              </w:rPr>
            </w:pPr>
            <w:r>
              <w:rPr>
                <w:szCs w:val="24"/>
                <w:vertAlign w:val="superscript"/>
                <w:lang w:eastAsia="zh-CN"/>
              </w:rPr>
              <w:t>25</w:t>
            </w:r>
          </w:p>
        </w:tc>
        <w:tc>
          <w:tcPr>
            <w:tcW w:w="1276" w:type="dxa"/>
            <w:tcBorders>
              <w:top w:val="nil"/>
              <w:left w:val="nil"/>
              <w:bottom w:val="nil"/>
              <w:right w:val="nil"/>
            </w:tcBorders>
            <w:vAlign w:val="center"/>
          </w:tcPr>
          <w:p w14:paraId="47DBBC1F">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577850" cy="533400"/>
                  <wp:effectExtent l="0" t="0" r="0" b="0"/>
                  <wp:docPr id="159643530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35309" name="图片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77850" cy="5334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53CCD3C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Graphene/hexagonal boron nitride</w:t>
            </w:r>
            <w:r>
              <w:rPr>
                <w:color w:val="000000" w:themeColor="text1"/>
                <w:szCs w:val="24"/>
                <w:vertAlign w:val="subscript"/>
                <w14:textFill>
                  <w14:solidFill>
                    <w14:schemeClr w14:val="tx1"/>
                  </w14:solidFill>
                </w14:textFill>
              </w:rPr>
              <w:t xml:space="preserve"> </w:t>
            </w:r>
            <w:r>
              <w:rPr>
                <w:color w:val="000000" w:themeColor="text1"/>
                <w:szCs w:val="24"/>
                <w14:textFill>
                  <w14:solidFill>
                    <w14:schemeClr w14:val="tx1"/>
                  </w14:solidFill>
                </w14:textFill>
              </w:rPr>
              <w:t>(2D material)</w:t>
            </w:r>
          </w:p>
        </w:tc>
      </w:tr>
      <w:tr w14:paraId="2D250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55E0319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4.2 × 10</w:t>
            </w:r>
            <w:r>
              <w:rPr>
                <w:color w:val="000000" w:themeColor="text1"/>
                <w:szCs w:val="24"/>
                <w:vertAlign w:val="superscript"/>
                <w14:textFill>
                  <w14:solidFill>
                    <w14:schemeClr w14:val="tx1"/>
                  </w14:solidFill>
                </w14:textFill>
              </w:rPr>
              <w:t>-10</w:t>
            </w:r>
          </w:p>
        </w:tc>
        <w:tc>
          <w:tcPr>
            <w:tcW w:w="1763" w:type="dxa"/>
            <w:tcBorders>
              <w:top w:val="nil"/>
              <w:left w:val="nil"/>
              <w:bottom w:val="nil"/>
              <w:right w:val="nil"/>
            </w:tcBorders>
            <w:vAlign w:val="center"/>
          </w:tcPr>
          <w:p w14:paraId="14DBDAB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1.8 × 10</w:t>
            </w:r>
            <w:r>
              <w:rPr>
                <w:color w:val="000000" w:themeColor="text1"/>
                <w:szCs w:val="24"/>
                <w:vertAlign w:val="superscript"/>
                <w14:textFill>
                  <w14:solidFill>
                    <w14:schemeClr w14:val="tx1"/>
                  </w14:solidFill>
                </w14:textFill>
              </w:rPr>
              <w:t>-7</w:t>
            </w:r>
          </w:p>
        </w:tc>
        <w:tc>
          <w:tcPr>
            <w:tcW w:w="1381" w:type="dxa"/>
            <w:tcBorders>
              <w:top w:val="nil"/>
              <w:left w:val="nil"/>
              <w:bottom w:val="nil"/>
              <w:right w:val="nil"/>
            </w:tcBorders>
            <w:vAlign w:val="center"/>
          </w:tcPr>
          <w:p w14:paraId="51620B99">
            <w:pPr>
              <w:jc w:val="center"/>
              <w:rPr>
                <w:color w:val="000000" w:themeColor="text1"/>
                <w:szCs w:val="24"/>
                <w:lang w:eastAsia="zh-CN"/>
                <w14:textFill>
                  <w14:solidFill>
                    <w14:schemeClr w14:val="tx1"/>
                  </w14:solidFill>
                </w14:textFill>
              </w:rPr>
            </w:pPr>
            <w:r>
              <w:rPr>
                <w:szCs w:val="24"/>
                <w:vertAlign w:val="superscript"/>
                <w:lang w:eastAsia="zh-CN"/>
              </w:rPr>
              <w:t>26</w:t>
            </w:r>
          </w:p>
        </w:tc>
        <w:tc>
          <w:tcPr>
            <w:tcW w:w="1276" w:type="dxa"/>
            <w:tcBorders>
              <w:top w:val="nil"/>
              <w:left w:val="nil"/>
              <w:bottom w:val="nil"/>
              <w:right w:val="nil"/>
            </w:tcBorders>
            <w:vAlign w:val="center"/>
          </w:tcPr>
          <w:p w14:paraId="3963CF1D">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23850" cy="342900"/>
                  <wp:effectExtent l="0" t="0" r="0" b="0"/>
                  <wp:docPr id="17221230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2309" name="图片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23850" cy="3429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450D5FE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CMOS transistor</w:t>
            </w:r>
          </w:p>
        </w:tc>
      </w:tr>
      <w:tr w14:paraId="0D4AC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01BCD33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2.8 × 10</w:t>
            </w:r>
            <w:r>
              <w:rPr>
                <w:color w:val="000000" w:themeColor="text1"/>
                <w:szCs w:val="24"/>
                <w:vertAlign w:val="superscript"/>
                <w14:textFill>
                  <w14:solidFill>
                    <w14:schemeClr w14:val="tx1"/>
                  </w14:solidFill>
                </w14:textFill>
              </w:rPr>
              <w:t>-12</w:t>
            </w:r>
          </w:p>
        </w:tc>
        <w:tc>
          <w:tcPr>
            <w:tcW w:w="1763" w:type="dxa"/>
            <w:tcBorders>
              <w:top w:val="nil"/>
              <w:left w:val="nil"/>
              <w:bottom w:val="nil"/>
              <w:right w:val="nil"/>
            </w:tcBorders>
            <w:vAlign w:val="center"/>
          </w:tcPr>
          <w:p w14:paraId="440057A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 × 10</w:t>
            </w:r>
            <w:r>
              <w:rPr>
                <w:color w:val="000000" w:themeColor="text1"/>
                <w:szCs w:val="24"/>
                <w:vertAlign w:val="superscript"/>
                <w14:textFill>
                  <w14:solidFill>
                    <w14:schemeClr w14:val="tx1"/>
                  </w14:solidFill>
                </w14:textFill>
              </w:rPr>
              <w:t>-7</w:t>
            </w:r>
          </w:p>
        </w:tc>
        <w:tc>
          <w:tcPr>
            <w:tcW w:w="1381" w:type="dxa"/>
            <w:tcBorders>
              <w:top w:val="nil"/>
              <w:left w:val="nil"/>
              <w:bottom w:val="nil"/>
              <w:right w:val="nil"/>
            </w:tcBorders>
            <w:vAlign w:val="center"/>
          </w:tcPr>
          <w:p w14:paraId="5C304823">
            <w:pPr>
              <w:jc w:val="center"/>
              <w:rPr>
                <w:color w:val="000000" w:themeColor="text1"/>
                <w:szCs w:val="24"/>
                <w:lang w:eastAsia="zh-CN"/>
                <w14:textFill>
                  <w14:solidFill>
                    <w14:schemeClr w14:val="tx1"/>
                  </w14:solidFill>
                </w14:textFill>
              </w:rPr>
            </w:pPr>
            <w:r>
              <w:rPr>
                <w:szCs w:val="24"/>
                <w:vertAlign w:val="superscript"/>
                <w:lang w:eastAsia="zh-CN"/>
              </w:rPr>
              <w:t>27</w:t>
            </w:r>
          </w:p>
        </w:tc>
        <w:tc>
          <w:tcPr>
            <w:tcW w:w="1276" w:type="dxa"/>
            <w:tcBorders>
              <w:top w:val="nil"/>
              <w:left w:val="nil"/>
              <w:bottom w:val="nil"/>
              <w:right w:val="nil"/>
            </w:tcBorders>
            <w:vAlign w:val="center"/>
          </w:tcPr>
          <w:p w14:paraId="434C51B6">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68300" cy="431800"/>
                  <wp:effectExtent l="0" t="0" r="0" b="6350"/>
                  <wp:docPr id="4786033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03369" name="图片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368300" cy="4318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61E79BA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2D halide perovskite</w:t>
            </w:r>
          </w:p>
        </w:tc>
      </w:tr>
      <w:tr w14:paraId="05EEB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09672CD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1.2 × 10</w:t>
            </w:r>
            <w:r>
              <w:rPr>
                <w:color w:val="000000" w:themeColor="text1"/>
                <w:szCs w:val="24"/>
                <w:vertAlign w:val="superscript"/>
                <w14:textFill>
                  <w14:solidFill>
                    <w14:schemeClr w14:val="tx1"/>
                  </w14:solidFill>
                </w14:textFill>
              </w:rPr>
              <w:t>-8</w:t>
            </w:r>
          </w:p>
        </w:tc>
        <w:tc>
          <w:tcPr>
            <w:tcW w:w="1763" w:type="dxa"/>
            <w:tcBorders>
              <w:top w:val="nil"/>
              <w:left w:val="nil"/>
              <w:bottom w:val="nil"/>
              <w:right w:val="nil"/>
            </w:tcBorders>
            <w:vAlign w:val="center"/>
          </w:tcPr>
          <w:p w14:paraId="562ECC20">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 × 10</w:t>
            </w:r>
            <w:r>
              <w:rPr>
                <w:color w:val="000000" w:themeColor="text1"/>
                <w:szCs w:val="24"/>
                <w:vertAlign w:val="superscript"/>
                <w14:textFill>
                  <w14:solidFill>
                    <w14:schemeClr w14:val="tx1"/>
                  </w14:solidFill>
                </w14:textFill>
              </w:rPr>
              <w:t>-7</w:t>
            </w:r>
          </w:p>
        </w:tc>
        <w:tc>
          <w:tcPr>
            <w:tcW w:w="1381" w:type="dxa"/>
            <w:tcBorders>
              <w:top w:val="nil"/>
              <w:left w:val="nil"/>
              <w:bottom w:val="nil"/>
              <w:right w:val="nil"/>
            </w:tcBorders>
            <w:vAlign w:val="center"/>
          </w:tcPr>
          <w:p w14:paraId="5C59DA0A">
            <w:pPr>
              <w:jc w:val="center"/>
              <w:rPr>
                <w:color w:val="000000" w:themeColor="text1"/>
                <w:szCs w:val="24"/>
                <w:lang w:eastAsia="zh-CN"/>
                <w14:textFill>
                  <w14:solidFill>
                    <w14:schemeClr w14:val="tx1"/>
                  </w14:solidFill>
                </w14:textFill>
              </w:rPr>
            </w:pPr>
            <w:r>
              <w:rPr>
                <w:szCs w:val="24"/>
                <w:vertAlign w:val="superscript"/>
                <w:lang w:eastAsia="zh-CN"/>
              </w:rPr>
              <w:t>28</w:t>
            </w:r>
          </w:p>
        </w:tc>
        <w:tc>
          <w:tcPr>
            <w:tcW w:w="1276" w:type="dxa"/>
            <w:tcBorders>
              <w:top w:val="nil"/>
              <w:left w:val="nil"/>
              <w:bottom w:val="nil"/>
              <w:right w:val="nil"/>
            </w:tcBorders>
            <w:vAlign w:val="center"/>
          </w:tcPr>
          <w:p w14:paraId="7E0E997B">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55600" cy="336550"/>
                  <wp:effectExtent l="0" t="0" r="6350" b="6350"/>
                  <wp:docPr id="196884514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845140" name="图片 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55600" cy="3365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1122FA7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metal oxide</w:t>
            </w:r>
          </w:p>
        </w:tc>
      </w:tr>
      <w:tr w14:paraId="65E02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32E8F2C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1.9 × 10</w:t>
            </w:r>
            <w:r>
              <w:rPr>
                <w:color w:val="000000" w:themeColor="text1"/>
                <w:szCs w:val="24"/>
                <w:vertAlign w:val="superscript"/>
                <w14:textFill>
                  <w14:solidFill>
                    <w14:schemeClr w14:val="tx1"/>
                  </w14:solidFill>
                </w14:textFill>
              </w:rPr>
              <w:t>-15</w:t>
            </w:r>
          </w:p>
        </w:tc>
        <w:tc>
          <w:tcPr>
            <w:tcW w:w="1763" w:type="dxa"/>
            <w:tcBorders>
              <w:top w:val="nil"/>
              <w:left w:val="nil"/>
              <w:bottom w:val="nil"/>
              <w:right w:val="nil"/>
            </w:tcBorders>
            <w:vAlign w:val="center"/>
          </w:tcPr>
          <w:p w14:paraId="2DB59761">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4 × 10</w:t>
            </w:r>
            <w:r>
              <w:rPr>
                <w:color w:val="000000" w:themeColor="text1"/>
                <w:szCs w:val="24"/>
                <w:vertAlign w:val="superscript"/>
                <w14:textFill>
                  <w14:solidFill>
                    <w14:schemeClr w14:val="tx1"/>
                  </w14:solidFill>
                </w14:textFill>
              </w:rPr>
              <w:t>-8</w:t>
            </w:r>
          </w:p>
        </w:tc>
        <w:tc>
          <w:tcPr>
            <w:tcW w:w="1381" w:type="dxa"/>
            <w:tcBorders>
              <w:top w:val="nil"/>
              <w:left w:val="nil"/>
              <w:bottom w:val="nil"/>
              <w:right w:val="nil"/>
            </w:tcBorders>
            <w:vAlign w:val="center"/>
          </w:tcPr>
          <w:p w14:paraId="2A7D1FBC">
            <w:pPr>
              <w:jc w:val="center"/>
              <w:rPr>
                <w:color w:val="000000" w:themeColor="text1"/>
                <w:szCs w:val="24"/>
                <w:lang w:eastAsia="zh-CN"/>
                <w14:textFill>
                  <w14:solidFill>
                    <w14:schemeClr w14:val="tx1"/>
                  </w14:solidFill>
                </w14:textFill>
              </w:rPr>
            </w:pPr>
            <w:r>
              <w:rPr>
                <w:szCs w:val="24"/>
                <w:vertAlign w:val="superscript"/>
                <w:lang w:eastAsia="zh-CN"/>
              </w:rPr>
              <w:t>29</w:t>
            </w:r>
          </w:p>
        </w:tc>
        <w:tc>
          <w:tcPr>
            <w:tcW w:w="1276" w:type="dxa"/>
            <w:tcBorders>
              <w:top w:val="nil"/>
              <w:left w:val="nil"/>
              <w:bottom w:val="nil"/>
              <w:right w:val="nil"/>
            </w:tcBorders>
            <w:vAlign w:val="center"/>
          </w:tcPr>
          <w:p w14:paraId="1D372B51">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36550" cy="342900"/>
                  <wp:effectExtent l="0" t="0" r="6350" b="0"/>
                  <wp:docPr id="182003852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38523" name="图片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336550" cy="3429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688588D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metal oxide</w:t>
            </w:r>
          </w:p>
        </w:tc>
      </w:tr>
      <w:tr w14:paraId="3D430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6499509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7.2 × 10</w:t>
            </w:r>
            <w:r>
              <w:rPr>
                <w:color w:val="000000" w:themeColor="text1"/>
                <w:szCs w:val="24"/>
                <w:vertAlign w:val="superscript"/>
                <w14:textFill>
                  <w14:solidFill>
                    <w14:schemeClr w14:val="tx1"/>
                  </w14:solidFill>
                </w14:textFill>
              </w:rPr>
              <w:t>-7</w:t>
            </w:r>
          </w:p>
        </w:tc>
        <w:tc>
          <w:tcPr>
            <w:tcW w:w="1763" w:type="dxa"/>
            <w:tcBorders>
              <w:top w:val="nil"/>
              <w:left w:val="nil"/>
              <w:bottom w:val="nil"/>
              <w:right w:val="nil"/>
            </w:tcBorders>
            <w:vAlign w:val="center"/>
          </w:tcPr>
          <w:p w14:paraId="68B5446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(1 - 2) × 10</w:t>
            </w:r>
            <w:r>
              <w:rPr>
                <w:color w:val="000000" w:themeColor="text1"/>
                <w:szCs w:val="24"/>
                <w:vertAlign w:val="superscript"/>
                <w14:textFill>
                  <w14:solidFill>
                    <w14:schemeClr w14:val="tx1"/>
                  </w14:solidFill>
                </w14:textFill>
              </w:rPr>
              <w:t>-9</w:t>
            </w:r>
          </w:p>
        </w:tc>
        <w:tc>
          <w:tcPr>
            <w:tcW w:w="1381" w:type="dxa"/>
            <w:tcBorders>
              <w:top w:val="nil"/>
              <w:left w:val="nil"/>
              <w:bottom w:val="nil"/>
              <w:right w:val="nil"/>
            </w:tcBorders>
            <w:vAlign w:val="center"/>
          </w:tcPr>
          <w:p w14:paraId="0D0E59A6">
            <w:pPr>
              <w:jc w:val="center"/>
              <w:rPr>
                <w:color w:val="000000" w:themeColor="text1"/>
                <w:szCs w:val="24"/>
                <w:lang w:eastAsia="zh-CN"/>
                <w14:textFill>
                  <w14:solidFill>
                    <w14:schemeClr w14:val="tx1"/>
                  </w14:solidFill>
                </w14:textFill>
              </w:rPr>
            </w:pPr>
            <w:r>
              <w:rPr>
                <w:szCs w:val="24"/>
                <w:vertAlign w:val="superscript"/>
                <w:lang w:eastAsia="zh-CN"/>
              </w:rPr>
              <w:t>30</w:t>
            </w:r>
          </w:p>
        </w:tc>
        <w:tc>
          <w:tcPr>
            <w:tcW w:w="1276" w:type="dxa"/>
            <w:tcBorders>
              <w:top w:val="nil"/>
              <w:left w:val="nil"/>
              <w:bottom w:val="nil"/>
              <w:right w:val="nil"/>
            </w:tcBorders>
            <w:vAlign w:val="center"/>
          </w:tcPr>
          <w:p w14:paraId="7A91DF30">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87350" cy="387350"/>
                  <wp:effectExtent l="0" t="0" r="0" b="0"/>
                  <wp:docPr id="17508370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37036" name="图片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87350" cy="38735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492C22E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Single-molecule layer device</w:t>
            </w:r>
          </w:p>
        </w:tc>
      </w:tr>
      <w:tr w14:paraId="0D758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4F98AD4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~2.6 × 10</w:t>
            </w:r>
            <w:r>
              <w:rPr>
                <w:color w:val="000000" w:themeColor="text1"/>
                <w:szCs w:val="24"/>
                <w:vertAlign w:val="superscript"/>
                <w14:textFill>
                  <w14:solidFill>
                    <w14:schemeClr w14:val="tx1"/>
                  </w14:solidFill>
                </w14:textFill>
              </w:rPr>
              <w:t>-14</w:t>
            </w:r>
          </w:p>
        </w:tc>
        <w:tc>
          <w:tcPr>
            <w:tcW w:w="1763" w:type="dxa"/>
            <w:tcBorders>
              <w:top w:val="nil"/>
              <w:left w:val="nil"/>
              <w:bottom w:val="nil"/>
              <w:right w:val="nil"/>
            </w:tcBorders>
            <w:vAlign w:val="center"/>
          </w:tcPr>
          <w:p w14:paraId="2F3CF688">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1.1 × 10</w:t>
            </w:r>
            <w:r>
              <w:rPr>
                <w:color w:val="000000" w:themeColor="text1"/>
                <w:szCs w:val="24"/>
                <w:vertAlign w:val="superscript"/>
                <w14:textFill>
                  <w14:solidFill>
                    <w14:schemeClr w14:val="tx1"/>
                  </w14:solidFill>
                </w14:textFill>
              </w:rPr>
              <w:t>-6</w:t>
            </w:r>
          </w:p>
        </w:tc>
        <w:tc>
          <w:tcPr>
            <w:tcW w:w="1381" w:type="dxa"/>
            <w:tcBorders>
              <w:top w:val="nil"/>
              <w:left w:val="nil"/>
              <w:bottom w:val="nil"/>
              <w:right w:val="nil"/>
            </w:tcBorders>
            <w:vAlign w:val="center"/>
          </w:tcPr>
          <w:p w14:paraId="50CA828B">
            <w:pPr>
              <w:jc w:val="center"/>
              <w:rPr>
                <w:color w:val="000000" w:themeColor="text1"/>
                <w:szCs w:val="24"/>
                <w:lang w:eastAsia="zh-CN"/>
                <w14:textFill>
                  <w14:solidFill>
                    <w14:schemeClr w14:val="tx1"/>
                  </w14:solidFill>
                </w14:textFill>
              </w:rPr>
            </w:pPr>
            <w:r>
              <w:rPr>
                <w:szCs w:val="24"/>
                <w:vertAlign w:val="superscript"/>
                <w:lang w:eastAsia="zh-CN"/>
              </w:rPr>
              <w:t>31</w:t>
            </w:r>
          </w:p>
        </w:tc>
        <w:tc>
          <w:tcPr>
            <w:tcW w:w="1276" w:type="dxa"/>
            <w:tcBorders>
              <w:top w:val="nil"/>
              <w:left w:val="nil"/>
              <w:bottom w:val="nil"/>
              <w:right w:val="nil"/>
            </w:tcBorders>
            <w:vAlign w:val="center"/>
          </w:tcPr>
          <w:p w14:paraId="03FEDEC0">
            <w:pPr>
              <w:jc w:val="center"/>
              <w:rPr>
                <w:color w:val="000000" w:themeColor="text1"/>
                <w:szCs w:val="24"/>
                <w14:textFill>
                  <w14:solidFill>
                    <w14:schemeClr w14:val="tx1"/>
                  </w14:solidFill>
                </w14:textFill>
              </w:rPr>
            </w:pPr>
            <w:r>
              <w:rPr>
                <w:color w:val="000000" w:themeColor="text1"/>
                <w:szCs w:val="24"/>
                <w:lang w:eastAsia="zh-CN"/>
                <w14:textFill>
                  <w14:solidFill>
                    <w14:schemeClr w14:val="tx1"/>
                  </w14:solidFill>
                </w14:textFill>
              </w:rPr>
              <w:drawing>
                <wp:inline distT="0" distB="0" distL="0" distR="0">
                  <wp:extent cx="342900" cy="381000"/>
                  <wp:effectExtent l="0" t="0" r="0" b="0"/>
                  <wp:docPr id="4987153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15340" name="图片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342900" cy="3810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63B40D7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Neuromorphic devices fabricated from organometallic compounds</w:t>
            </w:r>
          </w:p>
        </w:tc>
      </w:tr>
      <w:tr w14:paraId="0A22D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7064DB53">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2.3 × 10</w:t>
            </w:r>
            <w:r>
              <w:rPr>
                <w:color w:val="000000" w:themeColor="text1"/>
                <w:szCs w:val="24"/>
                <w:vertAlign w:val="superscript"/>
                <w14:textFill>
                  <w14:solidFill>
                    <w14:schemeClr w14:val="tx1"/>
                  </w14:solidFill>
                </w14:textFill>
              </w:rPr>
              <w:t>-17</w:t>
            </w:r>
          </w:p>
        </w:tc>
        <w:tc>
          <w:tcPr>
            <w:tcW w:w="1763" w:type="dxa"/>
            <w:tcBorders>
              <w:top w:val="nil"/>
              <w:left w:val="nil"/>
              <w:bottom w:val="nil"/>
              <w:right w:val="nil"/>
            </w:tcBorders>
            <w:vAlign w:val="center"/>
          </w:tcPr>
          <w:p w14:paraId="683EE7A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Sub-1.0 × 10</w:t>
            </w:r>
            <w:r>
              <w:rPr>
                <w:color w:val="000000" w:themeColor="text1"/>
                <w:szCs w:val="24"/>
                <w:vertAlign w:val="superscript"/>
                <w14:textFill>
                  <w14:solidFill>
                    <w14:schemeClr w14:val="tx1"/>
                  </w14:solidFill>
                </w14:textFill>
              </w:rPr>
              <w:t>-6</w:t>
            </w:r>
          </w:p>
        </w:tc>
        <w:tc>
          <w:tcPr>
            <w:tcW w:w="1381" w:type="dxa"/>
            <w:tcBorders>
              <w:top w:val="nil"/>
              <w:left w:val="nil"/>
              <w:bottom w:val="nil"/>
              <w:right w:val="nil"/>
            </w:tcBorders>
            <w:vAlign w:val="center"/>
          </w:tcPr>
          <w:p w14:paraId="504AC0AC">
            <w:pPr>
              <w:jc w:val="center"/>
              <w:rPr>
                <w:color w:val="000000" w:themeColor="text1"/>
                <w:szCs w:val="24"/>
                <w:lang w:eastAsia="zh-CN"/>
                <w14:textFill>
                  <w14:solidFill>
                    <w14:schemeClr w14:val="tx1"/>
                  </w14:solidFill>
                </w14:textFill>
              </w:rPr>
            </w:pPr>
            <w:r>
              <w:rPr>
                <w:szCs w:val="24"/>
                <w:vertAlign w:val="superscript"/>
                <w:lang w:eastAsia="zh-CN"/>
              </w:rPr>
              <w:t>32</w:t>
            </w:r>
          </w:p>
        </w:tc>
        <w:tc>
          <w:tcPr>
            <w:tcW w:w="1276" w:type="dxa"/>
            <w:tcBorders>
              <w:top w:val="nil"/>
              <w:left w:val="nil"/>
              <w:bottom w:val="nil"/>
              <w:right w:val="nil"/>
            </w:tcBorders>
            <w:vAlign w:val="center"/>
          </w:tcPr>
          <w:p w14:paraId="5ECE64B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34950" cy="254000"/>
                  <wp:effectExtent l="0" t="0" r="0" b="0"/>
                  <wp:docPr id="3032370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37086" name="图片 29"/>
                          <pic:cNvPicPr>
                            <a:picLocks noChangeAspect="1" noChangeArrowheads="1"/>
                          </pic:cNvPicPr>
                        </pic:nvPicPr>
                        <pic:blipFill>
                          <a:blip r:embed="rId52">
                            <a:extLst>
                              <a:ext uri="{28A0092B-C50C-407E-A947-70E740481C1C}">
                                <a14:useLocalDpi xmlns:a14="http://schemas.microsoft.com/office/drawing/2010/main" val="0"/>
                              </a:ext>
                            </a:extLst>
                          </a:blip>
                          <a:srcRect l="-3735" t="12779" r="11803" b="19794"/>
                          <a:stretch>
                            <a:fillRect/>
                          </a:stretch>
                        </pic:blipFill>
                        <pic:spPr>
                          <a:xfrm>
                            <a:off x="0" y="0"/>
                            <a:ext cx="234950" cy="2540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2EFBBA32">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Nanoelectromechanical devices (NEMS)</w:t>
            </w:r>
          </w:p>
        </w:tc>
      </w:tr>
      <w:tr w14:paraId="5CFDB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nil"/>
              <w:right w:val="nil"/>
            </w:tcBorders>
            <w:vAlign w:val="center"/>
          </w:tcPr>
          <w:p w14:paraId="7675712E">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3.0 × 10</w:t>
            </w:r>
            <w:r>
              <w:rPr>
                <w:color w:val="000000" w:themeColor="text1"/>
                <w:szCs w:val="24"/>
                <w:vertAlign w:val="superscript"/>
                <w14:textFill>
                  <w14:solidFill>
                    <w14:schemeClr w14:val="tx1"/>
                  </w14:solidFill>
                </w14:textFill>
              </w:rPr>
              <w:t xml:space="preserve">-18 </w:t>
            </w:r>
            <w:r>
              <w:rPr>
                <w:color w:val="000000" w:themeColor="text1"/>
                <w:szCs w:val="24"/>
                <w14:textFill>
                  <w14:solidFill>
                    <w14:schemeClr w14:val="tx1"/>
                  </w14:solidFill>
                </w14:textFill>
              </w:rPr>
              <w:t>(Projected)</w:t>
            </w:r>
          </w:p>
        </w:tc>
        <w:tc>
          <w:tcPr>
            <w:tcW w:w="1763" w:type="dxa"/>
            <w:tcBorders>
              <w:top w:val="nil"/>
              <w:left w:val="nil"/>
              <w:bottom w:val="nil"/>
              <w:right w:val="nil"/>
            </w:tcBorders>
            <w:vAlign w:val="center"/>
          </w:tcPr>
          <w:p w14:paraId="1283FA3C">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5.0 × 10</w:t>
            </w:r>
            <w:r>
              <w:rPr>
                <w:color w:val="000000" w:themeColor="text1"/>
                <w:szCs w:val="24"/>
                <w:vertAlign w:val="superscript"/>
                <w14:textFill>
                  <w14:solidFill>
                    <w14:schemeClr w14:val="tx1"/>
                  </w14:solidFill>
                </w14:textFill>
              </w:rPr>
              <w:t xml:space="preserve">-8 </w:t>
            </w:r>
            <w:r>
              <w:rPr>
                <w:color w:val="000000" w:themeColor="text1"/>
                <w:szCs w:val="24"/>
                <w14:textFill>
                  <w14:solidFill>
                    <w14:schemeClr w14:val="tx1"/>
                  </w14:solidFill>
                </w14:textFill>
              </w:rPr>
              <w:t>(Projected)</w:t>
            </w:r>
          </w:p>
        </w:tc>
        <w:tc>
          <w:tcPr>
            <w:tcW w:w="1381" w:type="dxa"/>
            <w:tcBorders>
              <w:top w:val="nil"/>
              <w:left w:val="nil"/>
              <w:bottom w:val="nil"/>
              <w:right w:val="nil"/>
            </w:tcBorders>
            <w:vAlign w:val="center"/>
          </w:tcPr>
          <w:p w14:paraId="6C238179">
            <w:pPr>
              <w:jc w:val="center"/>
              <w:rPr>
                <w:color w:val="000000" w:themeColor="text1"/>
                <w:szCs w:val="24"/>
                <w:lang w:eastAsia="zh-CN"/>
                <w14:textFill>
                  <w14:solidFill>
                    <w14:schemeClr w14:val="tx1"/>
                  </w14:solidFill>
                </w14:textFill>
              </w:rPr>
            </w:pPr>
            <w:r>
              <w:rPr>
                <w:szCs w:val="24"/>
                <w:vertAlign w:val="superscript"/>
                <w:lang w:eastAsia="zh-CN"/>
              </w:rPr>
              <w:t>33</w:t>
            </w:r>
          </w:p>
        </w:tc>
        <w:tc>
          <w:tcPr>
            <w:tcW w:w="1276" w:type="dxa"/>
            <w:tcBorders>
              <w:top w:val="nil"/>
              <w:left w:val="nil"/>
              <w:bottom w:val="nil"/>
              <w:right w:val="nil"/>
            </w:tcBorders>
            <w:vAlign w:val="center"/>
          </w:tcPr>
          <w:p w14:paraId="292AE935">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85750" cy="266700"/>
                  <wp:effectExtent l="0" t="0" r="0" b="0"/>
                  <wp:docPr id="15726023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02343" name="图片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85750" cy="266700"/>
                          </a:xfrm>
                          <a:prstGeom prst="rect">
                            <a:avLst/>
                          </a:prstGeom>
                          <a:noFill/>
                          <a:ln>
                            <a:noFill/>
                          </a:ln>
                        </pic:spPr>
                      </pic:pic>
                    </a:graphicData>
                  </a:graphic>
                </wp:inline>
              </w:drawing>
            </w:r>
          </w:p>
        </w:tc>
        <w:tc>
          <w:tcPr>
            <w:tcW w:w="2977" w:type="dxa"/>
            <w:tcBorders>
              <w:top w:val="nil"/>
              <w:left w:val="nil"/>
              <w:bottom w:val="nil"/>
              <w:right w:val="nil"/>
            </w:tcBorders>
            <w:vAlign w:val="center"/>
          </w:tcPr>
          <w:p w14:paraId="6E415F9B">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Silicon complementary metal-oxide-semiconductor (Si CMOS)</w:t>
            </w:r>
          </w:p>
        </w:tc>
      </w:tr>
      <w:tr w14:paraId="0A39B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959" w:type="dxa"/>
            <w:tcBorders>
              <w:top w:val="nil"/>
              <w:left w:val="nil"/>
              <w:bottom w:val="single" w:color="auto" w:sz="4" w:space="0"/>
              <w:right w:val="nil"/>
            </w:tcBorders>
            <w:vAlign w:val="center"/>
          </w:tcPr>
          <w:p w14:paraId="0C5C47ED">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 × 10</w:t>
            </w:r>
            <w:r>
              <w:rPr>
                <w:color w:val="000000" w:themeColor="text1"/>
                <w:szCs w:val="24"/>
                <w:vertAlign w:val="superscript"/>
                <w14:textFill>
                  <w14:solidFill>
                    <w14:schemeClr w14:val="tx1"/>
                  </w14:solidFill>
                </w14:textFill>
              </w:rPr>
              <w:t xml:space="preserve">-17 </w:t>
            </w:r>
            <w:r>
              <w:rPr>
                <w:color w:val="000000" w:themeColor="text1"/>
                <w:szCs w:val="24"/>
                <w14:textFill>
                  <w14:solidFill>
                    <w14:schemeClr w14:val="tx1"/>
                  </w14:solidFill>
                </w14:textFill>
              </w:rPr>
              <w:t>(Projected)</w:t>
            </w:r>
          </w:p>
        </w:tc>
        <w:tc>
          <w:tcPr>
            <w:tcW w:w="1763" w:type="dxa"/>
            <w:tcBorders>
              <w:top w:val="nil"/>
              <w:left w:val="nil"/>
              <w:bottom w:val="single" w:color="auto" w:sz="4" w:space="0"/>
              <w:right w:val="nil"/>
            </w:tcBorders>
            <w:vAlign w:val="center"/>
          </w:tcPr>
          <w:p w14:paraId="4B3FFF34">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1.0 × 10</w:t>
            </w:r>
            <w:r>
              <w:rPr>
                <w:color w:val="000000" w:themeColor="text1"/>
                <w:szCs w:val="24"/>
                <w:vertAlign w:val="superscript"/>
                <w14:textFill>
                  <w14:solidFill>
                    <w14:schemeClr w14:val="tx1"/>
                  </w14:solidFill>
                </w14:textFill>
              </w:rPr>
              <w:t xml:space="preserve">-7 </w:t>
            </w:r>
            <w:r>
              <w:rPr>
                <w:color w:val="000000" w:themeColor="text1"/>
                <w:szCs w:val="24"/>
                <w14:textFill>
                  <w14:solidFill>
                    <w14:schemeClr w14:val="tx1"/>
                  </w14:solidFill>
                </w14:textFill>
              </w:rPr>
              <w:t>(Projected)</w:t>
            </w:r>
          </w:p>
        </w:tc>
        <w:tc>
          <w:tcPr>
            <w:tcW w:w="1381" w:type="dxa"/>
            <w:tcBorders>
              <w:top w:val="nil"/>
              <w:left w:val="nil"/>
              <w:bottom w:val="single" w:color="auto" w:sz="4" w:space="0"/>
              <w:right w:val="nil"/>
            </w:tcBorders>
            <w:vAlign w:val="center"/>
          </w:tcPr>
          <w:p w14:paraId="712E38E4">
            <w:pPr>
              <w:jc w:val="center"/>
              <w:rPr>
                <w:color w:val="000000" w:themeColor="text1"/>
                <w:szCs w:val="24"/>
                <w:lang w:eastAsia="zh-CN"/>
                <w14:textFill>
                  <w14:solidFill>
                    <w14:schemeClr w14:val="tx1"/>
                  </w14:solidFill>
                </w14:textFill>
              </w:rPr>
            </w:pPr>
            <w:r>
              <w:rPr>
                <w:szCs w:val="24"/>
                <w:vertAlign w:val="superscript"/>
                <w:lang w:eastAsia="zh-CN"/>
              </w:rPr>
              <w:t>34</w:t>
            </w:r>
          </w:p>
        </w:tc>
        <w:tc>
          <w:tcPr>
            <w:tcW w:w="1276" w:type="dxa"/>
            <w:tcBorders>
              <w:top w:val="nil"/>
              <w:left w:val="nil"/>
              <w:bottom w:val="single" w:color="auto" w:sz="4" w:space="0"/>
              <w:right w:val="nil"/>
            </w:tcBorders>
            <w:vAlign w:val="center"/>
          </w:tcPr>
          <w:p w14:paraId="15497C37">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drawing>
                <wp:inline distT="0" distB="0" distL="0" distR="0">
                  <wp:extent cx="285750" cy="342900"/>
                  <wp:effectExtent l="0" t="0" r="0" b="0"/>
                  <wp:docPr id="151332239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322398" name="图片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85750" cy="342900"/>
                          </a:xfrm>
                          <a:prstGeom prst="rect">
                            <a:avLst/>
                          </a:prstGeom>
                          <a:noFill/>
                          <a:ln>
                            <a:noFill/>
                          </a:ln>
                        </pic:spPr>
                      </pic:pic>
                    </a:graphicData>
                  </a:graphic>
                </wp:inline>
              </w:drawing>
            </w:r>
          </w:p>
        </w:tc>
        <w:tc>
          <w:tcPr>
            <w:tcW w:w="2977" w:type="dxa"/>
            <w:tcBorders>
              <w:top w:val="nil"/>
              <w:left w:val="nil"/>
              <w:bottom w:val="single" w:color="auto" w:sz="4" w:space="0"/>
              <w:right w:val="nil"/>
            </w:tcBorders>
            <w:vAlign w:val="center"/>
          </w:tcPr>
          <w:p w14:paraId="3F2F0759">
            <w:pPr>
              <w:jc w:val="center"/>
              <w:rPr>
                <w:color w:val="000000" w:themeColor="text1"/>
                <w:szCs w:val="24"/>
                <w14:textFill>
                  <w14:solidFill>
                    <w14:schemeClr w14:val="tx1"/>
                  </w14:solidFill>
                </w14:textFill>
              </w:rPr>
            </w:pPr>
            <w:r>
              <w:rPr>
                <w:color w:val="000000" w:themeColor="text1"/>
                <w:szCs w:val="24"/>
                <w14:textFill>
                  <w14:solidFill>
                    <w14:schemeClr w14:val="tx1"/>
                  </w14:solidFill>
                </w14:textFill>
              </w:rPr>
              <w:t>Nanoelectromechanical devices (NEMS)</w:t>
            </w:r>
          </w:p>
        </w:tc>
      </w:tr>
    </w:tbl>
    <w:p w14:paraId="6272884E">
      <w:pPr>
        <w:spacing w:before="120"/>
        <w:jc w:val="both"/>
        <w:rPr>
          <w:color w:val="000000"/>
          <w:szCs w:val="24"/>
          <w:lang w:eastAsia="zh-CN"/>
        </w:rPr>
      </w:pPr>
    </w:p>
    <w:p w14:paraId="5EE3F1A6">
      <w:pPr>
        <w:spacing w:before="120"/>
        <w:ind w:firstLine="240" w:firstLineChars="100"/>
        <w:jc w:val="both"/>
        <w:rPr>
          <w:color w:val="000000"/>
          <w:szCs w:val="24"/>
          <w:lang w:eastAsia="zh-CN"/>
        </w:rPr>
      </w:pPr>
      <w:r>
        <w:rPr>
          <w:rFonts w:hint="eastAsia"/>
          <w:color w:val="000000"/>
          <w:szCs w:val="24"/>
          <w:lang w:eastAsia="zh-CN"/>
        </w:rPr>
        <w:t>W</w:t>
      </w:r>
      <w:r>
        <w:rPr>
          <w:color w:val="000000"/>
          <w:szCs w:val="24"/>
          <w:lang w:eastAsia="zh-CN"/>
        </w:rPr>
        <w:t>e separately applied the separate gate voltage pulse, the separate bias pulse, and combined gate and bias voltage pulses to the device in hover mode (Figs. S15-21). It was found that the device effectively emulated short-term synaptic plasticity under combined gate and bias voltage pulses. We further explored by adjusting the pulse amplitude of the bias voltage, observing that with increased amplitude, the conductance tunability of the device also increased. Additionally, when pulses of varying duration were applied, the post-excitatory conductance increased with longer pulse duration. We successfully employed single-molecule transistors to mimic short-term plasticity, specifically paired-pulse facilitation (PPF), which plays a critical role in decoding temporal information in the nervous system. To achieve PPF simulation, different modes of pulsed voltage were applied to the gate and working electrodes of the transistors. As shown in Fig. S18, when two consecutive voltage pulses (</w:t>
      </w:r>
      <w:r>
        <w:rPr>
          <w:i/>
          <w:iCs/>
          <w:color w:val="000000"/>
          <w:szCs w:val="24"/>
        </w:rPr>
        <w:t>V</w:t>
      </w:r>
      <w:r>
        <w:rPr>
          <w:color w:val="000000"/>
          <w:szCs w:val="24"/>
          <w:vertAlign w:val="subscript"/>
        </w:rPr>
        <w:t>G</w:t>
      </w:r>
      <w:r>
        <w:rPr>
          <w:color w:val="000000"/>
          <w:szCs w:val="24"/>
        </w:rPr>
        <w:t xml:space="preserve"> = </w:t>
      </w:r>
      <w:r>
        <w:rPr>
          <w:color w:val="000000"/>
          <w:szCs w:val="24"/>
          <w:lang w:eastAsia="zh-CN"/>
        </w:rPr>
        <w:t>–</w:t>
      </w:r>
      <w:r>
        <w:rPr>
          <w:color w:val="000000"/>
          <w:szCs w:val="24"/>
        </w:rPr>
        <w:t>0.4~0.5 V,</w:t>
      </w:r>
      <w:r>
        <w:rPr>
          <w:i/>
          <w:iCs/>
          <w:color w:val="000000"/>
          <w:szCs w:val="24"/>
        </w:rPr>
        <w:t xml:space="preserve"> V</w:t>
      </w:r>
      <w:r>
        <w:rPr>
          <w:color w:val="000000"/>
          <w:szCs w:val="24"/>
          <w:vertAlign w:val="subscript"/>
        </w:rPr>
        <w:t>B</w:t>
      </w:r>
      <w:r>
        <w:rPr>
          <w:color w:val="000000"/>
          <w:szCs w:val="24"/>
        </w:rPr>
        <w:t xml:space="preserve"> = 0.1~0.6 V, </w:t>
      </w:r>
      <w:r>
        <w:rPr>
          <w:i/>
          <w:iCs/>
          <w:color w:val="000000"/>
          <w:szCs w:val="24"/>
        </w:rPr>
        <w:t>t</w:t>
      </w:r>
      <w:r>
        <w:rPr>
          <w:color w:val="000000"/>
          <w:szCs w:val="24"/>
          <w:vertAlign w:val="subscript"/>
        </w:rPr>
        <w:t>p</w:t>
      </w:r>
      <w:r>
        <w:rPr>
          <w:color w:val="000000"/>
          <w:szCs w:val="24"/>
        </w:rPr>
        <w:t xml:space="preserve"> = 50 ms</w:t>
      </w:r>
      <w:r>
        <w:rPr>
          <w:color w:val="000000"/>
          <w:szCs w:val="24"/>
          <w:lang w:eastAsia="zh-CN"/>
        </w:rPr>
        <w:t>) were applied with intervals ranging from 10 to 300 ms, a pair of post-synaptic current peaks were generated. The second voltage pulse induced a current peak significantly higher than the first, successfully replicating the PPF behavior observed in biological synapses. The PPF behavior is highly correlated with the coupling-decoupling relaxation times of the single molecule and cations within the transistor. When the relaxation time exceeds the pulse interval, the accumulation of anions around the single molecule triggered by the first pulse cannot fully diffuse back into the bulk solution. These residual anions hinder the coupling of cations with the single molecule and further drive decoupling through the second pulse. Consequently, when the pre-synaptic pulse interval is short, the second current pulse is significantly enhanced.</w:t>
      </w:r>
    </w:p>
    <w:p w14:paraId="69BA5AEC">
      <w:pPr>
        <w:spacing w:before="120"/>
        <w:ind w:firstLine="240" w:firstLineChars="100"/>
        <w:jc w:val="both"/>
        <w:rPr>
          <w:szCs w:val="24"/>
          <w:lang w:eastAsia="zh-CN"/>
        </w:rPr>
      </w:pPr>
      <w:r>
        <w:rPr>
          <w:szCs w:val="24"/>
          <w:lang w:eastAsia="zh-CN"/>
        </w:rPr>
        <w:t>To evaluate the enhancement effect of the artificial synaptic transistor, a performance metric (PPF index) was defined, as shown in Fig. 2e:</w:t>
      </w:r>
    </w:p>
    <w:p w14:paraId="2D3F05F9">
      <w:pPr>
        <w:pStyle w:val="159"/>
        <w:rPr>
          <w:lang w:eastAsia="zh-CN"/>
        </w:rPr>
      </w:pPr>
      <w:r>
        <w:tab/>
      </w:r>
      <w:r>
        <w:rPr>
          <w:position w:val="-12"/>
        </w:rPr>
        <w:drawing>
          <wp:inline distT="0" distB="0" distL="0" distR="0">
            <wp:extent cx="1841500" cy="228600"/>
            <wp:effectExtent l="0" t="0" r="6350" b="0"/>
            <wp:docPr id="17975035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03592" name="图片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841500" cy="228600"/>
                    </a:xfrm>
                    <a:prstGeom prst="rect">
                      <a:avLst/>
                    </a:prstGeom>
                    <a:noFill/>
                    <a:ln>
                      <a:noFill/>
                    </a:ln>
                  </pic:spPr>
                </pic:pic>
              </a:graphicData>
            </a:graphic>
          </wp:inline>
        </w:drawing>
      </w:r>
      <w:r>
        <w:tab/>
      </w:r>
      <w:r>
        <w:rPr>
          <w:lang w:eastAsia="zh-CN"/>
        </w:rPr>
        <w:t>(S</w:t>
      </w:r>
      <w:r>
        <w:t>1</w:t>
      </w:r>
      <w:r>
        <w:rPr>
          <w:lang w:eastAsia="zh-CN"/>
        </w:rPr>
        <w:t>)</w:t>
      </w:r>
    </w:p>
    <w:p w14:paraId="65D4ED0F">
      <w:pPr>
        <w:spacing w:before="120" w:after="120"/>
        <w:jc w:val="both"/>
        <w:rPr>
          <w:color w:val="000000"/>
          <w:szCs w:val="24"/>
        </w:rPr>
      </w:pPr>
      <w:r>
        <w:rPr>
          <w:color w:val="000000"/>
          <w:szCs w:val="24"/>
        </w:rPr>
        <w:t>where (</w:t>
      </w:r>
      <w:r>
        <w:rPr>
          <w:i/>
          <w:iCs/>
          <w:color w:val="000000"/>
          <w:szCs w:val="24"/>
        </w:rPr>
        <w:t>G</w:t>
      </w:r>
      <w:r>
        <w:rPr>
          <w:color w:val="000000"/>
          <w:szCs w:val="24"/>
          <w:vertAlign w:val="subscript"/>
        </w:rPr>
        <w:t>1</w:t>
      </w:r>
      <w:r>
        <w:rPr>
          <w:color w:val="000000"/>
          <w:szCs w:val="24"/>
        </w:rPr>
        <w:t>) and (</w:t>
      </w:r>
      <w:r>
        <w:rPr>
          <w:i/>
          <w:iCs/>
          <w:color w:val="000000"/>
          <w:szCs w:val="24"/>
        </w:rPr>
        <w:t>G</w:t>
      </w:r>
      <w:r>
        <w:rPr>
          <w:color w:val="000000"/>
          <w:szCs w:val="24"/>
          <w:vertAlign w:val="subscript"/>
        </w:rPr>
        <w:t>2</w:t>
      </w:r>
      <w:r>
        <w:rPr>
          <w:color w:val="000000"/>
          <w:szCs w:val="24"/>
        </w:rPr>
        <w:t xml:space="preserve">) </w:t>
      </w:r>
      <w:r>
        <w:rPr>
          <w:szCs w:val="24"/>
          <w:lang w:eastAsia="zh-CN"/>
        </w:rPr>
        <w:t>represent the conductance peaks triggered by the first and second pulses, respectively. The facilitation effect diminishes as the pulse interval increases, as depicted in Fig. 2E. The decline in PPF index over different time intervals exhibits a characteristic bi-exponential decay, which can be fitted using the following bi-exponential decay function</w:t>
      </w:r>
      <w:r>
        <w:rPr>
          <w:color w:val="000000"/>
          <w:szCs w:val="24"/>
        </w:rPr>
        <w:t>:</w:t>
      </w:r>
    </w:p>
    <w:p w14:paraId="34973CDB">
      <w:pPr>
        <w:pStyle w:val="159"/>
        <w:rPr>
          <w:lang w:eastAsia="zh-CN"/>
        </w:rPr>
      </w:pPr>
      <w:r>
        <w:tab/>
      </w:r>
      <w:r>
        <w:rPr>
          <w:position w:val="-30"/>
        </w:rPr>
        <w:drawing>
          <wp:inline distT="0" distB="0" distL="0" distR="0">
            <wp:extent cx="2997200" cy="431800"/>
            <wp:effectExtent l="0" t="0" r="0" b="6350"/>
            <wp:docPr id="17982791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279121" name="图片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997200" cy="431800"/>
                    </a:xfrm>
                    <a:prstGeom prst="rect">
                      <a:avLst/>
                    </a:prstGeom>
                    <a:noFill/>
                    <a:ln>
                      <a:noFill/>
                    </a:ln>
                  </pic:spPr>
                </pic:pic>
              </a:graphicData>
            </a:graphic>
          </wp:inline>
        </w:drawing>
      </w:r>
      <w:r>
        <w:tab/>
      </w:r>
      <w:r>
        <w:rPr>
          <w:lang w:eastAsia="zh-CN"/>
        </w:rPr>
        <w:t>(S</w:t>
      </w:r>
      <w:r>
        <w:t>2</w:t>
      </w:r>
      <w:r>
        <w:rPr>
          <w:lang w:eastAsia="zh-CN"/>
        </w:rPr>
        <w:t>)</w:t>
      </w:r>
    </w:p>
    <w:p w14:paraId="29066052">
      <w:pPr>
        <w:spacing w:before="120"/>
        <w:ind w:firstLine="240" w:firstLineChars="100"/>
        <w:jc w:val="both"/>
        <w:rPr>
          <w:szCs w:val="24"/>
          <w:lang w:eastAsia="zh-CN"/>
        </w:rPr>
      </w:pPr>
      <w:bookmarkStart w:id="6" w:name="OLE_LINK23"/>
      <w:r>
        <w:rPr>
          <w:color w:val="000000"/>
          <w:szCs w:val="24"/>
        </w:rPr>
        <w:t>Here,</w:t>
      </w:r>
      <w:r>
        <w:rPr>
          <w:szCs w:val="24"/>
        </w:rPr>
        <w:t xml:space="preserve"> ∆</w:t>
      </w:r>
      <w:r>
        <w:rPr>
          <w:i/>
          <w:iCs/>
          <w:color w:val="000000"/>
          <w:szCs w:val="24"/>
        </w:rPr>
        <w:t>t</w:t>
      </w:r>
      <w:r>
        <w:rPr>
          <w:color w:val="000000"/>
          <w:szCs w:val="24"/>
        </w:rPr>
        <w:t xml:space="preserve"> represents the pulse interval, </w:t>
      </w:r>
      <w:r>
        <w:rPr>
          <w:i/>
          <w:iCs/>
          <w:color w:val="000000"/>
          <w:szCs w:val="24"/>
        </w:rPr>
        <w:t>C</w:t>
      </w:r>
      <w:r>
        <w:rPr>
          <w:color w:val="000000"/>
          <w:szCs w:val="24"/>
          <w:vertAlign w:val="subscript"/>
        </w:rPr>
        <w:t>0</w:t>
      </w:r>
      <w:r>
        <w:rPr>
          <w:color w:val="000000"/>
          <w:szCs w:val="24"/>
        </w:rPr>
        <w:t xml:space="preserve"> is the PPF index constant when the pulse interval approaches infinity, </w:t>
      </w:r>
      <w:r>
        <w:rPr>
          <w:i/>
          <w:iCs/>
          <w:color w:val="000000"/>
          <w:szCs w:val="24"/>
        </w:rPr>
        <w:t>C</w:t>
      </w:r>
      <w:r>
        <w:rPr>
          <w:color w:val="000000"/>
          <w:szCs w:val="24"/>
          <w:vertAlign w:val="subscript"/>
        </w:rPr>
        <w:t>1</w:t>
      </w:r>
      <w:r>
        <w:rPr>
          <w:color w:val="000000"/>
          <w:szCs w:val="24"/>
        </w:rPr>
        <w:t xml:space="preserve"> and </w:t>
      </w:r>
      <w:r>
        <w:rPr>
          <w:i/>
          <w:iCs/>
          <w:color w:val="000000"/>
          <w:szCs w:val="24"/>
        </w:rPr>
        <w:t>C</w:t>
      </w:r>
      <w:r>
        <w:rPr>
          <w:color w:val="000000"/>
          <w:szCs w:val="24"/>
          <w:vertAlign w:val="subscript"/>
        </w:rPr>
        <w:t>2</w:t>
      </w:r>
      <w:r>
        <w:rPr>
          <w:color w:val="000000"/>
          <w:szCs w:val="24"/>
        </w:rPr>
        <w:t xml:space="preserve"> are the initial facilitation amplitudes of the two decay phases, and </w:t>
      </w:r>
      <w:bookmarkStart w:id="7" w:name="OLE_LINK26"/>
      <w:r>
        <w:rPr>
          <w:i/>
          <w:iCs/>
          <w:color w:val="000000"/>
          <w:szCs w:val="24"/>
          <w:lang w:eastAsia="zh-CN"/>
        </w:rPr>
        <w:sym w:font="Symbol" w:char="F074"/>
      </w:r>
      <w:r>
        <w:rPr>
          <w:color w:val="000000"/>
          <w:szCs w:val="24"/>
          <w:vertAlign w:val="subscript"/>
        </w:rPr>
        <w:t xml:space="preserve">1 </w:t>
      </w:r>
      <w:r>
        <w:rPr>
          <w:color w:val="000000"/>
          <w:szCs w:val="24"/>
        </w:rPr>
        <w:t xml:space="preserve">and </w:t>
      </w:r>
      <w:r>
        <w:rPr>
          <w:i/>
          <w:iCs/>
          <w:color w:val="000000"/>
          <w:szCs w:val="24"/>
          <w:lang w:eastAsia="zh-CN"/>
        </w:rPr>
        <w:sym w:font="Symbol" w:char="F074"/>
      </w:r>
      <w:r>
        <w:rPr>
          <w:color w:val="000000"/>
          <w:szCs w:val="24"/>
          <w:vertAlign w:val="subscript"/>
        </w:rPr>
        <w:t>2</w:t>
      </w:r>
      <w:r>
        <w:rPr>
          <w:color w:val="000000"/>
          <w:szCs w:val="24"/>
        </w:rPr>
        <w:t xml:space="preserve"> </w:t>
      </w:r>
      <w:bookmarkEnd w:id="7"/>
      <w:r>
        <w:rPr>
          <w:szCs w:val="24"/>
          <w:lang w:eastAsia="zh-CN"/>
        </w:rPr>
        <w:t>are the respective relaxation time constants. This bi-exponential decay is consistent with the attenuation behavior of synaptic facilitation observed in biological synapses. Finally, we tested electrical pulses at different frequencies, maintaining the pulse interval at half of the pulse duration. The findings showed that the device demonstrates a better memory effect under higher frequency stimulation.</w:t>
      </w:r>
      <w:bookmarkEnd w:id="6"/>
    </w:p>
    <w:p w14:paraId="74A9FD8E">
      <w:pPr>
        <w:spacing w:before="120" w:after="120"/>
        <w:ind w:firstLine="240" w:firstLineChars="100"/>
        <w:jc w:val="both"/>
        <w:rPr>
          <w:szCs w:val="24"/>
          <w:lang w:eastAsia="zh-CN"/>
        </w:rPr>
      </w:pPr>
      <w:r>
        <w:rPr>
          <w:szCs w:val="24"/>
          <w:lang w:eastAsia="zh-CN"/>
        </w:rPr>
        <w:t xml:space="preserve">The calculation method for the forgetting ratio is as follows (Fig. S21 and Table S4): First, the difference between the saturated conductance value and the initial conductance value </w:t>
      </w:r>
      <w:r>
        <w:rPr>
          <w:szCs w:val="24"/>
        </w:rPr>
        <w:t>(Δ</w:t>
      </w:r>
      <w:r>
        <w:rPr>
          <w:i/>
          <w:iCs/>
          <w:szCs w:val="24"/>
        </w:rPr>
        <w:t>G</w:t>
      </w:r>
      <w:r>
        <w:rPr>
          <w:szCs w:val="24"/>
          <w:vertAlign w:val="subscript"/>
        </w:rPr>
        <w:t>1</w:t>
      </w:r>
      <w:r>
        <w:rPr>
          <w:szCs w:val="24"/>
        </w:rPr>
        <w:t xml:space="preserve"> = </w:t>
      </w:r>
      <w:r>
        <w:rPr>
          <w:i/>
          <w:iCs/>
          <w:szCs w:val="24"/>
        </w:rPr>
        <w:t>G</w:t>
      </w:r>
      <w:r>
        <w:rPr>
          <w:szCs w:val="24"/>
          <w:vertAlign w:val="subscript"/>
        </w:rPr>
        <w:t xml:space="preserve">sat </w:t>
      </w:r>
      <w:r>
        <w:rPr>
          <w:color w:val="000000"/>
          <w:szCs w:val="24"/>
          <w:lang w:eastAsia="zh-CN"/>
        </w:rPr>
        <w:t xml:space="preserve">– </w:t>
      </w:r>
      <w:r>
        <w:rPr>
          <w:i/>
          <w:iCs/>
          <w:szCs w:val="24"/>
        </w:rPr>
        <w:t>G</w:t>
      </w:r>
      <w:r>
        <w:rPr>
          <w:szCs w:val="24"/>
          <w:vertAlign w:val="subscript"/>
        </w:rPr>
        <w:t>base</w:t>
      </w:r>
      <w:r>
        <w:rPr>
          <w:szCs w:val="24"/>
        </w:rPr>
        <w:t>)</w:t>
      </w:r>
      <w:r>
        <w:rPr>
          <w:szCs w:val="24"/>
          <w:lang w:eastAsia="zh-CN"/>
        </w:rPr>
        <w:t xml:space="preserve"> is used as a baseline to represent the maximum achievable learning capacity. For measurements taken after each learning event at different relaxation times (e.g., 10 ms or 400 ms), the difference between the measured conductance and the initial conductance </w:t>
      </w:r>
      <w:r>
        <w:rPr>
          <w:szCs w:val="24"/>
        </w:rPr>
        <w:t>(Δ</w:t>
      </w:r>
      <w:r>
        <w:rPr>
          <w:i/>
          <w:iCs/>
          <w:szCs w:val="24"/>
        </w:rPr>
        <w:t>G</w:t>
      </w:r>
      <w:r>
        <w:rPr>
          <w:szCs w:val="24"/>
        </w:rPr>
        <w:t>ₙ, such as Δ</w:t>
      </w:r>
      <w:r>
        <w:rPr>
          <w:i/>
          <w:iCs/>
          <w:szCs w:val="24"/>
        </w:rPr>
        <w:t>G</w:t>
      </w:r>
      <w:r>
        <w:rPr>
          <w:szCs w:val="24"/>
          <w:vertAlign w:val="subscript"/>
        </w:rPr>
        <w:t>2</w:t>
      </w:r>
      <w:r>
        <w:rPr>
          <w:szCs w:val="24"/>
        </w:rPr>
        <w:t xml:space="preserve"> = </w:t>
      </w:r>
      <w:r>
        <w:rPr>
          <w:i/>
          <w:iCs/>
          <w:szCs w:val="24"/>
        </w:rPr>
        <w:t>G</w:t>
      </w:r>
      <w:r>
        <w:rPr>
          <w:szCs w:val="24"/>
          <w:vertAlign w:val="subscript"/>
        </w:rPr>
        <w:t>10ms-1</w:t>
      </w:r>
      <w:r>
        <w:rPr>
          <w:szCs w:val="24"/>
        </w:rPr>
        <w:t xml:space="preserve"> </w:t>
      </w:r>
      <w:r>
        <w:rPr>
          <w:color w:val="000000"/>
          <w:szCs w:val="24"/>
          <w:lang w:eastAsia="zh-CN"/>
        </w:rPr>
        <w:t>–</w:t>
      </w:r>
      <w:r>
        <w:rPr>
          <w:szCs w:val="24"/>
        </w:rPr>
        <w:t xml:space="preserve"> </w:t>
      </w:r>
      <w:r>
        <w:rPr>
          <w:i/>
          <w:iCs/>
          <w:szCs w:val="24"/>
        </w:rPr>
        <w:t>G</w:t>
      </w:r>
      <w:r>
        <w:rPr>
          <w:szCs w:val="24"/>
          <w:vertAlign w:val="subscript"/>
        </w:rPr>
        <w:t>base</w:t>
      </w:r>
      <w:r>
        <w:rPr>
          <w:szCs w:val="24"/>
        </w:rPr>
        <w:t>)</w:t>
      </w:r>
      <w:r>
        <w:rPr>
          <w:szCs w:val="24"/>
          <w:lang w:eastAsia="zh-CN"/>
        </w:rPr>
        <w:t xml:space="preserve"> is calculated. The proportion of this difference relative to the baseline Δ</w:t>
      </w:r>
      <w:r>
        <w:rPr>
          <w:i/>
          <w:iCs/>
          <w:szCs w:val="24"/>
          <w:lang w:eastAsia="zh-CN"/>
        </w:rPr>
        <w:t>G</w:t>
      </w:r>
      <w:r>
        <w:rPr>
          <w:szCs w:val="24"/>
          <w:lang w:eastAsia="zh-CN"/>
        </w:rPr>
        <w:t xml:space="preserve">₁ reflects the memory retention level. The forgetting ratio is then defined as 1 minus this retention ratio, i.e., </w:t>
      </w:r>
      <w:r>
        <w:rPr>
          <w:szCs w:val="24"/>
        </w:rPr>
        <w:t>1</w:t>
      </w:r>
      <w:r>
        <w:rPr>
          <w:szCs w:val="24"/>
          <w:lang w:eastAsia="zh-CN"/>
        </w:rPr>
        <w:t xml:space="preserve"> </w:t>
      </w:r>
      <w:r>
        <w:rPr>
          <w:color w:val="000000"/>
          <w:szCs w:val="24"/>
          <w:lang w:eastAsia="zh-CN"/>
        </w:rPr>
        <w:t xml:space="preserve">– </w:t>
      </w:r>
      <w:r>
        <w:rPr>
          <w:szCs w:val="24"/>
        </w:rPr>
        <w:t>(Δ</w:t>
      </w:r>
      <w:r>
        <w:rPr>
          <w:i/>
          <w:iCs/>
          <w:szCs w:val="24"/>
        </w:rPr>
        <w:t>G</w:t>
      </w:r>
      <w:r>
        <w:rPr>
          <w:szCs w:val="24"/>
          <w:vertAlign w:val="subscript"/>
        </w:rPr>
        <w:t>n</w:t>
      </w:r>
      <w:r>
        <w:rPr>
          <w:szCs w:val="24"/>
        </w:rPr>
        <w:t>/Δ</w:t>
      </w:r>
      <w:r>
        <w:rPr>
          <w:i/>
          <w:iCs/>
          <w:szCs w:val="24"/>
        </w:rPr>
        <w:t>G</w:t>
      </w:r>
      <w:r>
        <w:rPr>
          <w:szCs w:val="24"/>
          <w:vertAlign w:val="subscript"/>
        </w:rPr>
        <w:t>1</w:t>
      </w:r>
      <w:r>
        <w:rPr>
          <w:szCs w:val="24"/>
        </w:rPr>
        <w:t>)</w:t>
      </w:r>
      <w:r>
        <w:rPr>
          <w:szCs w:val="24"/>
          <w:lang w:eastAsia="zh-CN"/>
        </w:rPr>
        <w:t>, which physically represents the degree of memory loss relative to the maximum learning effect. For instance, a low forgetting ratio at 10 ms reflects short-term memory retention, while a higher forgetting ratio at 400 ms illustrates the natural decay of memory over time. This quantification method effectively captures the memory evolution behavior in the dynamic process of “learning-forgetting-relearning.” Building on these results, we performed simulations encompassing paired-pulse facilitation and Pavlovian experiments, and subsequently implemented the device within a Morse code decoder (Figs. S22-25).</w:t>
      </w:r>
      <w:r>
        <w:rPr>
          <w:color w:val="0000FF"/>
          <w:szCs w:val="24"/>
          <w:lang w:eastAsia="zh-CN"/>
        </w:rPr>
        <w:t xml:space="preserve"> </w:t>
      </w:r>
    </w:p>
    <w:p w14:paraId="387133A3">
      <w:pPr>
        <w:rPr>
          <w:szCs w:val="24"/>
        </w:rPr>
      </w:pPr>
    </w:p>
    <w:p w14:paraId="69D6C237">
      <w:pPr>
        <w:spacing w:before="120" w:after="120" w:line="360" w:lineRule="auto"/>
        <w:jc w:val="center"/>
        <w:rPr>
          <w:szCs w:val="24"/>
        </w:rPr>
      </w:pPr>
      <w:r>
        <w:drawing>
          <wp:inline distT="0" distB="0" distL="0" distR="0">
            <wp:extent cx="5039995" cy="3796665"/>
            <wp:effectExtent l="0" t="0" r="8255" b="0"/>
            <wp:docPr id="16461609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60972" name="图片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040000" cy="3797231"/>
                    </a:xfrm>
                    <a:prstGeom prst="rect">
                      <a:avLst/>
                    </a:prstGeom>
                    <a:noFill/>
                    <a:ln>
                      <a:noFill/>
                    </a:ln>
                  </pic:spPr>
                </pic:pic>
              </a:graphicData>
            </a:graphic>
          </wp:inline>
        </w:drawing>
      </w:r>
    </w:p>
    <w:p w14:paraId="6EE59530">
      <w:pPr>
        <w:spacing w:before="120"/>
        <w:jc w:val="both"/>
        <w:rPr>
          <w:szCs w:val="24"/>
        </w:rPr>
      </w:pPr>
      <w:r>
        <w:rPr>
          <w:b/>
          <w:bCs/>
          <w:szCs w:val="24"/>
        </w:rPr>
        <w:t>Fig. S15 Synaptic plasticity simulation of the single-molecule organic electrochemical transistor utilizing</w:t>
      </w:r>
      <w:r>
        <w:rPr>
          <w:szCs w:val="24"/>
        </w:rPr>
        <w:t xml:space="preserve"> </w:t>
      </w:r>
      <w:r>
        <w:rPr>
          <w:b/>
          <w:bCs/>
          <w:szCs w:val="24"/>
        </w:rPr>
        <w:t xml:space="preserve">MeO-TBT with electric pulse stimulation. </w:t>
      </w:r>
      <w:r>
        <w:rPr>
          <w:rFonts w:hint="eastAsia"/>
          <w:b/>
          <w:bCs/>
          <w:szCs w:val="24"/>
          <w:lang w:eastAsia="zh-CN"/>
        </w:rPr>
        <w:t>a</w:t>
      </w:r>
      <w:r>
        <w:rPr>
          <w:b/>
          <w:bCs/>
          <w:szCs w:val="24"/>
        </w:rPr>
        <w:t xml:space="preserve">, </w:t>
      </w:r>
      <w:r>
        <w:rPr>
          <w:szCs w:val="24"/>
        </w:rPr>
        <w:t>Synaptic plasticity simulation of the single-molecule organic electrochemical transistor under a gate voltage pulse (</w:t>
      </w:r>
      <w:r>
        <w:rPr>
          <w:i/>
          <w:iCs/>
          <w:szCs w:val="24"/>
        </w:rPr>
        <w:t>V</w:t>
      </w:r>
      <w:r>
        <w:rPr>
          <w:szCs w:val="24"/>
          <w:vertAlign w:val="subscript"/>
        </w:rPr>
        <w:t>G</w:t>
      </w:r>
      <w:r>
        <w:rPr>
          <w:szCs w:val="24"/>
        </w:rPr>
        <w:t xml:space="preserve"> = 0.5 V), with the readout gate voltage set to -0.4 V. </w:t>
      </w:r>
      <w:r>
        <w:rPr>
          <w:rFonts w:hint="eastAsia"/>
          <w:b/>
          <w:bCs/>
          <w:szCs w:val="24"/>
          <w:lang w:eastAsia="zh-CN"/>
        </w:rPr>
        <w:t>b</w:t>
      </w:r>
      <w:r>
        <w:rPr>
          <w:b/>
          <w:bCs/>
          <w:szCs w:val="24"/>
        </w:rPr>
        <w:t>,</w:t>
      </w:r>
      <w:r>
        <w:rPr>
          <w:szCs w:val="24"/>
        </w:rPr>
        <w:t xml:space="preserve"> Synaptic plasticity simulation of the single-molecule organic electrochemical transistor with a bias voltage pulse (</w:t>
      </w:r>
      <w:r>
        <w:rPr>
          <w:i/>
          <w:iCs/>
          <w:szCs w:val="24"/>
        </w:rPr>
        <w:t>V</w:t>
      </w:r>
      <w:r>
        <w:rPr>
          <w:szCs w:val="24"/>
          <w:vertAlign w:val="subscript"/>
        </w:rPr>
        <w:t>B</w:t>
      </w:r>
      <w:r>
        <w:rPr>
          <w:szCs w:val="24"/>
        </w:rPr>
        <w:t xml:space="preserve"> = 0.6 V), with the readout bias voltage set to 0.1 V. </w:t>
      </w:r>
      <w:r>
        <w:rPr>
          <w:rFonts w:hint="eastAsia"/>
          <w:b/>
          <w:bCs/>
          <w:szCs w:val="24"/>
          <w:lang w:eastAsia="zh-CN"/>
        </w:rPr>
        <w:t>c</w:t>
      </w:r>
      <w:r>
        <w:rPr>
          <w:b/>
          <w:bCs/>
          <w:szCs w:val="24"/>
        </w:rPr>
        <w:t xml:space="preserve">, </w:t>
      </w:r>
      <w:r>
        <w:rPr>
          <w:szCs w:val="24"/>
        </w:rPr>
        <w:t>Synaptic plasticity simulation of the single-molecule organic electrochemical transistor under combined stimulation of gate voltage (</w:t>
      </w:r>
      <w:r>
        <w:rPr>
          <w:i/>
          <w:iCs/>
          <w:szCs w:val="24"/>
        </w:rPr>
        <w:t>V</w:t>
      </w:r>
      <w:r>
        <w:rPr>
          <w:szCs w:val="24"/>
          <w:vertAlign w:val="subscript"/>
        </w:rPr>
        <w:t>G</w:t>
      </w:r>
      <w:r>
        <w:rPr>
          <w:szCs w:val="24"/>
        </w:rPr>
        <w:t xml:space="preserve"> = 0.5 V) and bias voltage pulses (</w:t>
      </w:r>
      <w:r>
        <w:rPr>
          <w:i/>
          <w:iCs/>
          <w:szCs w:val="24"/>
        </w:rPr>
        <w:t>V</w:t>
      </w:r>
      <w:r>
        <w:rPr>
          <w:szCs w:val="24"/>
          <w:vertAlign w:val="subscript"/>
        </w:rPr>
        <w:t>B</w:t>
      </w:r>
      <w:r>
        <w:rPr>
          <w:szCs w:val="24"/>
        </w:rPr>
        <w:t xml:space="preserve"> = 0.6 V), with the readout gate voltage set to </w:t>
      </w:r>
      <w:r>
        <w:rPr>
          <w:color w:val="000000"/>
          <w:szCs w:val="24"/>
          <w:lang w:eastAsia="zh-CN"/>
        </w:rPr>
        <w:t>–</w:t>
      </w:r>
      <w:r>
        <w:rPr>
          <w:szCs w:val="24"/>
        </w:rPr>
        <w:t>0.4 V and the readout bias voltage set to 0.1 V.</w:t>
      </w:r>
      <w:r>
        <w:rPr>
          <w:b/>
          <w:bCs/>
          <w:szCs w:val="24"/>
        </w:rPr>
        <w:t xml:space="preserve"> </w:t>
      </w:r>
      <w:r>
        <w:rPr>
          <w:rFonts w:hint="eastAsia"/>
          <w:b/>
          <w:bCs/>
          <w:szCs w:val="24"/>
          <w:lang w:eastAsia="zh-CN"/>
        </w:rPr>
        <w:t>d</w:t>
      </w:r>
      <w:r>
        <w:rPr>
          <w:b/>
          <w:bCs/>
          <w:szCs w:val="24"/>
        </w:rPr>
        <w:t xml:space="preserve">, </w:t>
      </w:r>
      <w:r>
        <w:rPr>
          <w:szCs w:val="24"/>
        </w:rPr>
        <w:t>Comparison of synaptic plasticity simulation under gate voltage pulse, bias voltage pulse, and synergistic stimulation of both gate and bias voltage pulses.</w:t>
      </w:r>
    </w:p>
    <w:p w14:paraId="78995123">
      <w:pPr>
        <w:rPr>
          <w:szCs w:val="24"/>
          <w:lang w:eastAsia="zh-CN"/>
        </w:rPr>
      </w:pPr>
    </w:p>
    <w:p w14:paraId="2CCAB1EA">
      <w:pPr>
        <w:spacing w:line="360" w:lineRule="auto"/>
        <w:jc w:val="center"/>
        <w:rPr>
          <w:b/>
          <w:bCs/>
          <w:szCs w:val="24"/>
        </w:rPr>
      </w:pPr>
      <w:r>
        <w:rPr>
          <w:b/>
          <w:bCs/>
          <w:szCs w:val="24"/>
        </w:rPr>
        <w:t>Table S2 Input signal mode vs. conductance response relationship</w:t>
      </w:r>
    </w:p>
    <w:tbl>
      <w:tblPr>
        <w:tblStyle w:val="88"/>
        <w:tblW w:w="0" w:type="auto"/>
        <w:jc w:val="center"/>
        <w:tblLayout w:type="autofit"/>
        <w:tblCellMar>
          <w:top w:w="0" w:type="dxa"/>
          <w:left w:w="108" w:type="dxa"/>
          <w:bottom w:w="0" w:type="dxa"/>
          <w:right w:w="108" w:type="dxa"/>
        </w:tblCellMar>
      </w:tblPr>
      <w:tblGrid>
        <w:gridCol w:w="2767"/>
        <w:gridCol w:w="2331"/>
        <w:gridCol w:w="3204"/>
      </w:tblGrid>
      <w:tr w14:paraId="4D6B9417">
        <w:tblPrEx>
          <w:tblCellMar>
            <w:top w:w="0" w:type="dxa"/>
            <w:left w:w="108" w:type="dxa"/>
            <w:bottom w:w="0" w:type="dxa"/>
            <w:right w:w="108" w:type="dxa"/>
          </w:tblCellMar>
        </w:tblPrEx>
        <w:trPr>
          <w:jc w:val="center"/>
        </w:trPr>
        <w:tc>
          <w:tcPr>
            <w:tcW w:w="2767" w:type="dxa"/>
            <w:tcBorders>
              <w:top w:val="single" w:color="auto" w:sz="4" w:space="0"/>
              <w:bottom w:val="single" w:color="auto" w:sz="4" w:space="0"/>
            </w:tcBorders>
            <w:vAlign w:val="center"/>
          </w:tcPr>
          <w:p w14:paraId="77181DC5">
            <w:pPr>
              <w:jc w:val="center"/>
              <w:rPr>
                <w:b/>
                <w:bCs/>
                <w:szCs w:val="24"/>
              </w:rPr>
            </w:pPr>
            <w:r>
              <w:rPr>
                <w:b/>
                <w:bCs/>
                <w:szCs w:val="24"/>
              </w:rPr>
              <w:t>Input signal pattern</w:t>
            </w:r>
          </w:p>
        </w:tc>
        <w:tc>
          <w:tcPr>
            <w:tcW w:w="2331" w:type="dxa"/>
            <w:tcBorders>
              <w:top w:val="single" w:color="auto" w:sz="4" w:space="0"/>
              <w:bottom w:val="single" w:color="auto" w:sz="4" w:space="0"/>
            </w:tcBorders>
            <w:vAlign w:val="center"/>
          </w:tcPr>
          <w:p w14:paraId="733AFE82">
            <w:pPr>
              <w:jc w:val="center"/>
              <w:rPr>
                <w:b/>
                <w:bCs/>
                <w:szCs w:val="24"/>
              </w:rPr>
            </w:pPr>
            <w:r>
              <w:rPr>
                <w:b/>
                <w:bCs/>
                <w:szCs w:val="24"/>
              </w:rPr>
              <w:t>Conductance / nS</w:t>
            </w:r>
          </w:p>
        </w:tc>
        <w:tc>
          <w:tcPr>
            <w:tcW w:w="3204" w:type="dxa"/>
            <w:tcBorders>
              <w:top w:val="single" w:color="auto" w:sz="4" w:space="0"/>
              <w:bottom w:val="single" w:color="auto" w:sz="4" w:space="0"/>
            </w:tcBorders>
            <w:vAlign w:val="center"/>
          </w:tcPr>
          <w:p w14:paraId="3942A974">
            <w:pPr>
              <w:jc w:val="center"/>
              <w:rPr>
                <w:b/>
                <w:bCs/>
                <w:szCs w:val="24"/>
              </w:rPr>
            </w:pPr>
            <w:r>
              <w:rPr>
                <w:b/>
                <w:bCs/>
                <w:szCs w:val="24"/>
              </w:rPr>
              <w:t>Superposition comparison / nS</w:t>
            </w:r>
          </w:p>
        </w:tc>
      </w:tr>
      <w:tr w14:paraId="53C70526">
        <w:tblPrEx>
          <w:tblCellMar>
            <w:top w:w="0" w:type="dxa"/>
            <w:left w:w="108" w:type="dxa"/>
            <w:bottom w:w="0" w:type="dxa"/>
            <w:right w:w="108" w:type="dxa"/>
          </w:tblCellMar>
        </w:tblPrEx>
        <w:trPr>
          <w:jc w:val="center"/>
        </w:trPr>
        <w:tc>
          <w:tcPr>
            <w:tcW w:w="2767" w:type="dxa"/>
            <w:tcBorders>
              <w:top w:val="single" w:color="auto" w:sz="4" w:space="0"/>
            </w:tcBorders>
            <w:vAlign w:val="center"/>
          </w:tcPr>
          <w:p w14:paraId="331D251A">
            <w:pPr>
              <w:jc w:val="center"/>
              <w:rPr>
                <w:szCs w:val="24"/>
              </w:rPr>
            </w:pPr>
            <w:r>
              <w:rPr>
                <w:szCs w:val="24"/>
              </w:rPr>
              <w:t>Gate voltage</w:t>
            </w:r>
          </w:p>
        </w:tc>
        <w:tc>
          <w:tcPr>
            <w:tcW w:w="2331" w:type="dxa"/>
            <w:tcBorders>
              <w:top w:val="single" w:color="auto" w:sz="4" w:space="0"/>
            </w:tcBorders>
            <w:vAlign w:val="center"/>
          </w:tcPr>
          <w:p w14:paraId="00251BC2">
            <w:pPr>
              <w:jc w:val="center"/>
              <w:rPr>
                <w:color w:val="000000"/>
                <w:szCs w:val="24"/>
              </w:rPr>
            </w:pPr>
            <w:r>
              <w:rPr>
                <w:color w:val="000000"/>
                <w:szCs w:val="24"/>
              </w:rPr>
              <mc:AlternateContent>
                <mc:Choice Requires="wps">
                  <w:drawing>
                    <wp:anchor distT="0" distB="0" distL="114300" distR="114300" simplePos="0" relativeHeight="251659264" behindDoc="0" locked="0" layoutInCell="1" allowOverlap="1">
                      <wp:simplePos x="0" y="0"/>
                      <wp:positionH relativeFrom="column">
                        <wp:posOffset>406400</wp:posOffset>
                      </wp:positionH>
                      <wp:positionV relativeFrom="paragraph">
                        <wp:posOffset>23495</wp:posOffset>
                      </wp:positionV>
                      <wp:extent cx="596900" cy="438150"/>
                      <wp:effectExtent l="0" t="0" r="12700" b="19050"/>
                      <wp:wrapNone/>
                      <wp:docPr id="1330411835" name="矩形 66"/>
                      <wp:cNvGraphicFramePr/>
                      <a:graphic xmlns:a="http://schemas.openxmlformats.org/drawingml/2006/main">
                        <a:graphicData uri="http://schemas.microsoft.com/office/word/2010/wordprocessingShape">
                          <wps:wsp>
                            <wps:cNvSpPr/>
                            <wps:spPr>
                              <a:xfrm>
                                <a:off x="0" y="0"/>
                                <a:ext cx="596900" cy="438150"/>
                              </a:xfrm>
                              <a:prstGeom prst="rect">
                                <a:avLst/>
                              </a:prstGeom>
                              <a:noFill/>
                              <a:ln w="12700" cap="flat" cmpd="sng" algn="ctr">
                                <a:solidFill>
                                  <a:srgbClr val="A6A6A6">
                                    <a:lumMod val="65000"/>
                                  </a:srgbClr>
                                </a:solidFill>
                                <a:prstDash val="dash"/>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6" o:spid="_x0000_s1026" o:spt="1" style="position:absolute;left:0pt;margin-left:32pt;margin-top:1.85pt;height:34.5pt;width:47pt;z-index:251659264;v-text-anchor:middle;mso-width-relative:page;mso-height-relative:page;" filled="f" stroked="t" coordsize="21600,21600" o:gfxdata="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iHsRK1gAAAAcBAAAPAAAAAAAAAAEAIAAA&#10;ACIAAABkcnMvZG93bnJldi54bWxQSwECFAAUAAAACACHTuJAYMI2p4ACAAD1BAAADgAAAAAAAAAB&#10;ACAAAAAlAQAAZHJzL2Uyb0RvYy54bWxQSwUGAAAAAAYABgBZAQAAFwYAAAAA&#10;">
                      <v:fill on="f" focussize="0,0"/>
                      <v:stroke weight="1pt" color="#6C6C6C" miterlimit="8" joinstyle="miter" dashstyle="dash"/>
                      <v:imagedata o:title=""/>
                      <o:lock v:ext="edit" aspectratio="f"/>
                    </v:rect>
                  </w:pict>
                </mc:Fallback>
              </mc:AlternateContent>
            </w:r>
            <w:r>
              <w:rPr>
                <w:color w:val="000000"/>
                <w:szCs w:val="24"/>
              </w:rPr>
              <w:t>81.15</w:t>
            </w:r>
          </w:p>
        </w:tc>
        <w:tc>
          <w:tcPr>
            <w:tcW w:w="3204" w:type="dxa"/>
            <w:vMerge w:val="restart"/>
            <w:tcBorders>
              <w:top w:val="single" w:color="auto" w:sz="4" w:space="0"/>
            </w:tcBorders>
            <w:vAlign w:val="center"/>
          </w:tcPr>
          <w:p w14:paraId="2AA695A1">
            <w:pPr>
              <w:jc w:val="center"/>
              <w:rPr>
                <w:szCs w:val="24"/>
              </w:rPr>
            </w:pPr>
            <w:r>
              <w:rPr>
                <w:szCs w:val="24"/>
              </w:rPr>
              <w:t>109.94</w:t>
            </w:r>
          </w:p>
        </w:tc>
      </w:tr>
      <w:tr w14:paraId="65A38BFB">
        <w:tblPrEx>
          <w:tblCellMar>
            <w:top w:w="0" w:type="dxa"/>
            <w:left w:w="108" w:type="dxa"/>
            <w:bottom w:w="0" w:type="dxa"/>
            <w:right w:w="108" w:type="dxa"/>
          </w:tblCellMar>
        </w:tblPrEx>
        <w:trPr>
          <w:trHeight w:val="643" w:hRule="atLeast"/>
          <w:jc w:val="center"/>
        </w:trPr>
        <w:tc>
          <w:tcPr>
            <w:tcW w:w="2767" w:type="dxa"/>
            <w:vAlign w:val="center"/>
          </w:tcPr>
          <w:p w14:paraId="151D6BDB">
            <w:pPr>
              <w:jc w:val="center"/>
              <w:rPr>
                <w:szCs w:val="24"/>
              </w:rPr>
            </w:pPr>
            <w:r>
              <w:rPr>
                <w:szCs w:val="24"/>
              </w:rPr>
              <w:t>Bias voltage</w:t>
            </w:r>
          </w:p>
        </w:tc>
        <w:tc>
          <w:tcPr>
            <w:tcW w:w="2331" w:type="dxa"/>
            <w:vAlign w:val="center"/>
          </w:tcPr>
          <w:p w14:paraId="24BF7D5D">
            <w:pPr>
              <w:jc w:val="center"/>
              <w:rPr>
                <w:color w:val="000000"/>
                <w:szCs w:val="24"/>
              </w:rPr>
            </w:pPr>
            <w:r>
              <w:rPr>
                <w:color w:val="000000"/>
                <w:szCs w:val="24"/>
              </w:rPr>
              <w:t>28.79</w:t>
            </w:r>
          </w:p>
        </w:tc>
        <w:tc>
          <w:tcPr>
            <w:tcW w:w="3204" w:type="dxa"/>
            <w:vMerge w:val="continue"/>
            <w:vAlign w:val="center"/>
          </w:tcPr>
          <w:p w14:paraId="6139133A">
            <w:pPr>
              <w:jc w:val="center"/>
              <w:rPr>
                <w:szCs w:val="24"/>
              </w:rPr>
            </w:pPr>
          </w:p>
        </w:tc>
      </w:tr>
      <w:tr w14:paraId="69DDD154">
        <w:tblPrEx>
          <w:tblCellMar>
            <w:top w:w="0" w:type="dxa"/>
            <w:left w:w="108" w:type="dxa"/>
            <w:bottom w:w="0" w:type="dxa"/>
            <w:right w:w="108" w:type="dxa"/>
          </w:tblCellMar>
        </w:tblPrEx>
        <w:trPr>
          <w:jc w:val="center"/>
        </w:trPr>
        <w:tc>
          <w:tcPr>
            <w:tcW w:w="2767" w:type="dxa"/>
            <w:tcBorders>
              <w:bottom w:val="single" w:color="auto" w:sz="4" w:space="0"/>
            </w:tcBorders>
            <w:vAlign w:val="center"/>
          </w:tcPr>
          <w:p w14:paraId="4E3E1C4F">
            <w:pPr>
              <w:jc w:val="center"/>
              <w:rPr>
                <w:szCs w:val="24"/>
              </w:rPr>
            </w:pPr>
            <w:r>
              <w:rPr>
                <w:szCs w:val="24"/>
              </w:rPr>
              <w:t>Synergistic input of gate voltage and bias voltage</w:t>
            </w:r>
          </w:p>
        </w:tc>
        <w:tc>
          <w:tcPr>
            <w:tcW w:w="2331" w:type="dxa"/>
            <w:tcBorders>
              <w:bottom w:val="single" w:color="auto" w:sz="4" w:space="0"/>
            </w:tcBorders>
            <w:vAlign w:val="center"/>
          </w:tcPr>
          <w:p w14:paraId="3FD0F3C4">
            <w:pPr>
              <w:jc w:val="center"/>
              <w:rPr>
                <w:szCs w:val="24"/>
              </w:rPr>
            </w:pPr>
            <w:r>
              <w:rPr>
                <w:szCs w:val="24"/>
              </w:rPr>
              <w:t>706.81</w:t>
            </w:r>
          </w:p>
        </w:tc>
        <w:tc>
          <w:tcPr>
            <w:tcW w:w="3204" w:type="dxa"/>
            <w:tcBorders>
              <w:bottom w:val="single" w:color="auto" w:sz="4" w:space="0"/>
            </w:tcBorders>
            <w:vAlign w:val="center"/>
          </w:tcPr>
          <w:p w14:paraId="4E2483B7">
            <w:pPr>
              <w:jc w:val="center"/>
              <w:rPr>
                <w:szCs w:val="24"/>
              </w:rPr>
            </w:pPr>
            <w:r>
              <w:rPr>
                <w:color w:val="000000"/>
                <w:szCs w:val="24"/>
              </w:rPr>
              <mc:AlternateContent>
                <mc:Choice Requires="wps">
                  <w:drawing>
                    <wp:anchor distT="0" distB="0" distL="114300" distR="114300" simplePos="0" relativeHeight="251660288" behindDoc="0" locked="0" layoutInCell="1" allowOverlap="1">
                      <wp:simplePos x="0" y="0"/>
                      <wp:positionH relativeFrom="column">
                        <wp:posOffset>-21590</wp:posOffset>
                      </wp:positionH>
                      <wp:positionV relativeFrom="paragraph">
                        <wp:posOffset>-545465</wp:posOffset>
                      </wp:positionV>
                      <wp:extent cx="311150" cy="127000"/>
                      <wp:effectExtent l="0" t="0" r="0" b="6350"/>
                      <wp:wrapNone/>
                      <wp:docPr id="680999940" name="箭头: 右 64"/>
                      <wp:cNvGraphicFramePr/>
                      <a:graphic xmlns:a="http://schemas.openxmlformats.org/drawingml/2006/main">
                        <a:graphicData uri="http://schemas.microsoft.com/office/word/2010/wordprocessingShape">
                          <wps:wsp>
                            <wps:cNvSpPr/>
                            <wps:spPr>
                              <a:xfrm>
                                <a:off x="0" y="0"/>
                                <a:ext cx="311150" cy="127000"/>
                              </a:xfrm>
                              <a:prstGeom prst="rightArrow">
                                <a:avLst/>
                              </a:prstGeom>
                              <a:solidFill>
                                <a:srgbClr val="808080">
                                  <a:lumMod val="50000"/>
                                </a:srgbClr>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64" o:spid="_x0000_s1026" o:spt="13" type="#_x0000_t13" style="position:absolute;left:0pt;margin-left:-1.7pt;margin-top:-42.95pt;height:10pt;width:24.5pt;z-index:251660288;v-text-anchor:middle;mso-width-relative:page;mso-height-relative:page;" fillcolor="#404040" filled="t" stroked="f" coordsize="21600,21600" o:gfxdata="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fwqr49gAAAAJAQAADwAAAAAA&#10;AAABACAAAAAiAAAAZHJzL2Rvd25yZXYueG1sUEsBAhQAFAAAAAgAh07iQC2id2CFAgAAAAUAAA4A&#10;AAAAAAAAAQAgAAAAJwEAAGRycy9lMm9Eb2MueG1sUEsFBgAAAAAGAAYAWQEAAB4GAAAAAA==&#10;" adj="17192,5400">
                      <v:fill on="t" focussize="0,0"/>
                      <v:stroke on="f" weight="1pt" miterlimit="8" joinstyle="miter"/>
                      <v:imagedata o:title=""/>
                      <o:lock v:ext="edit" aspectratio="f"/>
                    </v:shape>
                  </w:pict>
                </mc:Fallback>
              </mc:AlternateContent>
            </w:r>
            <w:r>
              <w:rPr>
                <w:szCs w:val="24"/>
              </w:rPr>
              <w:t>706.81</w:t>
            </w:r>
          </w:p>
        </w:tc>
      </w:tr>
    </w:tbl>
    <w:p w14:paraId="7DB47926">
      <w:pPr>
        <w:spacing w:line="360" w:lineRule="auto"/>
        <w:jc w:val="center"/>
      </w:pPr>
    </w:p>
    <w:p w14:paraId="0F98ADC1"/>
    <w:p w14:paraId="6F4E7DD5">
      <w:pPr>
        <w:spacing w:before="120"/>
        <w:jc w:val="center"/>
        <w:rPr>
          <w:b/>
          <w:bCs/>
          <w:color w:val="000000"/>
          <w:szCs w:val="24"/>
        </w:rPr>
      </w:pPr>
      <w:r>
        <w:rPr>
          <w:szCs w:val="24"/>
        </w:rPr>
        <w:drawing>
          <wp:inline distT="0" distB="0" distL="0" distR="0">
            <wp:extent cx="2879725" cy="2301240"/>
            <wp:effectExtent l="0" t="0" r="0" b="3810"/>
            <wp:docPr id="10618953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95350" name="图片 23"/>
                    <pic:cNvPicPr>
                      <a:picLocks noChangeAspect="1" noChangeArrowheads="1"/>
                    </pic:cNvPicPr>
                  </pic:nvPicPr>
                  <pic:blipFill>
                    <a:blip r:embed="rId58">
                      <a:extLst>
                        <a:ext uri="{28A0092B-C50C-407E-A947-70E740481C1C}">
                          <a14:useLocalDpi xmlns:a14="http://schemas.microsoft.com/office/drawing/2010/main" val="0"/>
                        </a:ext>
                      </a:extLst>
                    </a:blip>
                    <a:srcRect l="3598" t="9697" r="19908" b="4880"/>
                    <a:stretch>
                      <a:fillRect/>
                    </a:stretch>
                  </pic:blipFill>
                  <pic:spPr>
                    <a:xfrm>
                      <a:off x="0" y="0"/>
                      <a:ext cx="2880000" cy="2301867"/>
                    </a:xfrm>
                    <a:prstGeom prst="rect">
                      <a:avLst/>
                    </a:prstGeom>
                    <a:noFill/>
                    <a:ln>
                      <a:noFill/>
                    </a:ln>
                  </pic:spPr>
                </pic:pic>
              </a:graphicData>
            </a:graphic>
          </wp:inline>
        </w:drawing>
      </w:r>
    </w:p>
    <w:p w14:paraId="313E417A">
      <w:pPr>
        <w:spacing w:before="120"/>
        <w:jc w:val="both"/>
        <w:rPr>
          <w:szCs w:val="24"/>
        </w:rPr>
      </w:pPr>
      <w:r>
        <w:rPr>
          <w:b/>
          <w:bCs/>
          <w:color w:val="000000"/>
          <w:szCs w:val="24"/>
        </w:rPr>
        <w:t xml:space="preserve">Fig. S16 </w:t>
      </w:r>
      <w:r>
        <w:rPr>
          <w:b/>
          <w:bCs/>
          <w:color w:val="000000"/>
          <w:szCs w:val="24"/>
          <w:lang w:eastAsia="zh-CN"/>
        </w:rPr>
        <w:t xml:space="preserve">EPSC response under synergistic stimulation of </w:t>
      </w:r>
      <w:r>
        <w:rPr>
          <w:rFonts w:hint="eastAsia"/>
          <w:b/>
          <w:bCs/>
          <w:color w:val="000000"/>
          <w:szCs w:val="24"/>
          <w:lang w:eastAsia="zh-CN"/>
        </w:rPr>
        <w:t xml:space="preserve">a </w:t>
      </w:r>
      <w:r>
        <w:rPr>
          <w:b/>
          <w:bCs/>
          <w:color w:val="000000"/>
          <w:szCs w:val="24"/>
          <w:lang w:eastAsia="zh-CN"/>
        </w:rPr>
        <w:t xml:space="preserve">gate voltage pulse and </w:t>
      </w:r>
      <w:r>
        <w:rPr>
          <w:rFonts w:hint="eastAsia"/>
          <w:b/>
          <w:bCs/>
          <w:color w:val="000000"/>
          <w:szCs w:val="24"/>
          <w:lang w:eastAsia="zh-CN"/>
        </w:rPr>
        <w:t xml:space="preserve">a </w:t>
      </w:r>
      <w:r>
        <w:rPr>
          <w:b/>
          <w:bCs/>
          <w:color w:val="000000"/>
          <w:szCs w:val="24"/>
          <w:lang w:eastAsia="zh-CN"/>
        </w:rPr>
        <w:t>bias voltage pulse</w:t>
      </w:r>
      <w:r>
        <w:rPr>
          <w:rFonts w:hint="eastAsia"/>
          <w:b/>
          <w:bCs/>
          <w:color w:val="000000"/>
          <w:szCs w:val="24"/>
          <w:lang w:eastAsia="zh-CN"/>
        </w:rPr>
        <w:t xml:space="preserve">. </w:t>
      </w:r>
      <w:r>
        <w:rPr>
          <w:szCs w:val="24"/>
        </w:rPr>
        <w:t>The output signal presents</w:t>
      </w:r>
      <w:bookmarkStart w:id="8" w:name="_Hlk184997011"/>
      <w:r>
        <w:rPr>
          <w:szCs w:val="24"/>
        </w:rPr>
        <w:t xml:space="preserve"> the conductance-time curves</w:t>
      </w:r>
      <w:bookmarkEnd w:id="8"/>
      <w:r>
        <w:rPr>
          <w:szCs w:val="24"/>
        </w:rPr>
        <w:t xml:space="preserve"> resulting from the combined stimulation of gate voltage pulses and bias voltage pulses (123 traces), and the black curve is the fitting curve of these traces (depicted in the inset) (1 </w:t>
      </w:r>
      <w:r>
        <w:rPr>
          <w:i/>
          <w:iCs/>
          <w:szCs w:val="24"/>
        </w:rPr>
        <w:t>G</w:t>
      </w:r>
      <w:r>
        <w:rPr>
          <w:szCs w:val="24"/>
          <w:vertAlign w:val="subscript"/>
        </w:rPr>
        <w:t>0</w:t>
      </w:r>
      <w:r>
        <w:rPr>
          <w:szCs w:val="24"/>
        </w:rPr>
        <w:t xml:space="preserve"> = 77500 nS). The red curve is the curve of the black curve. The change in conductance follows a bi-exponential function relationship: </w:t>
      </w:r>
    </w:p>
    <w:p w14:paraId="3C62AAC8">
      <w:pPr>
        <w:pStyle w:val="159"/>
        <w:rPr>
          <w:lang w:eastAsia="zh-CN"/>
        </w:rPr>
      </w:pPr>
      <w:r>
        <w:rPr>
          <w:lang w:eastAsia="zh-CN"/>
        </w:rPr>
        <w:tab/>
      </w:r>
      <w:r>
        <w:rPr>
          <w:position w:val="-12"/>
          <w:lang w:eastAsia="zh-CN"/>
        </w:rPr>
        <w:pict>
          <v:shape id="_x0000_i1025" o:spt="75" type="#_x0000_t75" style="height:18pt;width:201pt;" filled="f" o:preferrelative="t" stroked="f" coordsize="21600,21600">
            <v:path/>
            <v:fill on="f" focussize="0,0"/>
            <v:stroke on="f" joinstyle="miter"/>
            <v:imagedata r:id="rId59" o:title=""/>
            <o:lock v:ext="edit" aspectratio="t"/>
            <w10:wrap type="none"/>
            <w10:anchorlock/>
          </v:shape>
        </w:pict>
      </w:r>
      <w:r>
        <w:rPr>
          <w:lang w:eastAsia="zh-CN"/>
        </w:rPr>
        <w:tab/>
      </w:r>
      <w:r>
        <w:rPr>
          <w:lang w:eastAsia="zh-CN"/>
        </w:rPr>
        <w:t>(S15)</w:t>
      </w:r>
    </w:p>
    <w:p w14:paraId="303E7CBF">
      <w:pPr>
        <w:spacing w:before="120"/>
        <w:jc w:val="both"/>
        <w:rPr>
          <w:szCs w:val="24"/>
        </w:rPr>
      </w:pPr>
      <w:r>
        <w:rPr>
          <w:rFonts w:hint="eastAsia"/>
          <w:szCs w:val="24"/>
          <w:lang w:eastAsia="zh-CN"/>
        </w:rPr>
        <w:t>i</w:t>
      </w:r>
      <w:r>
        <w:rPr>
          <w:szCs w:val="24"/>
        </w:rPr>
        <w:t>n this formula,</w:t>
      </w:r>
      <w:r>
        <w:rPr>
          <w:i/>
          <w:iCs/>
          <w:szCs w:val="24"/>
        </w:rPr>
        <w:sym w:font="Symbol" w:char="F074"/>
      </w:r>
      <w:r>
        <w:rPr>
          <w:szCs w:val="24"/>
          <w:vertAlign w:val="subscript"/>
          <w:lang w:eastAsia="zh-CN"/>
        </w:rPr>
        <w:t>5</w:t>
      </w:r>
      <w:r>
        <w:rPr>
          <w:szCs w:val="24"/>
        </w:rPr>
        <w:t xml:space="preserve"> = 215.20</w:t>
      </w:r>
      <w:r>
        <w:rPr>
          <w:szCs w:val="24"/>
          <w:lang w:eastAsia="zh-CN"/>
        </w:rPr>
        <w:t xml:space="preserve"> ms</w:t>
      </w:r>
      <w:r>
        <w:rPr>
          <w:szCs w:val="24"/>
        </w:rPr>
        <w:t xml:space="preserve">, </w:t>
      </w:r>
      <w:r>
        <w:rPr>
          <w:i/>
          <w:iCs/>
          <w:szCs w:val="24"/>
        </w:rPr>
        <w:sym w:font="Symbol" w:char="F074"/>
      </w:r>
      <w:r>
        <w:rPr>
          <w:szCs w:val="24"/>
          <w:vertAlign w:val="subscript"/>
          <w:lang w:eastAsia="zh-CN"/>
        </w:rPr>
        <w:t>6</w:t>
      </w:r>
      <w:r>
        <w:rPr>
          <w:szCs w:val="24"/>
        </w:rPr>
        <w:t xml:space="preserve"> = 2428.26</w:t>
      </w:r>
      <w:r>
        <w:rPr>
          <w:szCs w:val="24"/>
          <w:lang w:eastAsia="zh-CN"/>
        </w:rPr>
        <w:t xml:space="preserve"> ms</w:t>
      </w:r>
      <w:r>
        <w:rPr>
          <w:szCs w:val="24"/>
        </w:rPr>
        <w:t>.</w:t>
      </w:r>
    </w:p>
    <w:p w14:paraId="684466CD">
      <w:pPr>
        <w:rPr>
          <w:szCs w:val="24"/>
        </w:rPr>
      </w:pPr>
    </w:p>
    <w:p w14:paraId="2328C840">
      <w:pPr>
        <w:spacing w:line="360" w:lineRule="auto"/>
        <w:jc w:val="center"/>
        <w:rPr>
          <w:szCs w:val="24"/>
        </w:rPr>
      </w:pPr>
      <w:bookmarkStart w:id="9" w:name="OLE_LINK2"/>
      <w:r>
        <w:rPr>
          <w:szCs w:val="24"/>
        </w:rPr>
        <w:drawing>
          <wp:inline distT="0" distB="0" distL="0" distR="0">
            <wp:extent cx="2597150" cy="2254250"/>
            <wp:effectExtent l="0" t="0" r="0" b="0"/>
            <wp:docPr id="15097018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01820" name="图片 22"/>
                    <pic:cNvPicPr>
                      <a:picLocks noChangeAspect="1" noChangeArrowheads="1"/>
                    </pic:cNvPicPr>
                  </pic:nvPicPr>
                  <pic:blipFill>
                    <a:blip r:embed="rId60">
                      <a:extLst>
                        <a:ext uri="{28A0092B-C50C-407E-A947-70E740481C1C}">
                          <a14:useLocalDpi xmlns:a14="http://schemas.microsoft.com/office/drawing/2010/main" val="0"/>
                        </a:ext>
                      </a:extLst>
                    </a:blip>
                    <a:srcRect l="6277" t="10947" r="9479" b="6294"/>
                    <a:stretch>
                      <a:fillRect/>
                    </a:stretch>
                  </pic:blipFill>
                  <pic:spPr>
                    <a:xfrm>
                      <a:off x="0" y="0"/>
                      <a:ext cx="2597150" cy="2254250"/>
                    </a:xfrm>
                    <a:prstGeom prst="rect">
                      <a:avLst/>
                    </a:prstGeom>
                    <a:noFill/>
                    <a:ln>
                      <a:noFill/>
                    </a:ln>
                  </pic:spPr>
                </pic:pic>
              </a:graphicData>
            </a:graphic>
          </wp:inline>
        </w:drawing>
      </w:r>
    </w:p>
    <w:p w14:paraId="6E9709CD">
      <w:pPr>
        <w:spacing w:before="120"/>
        <w:jc w:val="both"/>
        <w:rPr>
          <w:b/>
          <w:bCs/>
          <w:szCs w:val="24"/>
        </w:rPr>
      </w:pPr>
      <w:r>
        <w:rPr>
          <w:b/>
          <w:bCs/>
          <w:szCs w:val="24"/>
        </w:rPr>
        <w:t>Fig. S17 Mimicking excitatory post-synaptic conductance under different pulse durations utilizing the single-molecule organic electrochemical transistor under combined stimulation of gate voltage (</w:t>
      </w:r>
      <w:r>
        <w:rPr>
          <w:b/>
          <w:bCs/>
          <w:i/>
          <w:iCs/>
          <w:szCs w:val="24"/>
        </w:rPr>
        <w:t>V</w:t>
      </w:r>
      <w:r>
        <w:rPr>
          <w:b/>
          <w:bCs/>
          <w:szCs w:val="24"/>
          <w:vertAlign w:val="subscript"/>
        </w:rPr>
        <w:t>G</w:t>
      </w:r>
      <w:r>
        <w:rPr>
          <w:b/>
          <w:bCs/>
          <w:szCs w:val="24"/>
        </w:rPr>
        <w:t xml:space="preserve"> = 0.5 V) and bias voltage pulses (</w:t>
      </w:r>
      <w:r>
        <w:rPr>
          <w:b/>
          <w:bCs/>
          <w:i/>
          <w:iCs/>
          <w:szCs w:val="24"/>
        </w:rPr>
        <w:t>V</w:t>
      </w:r>
      <w:r>
        <w:rPr>
          <w:b/>
          <w:bCs/>
          <w:szCs w:val="24"/>
          <w:vertAlign w:val="subscript"/>
        </w:rPr>
        <w:t>B</w:t>
      </w:r>
      <w:r>
        <w:rPr>
          <w:b/>
          <w:bCs/>
          <w:szCs w:val="24"/>
        </w:rPr>
        <w:t xml:space="preserve"> = 0.6 V).</w:t>
      </w:r>
    </w:p>
    <w:p w14:paraId="335FF369">
      <w:pPr>
        <w:rPr>
          <w:color w:val="000000"/>
          <w:szCs w:val="24"/>
        </w:rPr>
      </w:pPr>
    </w:p>
    <w:bookmarkEnd w:id="9"/>
    <w:p w14:paraId="0309D964">
      <w:pPr>
        <w:spacing w:line="360" w:lineRule="auto"/>
        <w:jc w:val="center"/>
        <w:rPr>
          <w:szCs w:val="24"/>
        </w:rPr>
      </w:pPr>
      <w:r>
        <w:drawing>
          <wp:inline distT="0" distB="0" distL="0" distR="0">
            <wp:extent cx="5200015" cy="8119110"/>
            <wp:effectExtent l="0" t="0" r="635" b="0"/>
            <wp:docPr id="20451855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185591" name="图片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04602" cy="8126704"/>
                    </a:xfrm>
                    <a:prstGeom prst="rect">
                      <a:avLst/>
                    </a:prstGeom>
                    <a:noFill/>
                    <a:ln>
                      <a:noFill/>
                    </a:ln>
                  </pic:spPr>
                </pic:pic>
              </a:graphicData>
            </a:graphic>
          </wp:inline>
        </w:drawing>
      </w:r>
    </w:p>
    <w:p w14:paraId="2BE5876E">
      <w:pPr>
        <w:spacing w:line="360" w:lineRule="auto"/>
        <w:jc w:val="center"/>
        <w:rPr>
          <w:szCs w:val="24"/>
        </w:rPr>
      </w:pPr>
      <w:r>
        <w:drawing>
          <wp:inline distT="0" distB="0" distL="0" distR="0">
            <wp:extent cx="5172710" cy="2762885"/>
            <wp:effectExtent l="0" t="0" r="8890" b="0"/>
            <wp:docPr id="20597004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00470" name="图片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176302" cy="2764566"/>
                    </a:xfrm>
                    <a:prstGeom prst="rect">
                      <a:avLst/>
                    </a:prstGeom>
                    <a:noFill/>
                    <a:ln>
                      <a:noFill/>
                    </a:ln>
                  </pic:spPr>
                </pic:pic>
              </a:graphicData>
            </a:graphic>
          </wp:inline>
        </w:drawing>
      </w:r>
    </w:p>
    <w:p w14:paraId="1F893FFC">
      <w:pPr>
        <w:spacing w:before="120"/>
        <w:jc w:val="both"/>
        <w:rPr>
          <w:szCs w:val="24"/>
        </w:rPr>
      </w:pPr>
      <w:r>
        <w:rPr>
          <w:b/>
          <w:bCs/>
          <w:szCs w:val="24"/>
        </w:rPr>
        <w:t xml:space="preserve">Fig. S18 Paired-pulse facilitation simulation of the single-molecule organic electrochemical transistor under combined stimulation of </w:t>
      </w:r>
      <w:r>
        <w:rPr>
          <w:b/>
          <w:bCs/>
          <w:i/>
          <w:iCs/>
          <w:szCs w:val="24"/>
        </w:rPr>
        <w:t>V</w:t>
      </w:r>
      <w:r>
        <w:rPr>
          <w:b/>
          <w:bCs/>
          <w:szCs w:val="24"/>
          <w:vertAlign w:val="subscript"/>
        </w:rPr>
        <w:t>G</w:t>
      </w:r>
      <w:r>
        <w:rPr>
          <w:b/>
          <w:bCs/>
          <w:szCs w:val="24"/>
        </w:rPr>
        <w:t xml:space="preserve"> = 0.5 V and </w:t>
      </w:r>
      <w:r>
        <w:rPr>
          <w:b/>
          <w:bCs/>
          <w:i/>
          <w:iCs/>
          <w:szCs w:val="24"/>
        </w:rPr>
        <w:t>V</w:t>
      </w:r>
      <w:r>
        <w:rPr>
          <w:b/>
          <w:bCs/>
          <w:szCs w:val="24"/>
          <w:vertAlign w:val="subscript"/>
        </w:rPr>
        <w:t>B</w:t>
      </w:r>
      <w:r>
        <w:rPr>
          <w:b/>
          <w:bCs/>
          <w:szCs w:val="24"/>
        </w:rPr>
        <w:t xml:space="preserve"> = 0.6 V </w:t>
      </w:r>
      <w:r>
        <w:rPr>
          <w:b/>
          <w:bCs/>
          <w:color w:val="000000"/>
          <w:szCs w:val="24"/>
        </w:rPr>
        <w:t>with various ∆</w:t>
      </w:r>
      <w:r>
        <w:rPr>
          <w:b/>
          <w:bCs/>
          <w:i/>
          <w:iCs/>
          <w:color w:val="000000"/>
          <w:szCs w:val="24"/>
        </w:rPr>
        <w:t>t</w:t>
      </w:r>
      <w:r>
        <w:rPr>
          <w:b/>
          <w:bCs/>
          <w:color w:val="000000"/>
          <w:szCs w:val="24"/>
        </w:rPr>
        <w:t xml:space="preserve"> ranging from 10 ms to </w:t>
      </w:r>
      <w:r>
        <w:rPr>
          <w:rFonts w:hint="eastAsia"/>
          <w:b/>
          <w:bCs/>
          <w:color w:val="000000"/>
          <w:szCs w:val="24"/>
          <w:lang w:eastAsia="zh-CN"/>
        </w:rPr>
        <w:t>300</w:t>
      </w:r>
      <w:r>
        <w:rPr>
          <w:b/>
          <w:bCs/>
          <w:color w:val="000000"/>
          <w:szCs w:val="24"/>
        </w:rPr>
        <w:t xml:space="preserve"> ms</w:t>
      </w:r>
      <w:r>
        <w:rPr>
          <w:b/>
          <w:bCs/>
          <w:szCs w:val="24"/>
        </w:rPr>
        <w:t xml:space="preserve"> utilizing M</w:t>
      </w:r>
      <w:r>
        <w:rPr>
          <w:rFonts w:hint="eastAsia"/>
          <w:b/>
          <w:bCs/>
          <w:szCs w:val="24"/>
          <w:lang w:eastAsia="zh-CN"/>
        </w:rPr>
        <w:t>e</w:t>
      </w:r>
      <w:r>
        <w:rPr>
          <w:b/>
          <w:bCs/>
          <w:szCs w:val="24"/>
        </w:rPr>
        <w:t>O-TBT</w:t>
      </w:r>
      <w:r>
        <w:rPr>
          <w:szCs w:val="24"/>
        </w:rPr>
        <w:t xml:space="preserve">, </w:t>
      </w:r>
      <w:r>
        <w:rPr>
          <w:b/>
          <w:bCs/>
          <w:szCs w:val="24"/>
        </w:rPr>
        <w:t xml:space="preserve">with the readout gate voltage set to -0.4 V and the readout bias voltage set to 0.1 V. </w:t>
      </w:r>
      <w:r>
        <w:rPr>
          <w:rFonts w:hint="eastAsia"/>
          <w:b/>
          <w:bCs/>
          <w:szCs w:val="24"/>
          <w:lang w:eastAsia="zh-CN"/>
        </w:rPr>
        <w:t>a</w:t>
      </w:r>
      <w:r>
        <w:rPr>
          <w:b/>
          <w:bCs/>
          <w:szCs w:val="24"/>
        </w:rPr>
        <w:t xml:space="preserve">, </w:t>
      </w:r>
      <w:r>
        <w:rPr>
          <w:rFonts w:hint="eastAsia"/>
          <w:b/>
          <w:bCs/>
          <w:szCs w:val="24"/>
          <w:lang w:eastAsia="zh-CN"/>
        </w:rPr>
        <w:t>b</w:t>
      </w:r>
      <w:r>
        <w:rPr>
          <w:b/>
          <w:bCs/>
          <w:szCs w:val="24"/>
        </w:rPr>
        <w:t xml:space="preserve">, </w:t>
      </w:r>
      <w:r>
        <w:rPr>
          <w:rFonts w:hint="eastAsia"/>
          <w:b/>
          <w:bCs/>
          <w:szCs w:val="24"/>
          <w:lang w:eastAsia="zh-CN"/>
        </w:rPr>
        <w:t>c</w:t>
      </w:r>
      <w:r>
        <w:rPr>
          <w:b/>
          <w:bCs/>
          <w:szCs w:val="24"/>
        </w:rPr>
        <w:t xml:space="preserve">, </w:t>
      </w:r>
      <w:r>
        <w:rPr>
          <w:szCs w:val="24"/>
        </w:rPr>
        <w:t>Paired-pulse facilitation simulation with</w:t>
      </w:r>
      <w:r>
        <w:rPr>
          <w:b/>
          <w:bCs/>
          <w:szCs w:val="24"/>
        </w:rPr>
        <w:t xml:space="preserve"> </w:t>
      </w:r>
      <w:r>
        <w:rPr>
          <w:i/>
          <w:iCs/>
          <w:szCs w:val="24"/>
        </w:rPr>
        <w:t>t</w:t>
      </w:r>
      <w:r>
        <w:rPr>
          <w:szCs w:val="24"/>
          <w:vertAlign w:val="subscript"/>
        </w:rPr>
        <w:t>p</w:t>
      </w:r>
      <w:r>
        <w:rPr>
          <w:szCs w:val="24"/>
        </w:rPr>
        <w:t xml:space="preserve"> = 50 ms and ∆</w:t>
      </w:r>
      <w:r>
        <w:rPr>
          <w:i/>
          <w:iCs/>
          <w:szCs w:val="24"/>
        </w:rPr>
        <w:t>t</w:t>
      </w:r>
      <w:r>
        <w:rPr>
          <w:szCs w:val="24"/>
        </w:rPr>
        <w:t xml:space="preserve"> = 10 ms. </w:t>
      </w:r>
      <w:r>
        <w:rPr>
          <w:rFonts w:hint="eastAsia"/>
          <w:b/>
          <w:bCs/>
          <w:szCs w:val="24"/>
          <w:lang w:eastAsia="zh-CN"/>
        </w:rPr>
        <w:t>d</w:t>
      </w:r>
      <w:r>
        <w:rPr>
          <w:b/>
          <w:bCs/>
          <w:szCs w:val="24"/>
        </w:rPr>
        <w:t xml:space="preserve">, </w:t>
      </w:r>
      <w:r>
        <w:rPr>
          <w:rFonts w:hint="eastAsia"/>
          <w:b/>
          <w:bCs/>
          <w:szCs w:val="24"/>
          <w:lang w:eastAsia="zh-CN"/>
        </w:rPr>
        <w:t>e</w:t>
      </w:r>
      <w:r>
        <w:rPr>
          <w:b/>
          <w:bCs/>
          <w:szCs w:val="24"/>
        </w:rPr>
        <w:t xml:space="preserve">, </w:t>
      </w:r>
      <w:r>
        <w:rPr>
          <w:rFonts w:hint="eastAsia"/>
          <w:b/>
          <w:bCs/>
          <w:szCs w:val="24"/>
          <w:lang w:eastAsia="zh-CN"/>
        </w:rPr>
        <w:t>f</w:t>
      </w:r>
      <w:r>
        <w:rPr>
          <w:b/>
          <w:bCs/>
          <w:szCs w:val="24"/>
        </w:rPr>
        <w:t>,</w:t>
      </w:r>
      <w:r>
        <w:rPr>
          <w:szCs w:val="24"/>
        </w:rPr>
        <w:t xml:space="preserve"> Paired-pulse facilitation simulation with </w:t>
      </w:r>
      <w:r>
        <w:rPr>
          <w:i/>
          <w:iCs/>
          <w:szCs w:val="24"/>
        </w:rPr>
        <w:t>t</w:t>
      </w:r>
      <w:r>
        <w:rPr>
          <w:szCs w:val="24"/>
          <w:vertAlign w:val="subscript"/>
        </w:rPr>
        <w:t>p</w:t>
      </w:r>
      <w:r>
        <w:rPr>
          <w:szCs w:val="24"/>
        </w:rPr>
        <w:t xml:space="preserve"> = 50 ms and ∆</w:t>
      </w:r>
      <w:r>
        <w:rPr>
          <w:i/>
          <w:iCs/>
          <w:szCs w:val="24"/>
        </w:rPr>
        <w:t>t</w:t>
      </w:r>
      <w:r>
        <w:rPr>
          <w:szCs w:val="24"/>
        </w:rPr>
        <w:t xml:space="preserve"> = 25 ms. </w:t>
      </w:r>
      <w:r>
        <w:rPr>
          <w:rFonts w:hint="eastAsia"/>
          <w:b/>
          <w:bCs/>
          <w:szCs w:val="24"/>
          <w:lang w:eastAsia="zh-CN"/>
        </w:rPr>
        <w:t>g</w:t>
      </w:r>
      <w:r>
        <w:rPr>
          <w:b/>
          <w:bCs/>
          <w:szCs w:val="24"/>
        </w:rPr>
        <w:t xml:space="preserve">, </w:t>
      </w:r>
      <w:r>
        <w:rPr>
          <w:rFonts w:hint="eastAsia"/>
          <w:b/>
          <w:bCs/>
          <w:szCs w:val="24"/>
          <w:lang w:eastAsia="zh-CN"/>
        </w:rPr>
        <w:t>h</w:t>
      </w:r>
      <w:r>
        <w:rPr>
          <w:b/>
          <w:bCs/>
          <w:szCs w:val="24"/>
        </w:rPr>
        <w:t xml:space="preserve">, </w:t>
      </w:r>
      <w:r>
        <w:rPr>
          <w:rFonts w:hint="eastAsia"/>
          <w:b/>
          <w:bCs/>
          <w:szCs w:val="24"/>
          <w:lang w:eastAsia="zh-CN"/>
        </w:rPr>
        <w:t>i</w:t>
      </w:r>
      <w:r>
        <w:rPr>
          <w:b/>
          <w:bCs/>
          <w:szCs w:val="24"/>
        </w:rPr>
        <w:t>,</w:t>
      </w:r>
      <w:r>
        <w:rPr>
          <w:szCs w:val="24"/>
        </w:rPr>
        <w:t xml:space="preserve"> Paired-pulse facilitation simulation with </w:t>
      </w:r>
      <w:r>
        <w:rPr>
          <w:i/>
          <w:iCs/>
          <w:szCs w:val="24"/>
        </w:rPr>
        <w:t>t</w:t>
      </w:r>
      <w:r>
        <w:rPr>
          <w:szCs w:val="24"/>
          <w:vertAlign w:val="subscript"/>
        </w:rPr>
        <w:t>p</w:t>
      </w:r>
      <w:r>
        <w:rPr>
          <w:szCs w:val="24"/>
        </w:rPr>
        <w:t xml:space="preserve"> = 50 ms and ∆</w:t>
      </w:r>
      <w:r>
        <w:rPr>
          <w:i/>
          <w:iCs/>
          <w:szCs w:val="24"/>
        </w:rPr>
        <w:t>t</w:t>
      </w:r>
      <w:r>
        <w:rPr>
          <w:szCs w:val="24"/>
        </w:rPr>
        <w:t xml:space="preserve"> = 50 ms. </w:t>
      </w:r>
      <w:r>
        <w:rPr>
          <w:rFonts w:hint="eastAsia"/>
          <w:b/>
          <w:bCs/>
          <w:szCs w:val="24"/>
          <w:lang w:eastAsia="zh-CN"/>
        </w:rPr>
        <w:t>j</w:t>
      </w:r>
      <w:r>
        <w:rPr>
          <w:b/>
          <w:bCs/>
          <w:szCs w:val="24"/>
        </w:rPr>
        <w:t xml:space="preserve">, </w:t>
      </w:r>
      <w:r>
        <w:rPr>
          <w:rFonts w:hint="eastAsia"/>
          <w:b/>
          <w:bCs/>
          <w:szCs w:val="24"/>
          <w:lang w:eastAsia="zh-CN"/>
        </w:rPr>
        <w:t>k</w:t>
      </w:r>
      <w:r>
        <w:rPr>
          <w:b/>
          <w:bCs/>
          <w:szCs w:val="24"/>
        </w:rPr>
        <w:t xml:space="preserve">, </w:t>
      </w:r>
      <w:r>
        <w:rPr>
          <w:rFonts w:hint="eastAsia"/>
          <w:b/>
          <w:bCs/>
          <w:szCs w:val="24"/>
          <w:lang w:eastAsia="zh-CN"/>
        </w:rPr>
        <w:t>l</w:t>
      </w:r>
      <w:r>
        <w:rPr>
          <w:b/>
          <w:bCs/>
          <w:szCs w:val="24"/>
        </w:rPr>
        <w:t>,</w:t>
      </w:r>
      <w:r>
        <w:rPr>
          <w:szCs w:val="24"/>
        </w:rPr>
        <w:t xml:space="preserve"> Paired-pulse facilitation simulation with </w:t>
      </w:r>
      <w:r>
        <w:rPr>
          <w:i/>
          <w:iCs/>
          <w:szCs w:val="24"/>
        </w:rPr>
        <w:t>t</w:t>
      </w:r>
      <w:r>
        <w:rPr>
          <w:szCs w:val="24"/>
          <w:vertAlign w:val="subscript"/>
        </w:rPr>
        <w:t>p</w:t>
      </w:r>
      <w:r>
        <w:rPr>
          <w:szCs w:val="24"/>
        </w:rPr>
        <w:t xml:space="preserve"> = 50 ms and ∆</w:t>
      </w:r>
      <w:r>
        <w:rPr>
          <w:i/>
          <w:iCs/>
          <w:szCs w:val="24"/>
        </w:rPr>
        <w:t>t</w:t>
      </w:r>
      <w:r>
        <w:rPr>
          <w:szCs w:val="24"/>
        </w:rPr>
        <w:t xml:space="preserve"> = 75 ms. </w:t>
      </w:r>
      <w:r>
        <w:rPr>
          <w:rFonts w:hint="eastAsia"/>
          <w:b/>
          <w:bCs/>
          <w:szCs w:val="24"/>
          <w:lang w:eastAsia="zh-CN"/>
        </w:rPr>
        <w:t>m</w:t>
      </w:r>
      <w:r>
        <w:rPr>
          <w:b/>
          <w:bCs/>
          <w:szCs w:val="24"/>
        </w:rPr>
        <w:t xml:space="preserve">, </w:t>
      </w:r>
      <w:r>
        <w:rPr>
          <w:rFonts w:hint="eastAsia"/>
          <w:b/>
          <w:bCs/>
          <w:szCs w:val="24"/>
          <w:lang w:eastAsia="zh-CN"/>
        </w:rPr>
        <w:t>n</w:t>
      </w:r>
      <w:r>
        <w:rPr>
          <w:b/>
          <w:bCs/>
          <w:szCs w:val="24"/>
        </w:rPr>
        <w:t xml:space="preserve">, </w:t>
      </w:r>
      <w:r>
        <w:rPr>
          <w:rFonts w:hint="eastAsia"/>
          <w:b/>
          <w:bCs/>
          <w:szCs w:val="24"/>
          <w:lang w:eastAsia="zh-CN"/>
        </w:rPr>
        <w:t>o</w:t>
      </w:r>
      <w:r>
        <w:rPr>
          <w:b/>
          <w:bCs/>
          <w:szCs w:val="24"/>
        </w:rPr>
        <w:t>,</w:t>
      </w:r>
      <w:r>
        <w:rPr>
          <w:szCs w:val="24"/>
        </w:rPr>
        <w:t xml:space="preserve"> Paired-pulse facilitation simulation with </w:t>
      </w:r>
      <w:r>
        <w:rPr>
          <w:i/>
          <w:iCs/>
          <w:szCs w:val="24"/>
        </w:rPr>
        <w:t>t</w:t>
      </w:r>
      <w:r>
        <w:rPr>
          <w:szCs w:val="24"/>
          <w:vertAlign w:val="subscript"/>
        </w:rPr>
        <w:t>p</w:t>
      </w:r>
      <w:r>
        <w:rPr>
          <w:szCs w:val="24"/>
        </w:rPr>
        <w:t xml:space="preserve"> = 50 ms and ∆</w:t>
      </w:r>
      <w:r>
        <w:rPr>
          <w:i/>
          <w:iCs/>
          <w:szCs w:val="24"/>
        </w:rPr>
        <w:t>t</w:t>
      </w:r>
      <w:r>
        <w:rPr>
          <w:szCs w:val="24"/>
        </w:rPr>
        <w:t xml:space="preserve"> = 100 ms. </w:t>
      </w:r>
      <w:r>
        <w:rPr>
          <w:rFonts w:hint="eastAsia"/>
          <w:b/>
          <w:bCs/>
          <w:szCs w:val="24"/>
          <w:lang w:eastAsia="zh-CN"/>
        </w:rPr>
        <w:t>p</w:t>
      </w:r>
      <w:r>
        <w:rPr>
          <w:b/>
          <w:bCs/>
          <w:szCs w:val="24"/>
        </w:rPr>
        <w:t xml:space="preserve">, </w:t>
      </w:r>
      <w:r>
        <w:rPr>
          <w:rFonts w:hint="eastAsia"/>
          <w:b/>
          <w:bCs/>
          <w:szCs w:val="24"/>
          <w:lang w:eastAsia="zh-CN"/>
        </w:rPr>
        <w:t>q</w:t>
      </w:r>
      <w:r>
        <w:rPr>
          <w:b/>
          <w:bCs/>
          <w:szCs w:val="24"/>
        </w:rPr>
        <w:t xml:space="preserve">, </w:t>
      </w:r>
      <w:r>
        <w:rPr>
          <w:rFonts w:hint="eastAsia"/>
          <w:b/>
          <w:bCs/>
          <w:szCs w:val="24"/>
          <w:lang w:eastAsia="zh-CN"/>
        </w:rPr>
        <w:t>r</w:t>
      </w:r>
      <w:r>
        <w:rPr>
          <w:b/>
          <w:bCs/>
          <w:szCs w:val="24"/>
        </w:rPr>
        <w:t>,</w:t>
      </w:r>
      <w:r>
        <w:rPr>
          <w:szCs w:val="24"/>
        </w:rPr>
        <w:t xml:space="preserve"> Paired-pulse facilitation simulation with </w:t>
      </w:r>
      <w:r>
        <w:rPr>
          <w:i/>
          <w:iCs/>
          <w:szCs w:val="24"/>
        </w:rPr>
        <w:t>t</w:t>
      </w:r>
      <w:r>
        <w:rPr>
          <w:szCs w:val="24"/>
          <w:vertAlign w:val="subscript"/>
        </w:rPr>
        <w:t>p</w:t>
      </w:r>
      <w:r>
        <w:rPr>
          <w:szCs w:val="24"/>
        </w:rPr>
        <w:t xml:space="preserve"> = 50 ms and ∆</w:t>
      </w:r>
      <w:r>
        <w:rPr>
          <w:i/>
          <w:iCs/>
          <w:szCs w:val="24"/>
        </w:rPr>
        <w:t>t</w:t>
      </w:r>
      <w:r>
        <w:rPr>
          <w:szCs w:val="24"/>
        </w:rPr>
        <w:t xml:space="preserve"> = 125 ms.</w:t>
      </w:r>
      <w:r>
        <w:rPr>
          <w:b/>
          <w:bCs/>
          <w:szCs w:val="24"/>
        </w:rPr>
        <w:t xml:space="preserve"> </w:t>
      </w:r>
      <w:r>
        <w:rPr>
          <w:rFonts w:hint="eastAsia"/>
          <w:b/>
          <w:bCs/>
          <w:szCs w:val="24"/>
          <w:lang w:eastAsia="zh-CN"/>
        </w:rPr>
        <w:t>s</w:t>
      </w:r>
      <w:r>
        <w:rPr>
          <w:b/>
          <w:bCs/>
          <w:szCs w:val="24"/>
        </w:rPr>
        <w:t xml:space="preserve">, </w:t>
      </w:r>
      <w:r>
        <w:rPr>
          <w:rFonts w:hint="eastAsia"/>
          <w:b/>
          <w:bCs/>
          <w:szCs w:val="24"/>
          <w:lang w:eastAsia="zh-CN"/>
        </w:rPr>
        <w:t>t</w:t>
      </w:r>
      <w:r>
        <w:rPr>
          <w:b/>
          <w:bCs/>
          <w:szCs w:val="24"/>
        </w:rPr>
        <w:t xml:space="preserve">, </w:t>
      </w:r>
      <w:r>
        <w:rPr>
          <w:rFonts w:hint="eastAsia"/>
          <w:b/>
          <w:bCs/>
          <w:szCs w:val="24"/>
          <w:lang w:eastAsia="zh-CN"/>
        </w:rPr>
        <w:t>u</w:t>
      </w:r>
      <w:r>
        <w:rPr>
          <w:b/>
          <w:bCs/>
          <w:szCs w:val="24"/>
        </w:rPr>
        <w:t>,</w:t>
      </w:r>
      <w:r>
        <w:rPr>
          <w:szCs w:val="24"/>
        </w:rPr>
        <w:t xml:space="preserve"> Paired-pulse facilitation simulation with </w:t>
      </w:r>
      <w:r>
        <w:rPr>
          <w:i/>
          <w:iCs/>
          <w:szCs w:val="24"/>
        </w:rPr>
        <w:t>t</w:t>
      </w:r>
      <w:r>
        <w:rPr>
          <w:szCs w:val="24"/>
          <w:vertAlign w:val="subscript"/>
        </w:rPr>
        <w:t>p</w:t>
      </w:r>
      <w:r>
        <w:rPr>
          <w:szCs w:val="24"/>
        </w:rPr>
        <w:t xml:space="preserve"> = 50 ms and ∆</w:t>
      </w:r>
      <w:r>
        <w:rPr>
          <w:i/>
          <w:iCs/>
          <w:szCs w:val="24"/>
        </w:rPr>
        <w:t>t</w:t>
      </w:r>
      <w:r>
        <w:rPr>
          <w:szCs w:val="24"/>
        </w:rPr>
        <w:t xml:space="preserve"> = 200 ms.</w:t>
      </w:r>
      <w:r>
        <w:rPr>
          <w:b/>
          <w:bCs/>
          <w:szCs w:val="24"/>
        </w:rPr>
        <w:t xml:space="preserve"> </w:t>
      </w:r>
      <w:r>
        <w:rPr>
          <w:rFonts w:hint="eastAsia"/>
          <w:b/>
          <w:bCs/>
          <w:szCs w:val="24"/>
          <w:lang w:eastAsia="zh-CN"/>
        </w:rPr>
        <w:t>v</w:t>
      </w:r>
      <w:r>
        <w:rPr>
          <w:b/>
          <w:bCs/>
          <w:szCs w:val="24"/>
        </w:rPr>
        <w:t xml:space="preserve">, </w:t>
      </w:r>
      <w:r>
        <w:rPr>
          <w:rFonts w:hint="eastAsia"/>
          <w:b/>
          <w:bCs/>
          <w:szCs w:val="24"/>
          <w:lang w:eastAsia="zh-CN"/>
        </w:rPr>
        <w:t>w</w:t>
      </w:r>
      <w:r>
        <w:rPr>
          <w:b/>
          <w:bCs/>
          <w:szCs w:val="24"/>
        </w:rPr>
        <w:t xml:space="preserve">, </w:t>
      </w:r>
      <w:r>
        <w:rPr>
          <w:rFonts w:hint="eastAsia"/>
          <w:b/>
          <w:bCs/>
          <w:szCs w:val="24"/>
          <w:lang w:eastAsia="zh-CN"/>
        </w:rPr>
        <w:t>x</w:t>
      </w:r>
      <w:r>
        <w:rPr>
          <w:b/>
          <w:bCs/>
          <w:szCs w:val="24"/>
        </w:rPr>
        <w:t>,</w:t>
      </w:r>
      <w:r>
        <w:rPr>
          <w:szCs w:val="24"/>
        </w:rPr>
        <w:t xml:space="preserve"> Paired-pulse facilitation simulation with </w:t>
      </w:r>
      <w:r>
        <w:rPr>
          <w:i/>
          <w:iCs/>
          <w:szCs w:val="24"/>
        </w:rPr>
        <w:t>t</w:t>
      </w:r>
      <w:r>
        <w:rPr>
          <w:szCs w:val="24"/>
          <w:vertAlign w:val="subscript"/>
        </w:rPr>
        <w:t>p</w:t>
      </w:r>
      <w:r>
        <w:rPr>
          <w:szCs w:val="24"/>
        </w:rPr>
        <w:t xml:space="preserve"> = 50 ms and ∆</w:t>
      </w:r>
      <w:r>
        <w:rPr>
          <w:i/>
          <w:iCs/>
          <w:szCs w:val="24"/>
        </w:rPr>
        <w:t>t</w:t>
      </w:r>
      <w:r>
        <w:rPr>
          <w:szCs w:val="24"/>
        </w:rPr>
        <w:t xml:space="preserve"> = 300 ms.</w:t>
      </w:r>
    </w:p>
    <w:p w14:paraId="6F6879CA">
      <w:pPr>
        <w:rPr>
          <w:szCs w:val="24"/>
        </w:rPr>
      </w:pPr>
    </w:p>
    <w:p w14:paraId="16153305">
      <w:pPr>
        <w:spacing w:after="120" w:line="360" w:lineRule="auto"/>
        <w:jc w:val="center"/>
        <w:rPr>
          <w:b/>
          <w:bCs/>
          <w:szCs w:val="24"/>
        </w:rPr>
      </w:pPr>
      <w:r>
        <w:rPr>
          <w:szCs w:val="24"/>
        </w:rPr>
        <w:drawing>
          <wp:inline distT="0" distB="0" distL="0" distR="0">
            <wp:extent cx="2519680" cy="2068830"/>
            <wp:effectExtent l="0" t="0" r="0" b="7620"/>
            <wp:docPr id="1618420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2092" name="图片 19"/>
                    <pic:cNvPicPr>
                      <a:picLocks noChangeAspect="1" noChangeArrowheads="1"/>
                    </pic:cNvPicPr>
                  </pic:nvPicPr>
                  <pic:blipFill>
                    <a:blip r:embed="rId63">
                      <a:extLst>
                        <a:ext uri="{28A0092B-C50C-407E-A947-70E740481C1C}">
                          <a14:useLocalDpi xmlns:a14="http://schemas.microsoft.com/office/drawing/2010/main" val="0"/>
                        </a:ext>
                      </a:extLst>
                    </a:blip>
                    <a:srcRect l="7285" t="10683" r="8714" b="5301"/>
                    <a:stretch>
                      <a:fillRect/>
                    </a:stretch>
                  </pic:blipFill>
                  <pic:spPr>
                    <a:xfrm>
                      <a:off x="0" y="0"/>
                      <a:ext cx="2520000" cy="2069428"/>
                    </a:xfrm>
                    <a:prstGeom prst="rect">
                      <a:avLst/>
                    </a:prstGeom>
                    <a:noFill/>
                    <a:ln>
                      <a:noFill/>
                    </a:ln>
                  </pic:spPr>
                </pic:pic>
              </a:graphicData>
            </a:graphic>
          </wp:inline>
        </w:drawing>
      </w:r>
    </w:p>
    <w:p w14:paraId="46530B60">
      <w:pPr>
        <w:spacing w:before="120"/>
        <w:jc w:val="both"/>
        <w:rPr>
          <w:b/>
          <w:bCs/>
          <w:szCs w:val="24"/>
        </w:rPr>
      </w:pPr>
      <w:bookmarkStart w:id="10" w:name="OLE_LINK59"/>
      <w:r>
        <w:rPr>
          <w:b/>
          <w:bCs/>
          <w:szCs w:val="24"/>
        </w:rPr>
        <w:t>Fig. S19</w:t>
      </w:r>
      <w:bookmarkEnd w:id="10"/>
      <w:r>
        <w:rPr>
          <w:b/>
          <w:bCs/>
          <w:szCs w:val="24"/>
        </w:rPr>
        <w:t xml:space="preserve"> Synaptic plasticity simulation of the single-molecule organic electrochemical transistor under different pulse frequencies with combined stimulation of presynaptic gate voltage (</w:t>
      </w:r>
      <w:r>
        <w:rPr>
          <w:b/>
          <w:bCs/>
          <w:i/>
          <w:iCs/>
          <w:szCs w:val="24"/>
        </w:rPr>
        <w:t>V</w:t>
      </w:r>
      <w:r>
        <w:rPr>
          <w:b/>
          <w:bCs/>
          <w:szCs w:val="24"/>
          <w:vertAlign w:val="subscript"/>
        </w:rPr>
        <w:t>G</w:t>
      </w:r>
      <w:r>
        <w:rPr>
          <w:b/>
          <w:bCs/>
          <w:szCs w:val="24"/>
        </w:rPr>
        <w:t xml:space="preserve"> = 0.5 V) and bias voltage pulses (</w:t>
      </w:r>
      <w:r>
        <w:rPr>
          <w:b/>
          <w:bCs/>
          <w:i/>
          <w:iCs/>
          <w:szCs w:val="24"/>
        </w:rPr>
        <w:t>V</w:t>
      </w:r>
      <w:r>
        <w:rPr>
          <w:b/>
          <w:bCs/>
          <w:szCs w:val="24"/>
          <w:vertAlign w:val="subscript"/>
        </w:rPr>
        <w:t>B</w:t>
      </w:r>
      <w:r>
        <w:rPr>
          <w:b/>
          <w:bCs/>
          <w:szCs w:val="24"/>
        </w:rPr>
        <w:t xml:space="preserve"> = 0.6 V) utilizing MeO-TBT. </w:t>
      </w:r>
      <w:r>
        <w:rPr>
          <w:szCs w:val="24"/>
        </w:rPr>
        <w:t>The bright orange line signifies that the device mimics synaptic plasticity under pulse durations (</w:t>
      </w:r>
      <w:r>
        <w:rPr>
          <w:i/>
          <w:iCs/>
          <w:szCs w:val="24"/>
        </w:rPr>
        <w:t>t</w:t>
      </w:r>
      <w:r>
        <w:rPr>
          <w:szCs w:val="24"/>
          <w:vertAlign w:val="subscript"/>
        </w:rPr>
        <w:t>p</w:t>
      </w:r>
      <w:r>
        <w:rPr>
          <w:szCs w:val="24"/>
        </w:rPr>
        <w:t xml:space="preserve"> = 50 ms) and various pulse intervals (∆</w:t>
      </w:r>
      <w:r>
        <w:rPr>
          <w:i/>
          <w:iCs/>
          <w:szCs w:val="24"/>
        </w:rPr>
        <w:t>t</w:t>
      </w:r>
      <w:r>
        <w:rPr>
          <w:szCs w:val="24"/>
        </w:rPr>
        <w:t xml:space="preserve"> = 25 ms).</w:t>
      </w:r>
      <w:r>
        <w:rPr>
          <w:b/>
          <w:bCs/>
          <w:szCs w:val="24"/>
        </w:rPr>
        <w:t xml:space="preserve"> </w:t>
      </w:r>
      <w:r>
        <w:rPr>
          <w:szCs w:val="24"/>
        </w:rPr>
        <w:t xml:space="preserve">The dark orange line signifies that the device mimics synaptic plasticity under </w:t>
      </w:r>
      <w:r>
        <w:rPr>
          <w:i/>
          <w:iCs/>
          <w:szCs w:val="24"/>
        </w:rPr>
        <w:t>t</w:t>
      </w:r>
      <w:r>
        <w:rPr>
          <w:szCs w:val="24"/>
          <w:vertAlign w:val="subscript"/>
        </w:rPr>
        <w:t>p</w:t>
      </w:r>
      <w:r>
        <w:rPr>
          <w:szCs w:val="24"/>
        </w:rPr>
        <w:t xml:space="preserve"> = 100 ms and ∆</w:t>
      </w:r>
      <w:r>
        <w:rPr>
          <w:i/>
          <w:iCs/>
          <w:szCs w:val="24"/>
        </w:rPr>
        <w:t>t</w:t>
      </w:r>
      <w:r>
        <w:rPr>
          <w:szCs w:val="24"/>
        </w:rPr>
        <w:t xml:space="preserve"> = 50 ms. </w:t>
      </w:r>
    </w:p>
    <w:p w14:paraId="7AE8436E">
      <w:pPr>
        <w:rPr>
          <w:b/>
          <w:bCs/>
          <w:szCs w:val="24"/>
        </w:rPr>
      </w:pPr>
    </w:p>
    <w:p w14:paraId="3B6FBFD5">
      <w:pPr>
        <w:jc w:val="center"/>
        <w:rPr>
          <w:b/>
          <w:bCs/>
          <w:szCs w:val="24"/>
          <w:lang w:eastAsia="zh-CN"/>
        </w:rPr>
      </w:pPr>
      <w:r>
        <w:rPr>
          <w:szCs w:val="24"/>
        </w:rPr>
        <w:drawing>
          <wp:inline distT="0" distB="0" distL="0" distR="0">
            <wp:extent cx="4018280" cy="2489200"/>
            <wp:effectExtent l="0" t="0" r="1270" b="6350"/>
            <wp:docPr id="19699419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41996" name="图片 6"/>
                    <pic:cNvPicPr>
                      <a:picLocks noChangeAspect="1" noChangeArrowheads="1"/>
                    </pic:cNvPicPr>
                  </pic:nvPicPr>
                  <pic:blipFill>
                    <a:blip r:embed="rId64">
                      <a:extLst>
                        <a:ext uri="{28A0092B-C50C-407E-A947-70E740481C1C}">
                          <a14:useLocalDpi xmlns:a14="http://schemas.microsoft.com/office/drawing/2010/main" val="0"/>
                        </a:ext>
                      </a:extLst>
                    </a:blip>
                    <a:srcRect l="14958" t="13363" r="5876" b="14479"/>
                    <a:stretch>
                      <a:fillRect/>
                    </a:stretch>
                  </pic:blipFill>
                  <pic:spPr>
                    <a:xfrm>
                      <a:off x="0" y="0"/>
                      <a:ext cx="4019463" cy="2489789"/>
                    </a:xfrm>
                    <a:prstGeom prst="rect">
                      <a:avLst/>
                    </a:prstGeom>
                    <a:noFill/>
                    <a:ln>
                      <a:noFill/>
                    </a:ln>
                  </pic:spPr>
                </pic:pic>
              </a:graphicData>
            </a:graphic>
          </wp:inline>
        </w:drawing>
      </w:r>
    </w:p>
    <w:p w14:paraId="491F255F">
      <w:pPr>
        <w:jc w:val="both"/>
        <w:rPr>
          <w:b/>
          <w:bCs/>
          <w:szCs w:val="24"/>
          <w:lang w:eastAsia="zh-CN"/>
        </w:rPr>
      </w:pPr>
      <w:r>
        <w:rPr>
          <w:b/>
          <w:bCs/>
          <w:color w:val="000000" w:themeColor="text1"/>
          <w:szCs w:val="24"/>
          <w14:textFill>
            <w14:solidFill>
              <w14:schemeClr w14:val="tx1"/>
            </w14:solidFill>
          </w14:textFill>
        </w:rPr>
        <w:t>Fig. S</w:t>
      </w:r>
      <w:r>
        <w:rPr>
          <w:b/>
          <w:bCs/>
          <w:color w:val="000000" w:themeColor="text1"/>
          <w:szCs w:val="24"/>
          <w:lang w:eastAsia="zh-CN"/>
          <w14:textFill>
            <w14:solidFill>
              <w14:schemeClr w14:val="tx1"/>
            </w14:solidFill>
          </w14:textFill>
        </w:rPr>
        <w:t>20</w:t>
      </w:r>
      <w:r>
        <w:rPr>
          <w:b/>
          <w:bCs/>
          <w:color w:val="EE0000"/>
          <w:szCs w:val="24"/>
          <w:lang w:eastAsia="zh-CN"/>
        </w:rPr>
        <w:t xml:space="preserve"> </w:t>
      </w:r>
      <w:bookmarkStart w:id="11" w:name="OLE_LINK60"/>
      <w:r>
        <w:rPr>
          <w:b/>
          <w:bCs/>
          <w:szCs w:val="24"/>
          <w:lang w:eastAsia="zh-CN"/>
        </w:rPr>
        <w:t>Statistical analysis of multi-pulse-induced conductance states in single-molecule devices (Supporting to Main Text Fig. 2</w:t>
      </w:r>
      <w:r>
        <w:rPr>
          <w:rFonts w:hint="eastAsia"/>
          <w:b/>
          <w:bCs/>
          <w:szCs w:val="24"/>
          <w:lang w:eastAsia="zh-CN"/>
        </w:rPr>
        <w:t>f</w:t>
      </w:r>
      <w:r>
        <w:rPr>
          <w:b/>
          <w:bCs/>
          <w:szCs w:val="24"/>
          <w:lang w:eastAsia="zh-CN"/>
        </w:rPr>
        <w:t>).</w:t>
      </w:r>
    </w:p>
    <w:bookmarkEnd w:id="11"/>
    <w:p w14:paraId="4AE982EE">
      <w:pPr>
        <w:rPr>
          <w:b/>
          <w:bCs/>
          <w:szCs w:val="24"/>
          <w:lang w:eastAsia="zh-CN"/>
        </w:rPr>
      </w:pPr>
    </w:p>
    <w:p w14:paraId="7B50C0FE">
      <w:pPr>
        <w:spacing w:after="120"/>
        <w:jc w:val="center"/>
        <w:rPr>
          <w:b/>
          <w:bCs/>
          <w:color w:val="000000"/>
          <w:szCs w:val="24"/>
        </w:rPr>
      </w:pPr>
      <w:r>
        <w:rPr>
          <w:b/>
          <w:bCs/>
          <w:color w:val="000000"/>
          <w:szCs w:val="24"/>
        </w:rPr>
        <w:t>Table S3</w:t>
      </w:r>
      <w:r>
        <w:rPr>
          <w:rFonts w:hint="eastAsia"/>
          <w:b/>
          <w:bCs/>
          <w:color w:val="000000"/>
          <w:szCs w:val="24"/>
          <w:lang w:eastAsia="zh-CN"/>
        </w:rPr>
        <w:t xml:space="preserve"> S</w:t>
      </w:r>
      <w:r>
        <w:rPr>
          <w:b/>
          <w:bCs/>
          <w:color w:val="000000"/>
          <w:szCs w:val="24"/>
        </w:rPr>
        <w:t xml:space="preserve">teady-state conductance values and inter-state differences under pulse modulation (Supporting to </w:t>
      </w:r>
      <w:r>
        <w:rPr>
          <w:rFonts w:hint="eastAsia"/>
          <w:b/>
          <w:bCs/>
          <w:color w:val="000000"/>
          <w:szCs w:val="24"/>
          <w:lang w:eastAsia="zh-CN"/>
        </w:rPr>
        <w:t xml:space="preserve">right panel of </w:t>
      </w:r>
      <w:r>
        <w:rPr>
          <w:b/>
          <w:bCs/>
          <w:color w:val="000000"/>
          <w:szCs w:val="24"/>
        </w:rPr>
        <w:t>Fig. 2</w:t>
      </w:r>
      <w:r>
        <w:rPr>
          <w:rFonts w:hint="eastAsia"/>
          <w:b/>
          <w:bCs/>
          <w:color w:val="000000"/>
          <w:szCs w:val="24"/>
          <w:lang w:eastAsia="zh-CN"/>
        </w:rPr>
        <w:t>f</w:t>
      </w:r>
      <w:r>
        <w:rPr>
          <w:b/>
          <w:bCs/>
          <w:color w:val="000000"/>
          <w:szCs w:val="24"/>
        </w:rPr>
        <w:t>)</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89"/>
        <w:gridCol w:w="2665"/>
        <w:gridCol w:w="2848"/>
      </w:tblGrid>
      <w:tr w14:paraId="3D1BC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single" w:color="auto" w:sz="4" w:space="0"/>
              <w:left w:val="nil"/>
              <w:bottom w:val="single" w:color="auto" w:sz="4" w:space="0"/>
              <w:right w:val="nil"/>
            </w:tcBorders>
          </w:tcPr>
          <w:p w14:paraId="6408DCFD">
            <w:pPr>
              <w:spacing w:line="360" w:lineRule="auto"/>
              <w:jc w:val="center"/>
              <w:rPr>
                <w:b/>
                <w:bCs/>
                <w:color w:val="000000"/>
                <w:szCs w:val="24"/>
              </w:rPr>
            </w:pPr>
            <w:r>
              <w:rPr>
                <w:b/>
                <w:bCs/>
                <w:color w:val="000000"/>
                <w:szCs w:val="24"/>
              </w:rPr>
              <w:t>Conductance state order</w:t>
            </w:r>
          </w:p>
        </w:tc>
        <w:tc>
          <w:tcPr>
            <w:tcW w:w="2665" w:type="dxa"/>
            <w:tcBorders>
              <w:top w:val="single" w:color="auto" w:sz="4" w:space="0"/>
              <w:left w:val="nil"/>
              <w:bottom w:val="single" w:color="auto" w:sz="4" w:space="0"/>
              <w:right w:val="nil"/>
            </w:tcBorders>
          </w:tcPr>
          <w:p w14:paraId="4312B48B">
            <w:pPr>
              <w:spacing w:line="360" w:lineRule="auto"/>
              <w:jc w:val="center"/>
              <w:rPr>
                <w:b/>
                <w:bCs/>
                <w:color w:val="000000"/>
                <w:szCs w:val="24"/>
              </w:rPr>
            </w:pPr>
            <w:r>
              <w:rPr>
                <w:b/>
                <w:bCs/>
                <w:color w:val="000000"/>
                <w:szCs w:val="24"/>
              </w:rPr>
              <w:t>Conductance value / nS</w:t>
            </w:r>
          </w:p>
        </w:tc>
        <w:tc>
          <w:tcPr>
            <w:tcW w:w="2848" w:type="dxa"/>
            <w:tcBorders>
              <w:top w:val="single" w:color="auto" w:sz="4" w:space="0"/>
              <w:left w:val="nil"/>
              <w:bottom w:val="single" w:color="auto" w:sz="4" w:space="0"/>
              <w:right w:val="nil"/>
            </w:tcBorders>
          </w:tcPr>
          <w:p w14:paraId="3FA52225">
            <w:pPr>
              <w:spacing w:line="360" w:lineRule="auto"/>
              <w:jc w:val="center"/>
              <w:rPr>
                <w:b/>
                <w:bCs/>
                <w:color w:val="000000"/>
                <w:szCs w:val="24"/>
              </w:rPr>
            </w:pPr>
            <w:r>
              <w:rPr>
                <w:b/>
                <w:bCs/>
                <w:color w:val="000000"/>
                <w:szCs w:val="24"/>
              </w:rPr>
              <w:t>Conductance change / nS</w:t>
            </w:r>
          </w:p>
        </w:tc>
      </w:tr>
      <w:tr w14:paraId="7B651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single" w:color="auto" w:sz="4" w:space="0"/>
              <w:left w:val="nil"/>
              <w:bottom w:val="nil"/>
              <w:right w:val="nil"/>
            </w:tcBorders>
            <w:vAlign w:val="center"/>
          </w:tcPr>
          <w:p w14:paraId="6D2CB753">
            <w:pPr>
              <w:spacing w:line="360" w:lineRule="auto"/>
              <w:jc w:val="center"/>
              <w:rPr>
                <w:szCs w:val="24"/>
              </w:rPr>
            </w:pPr>
            <w:r>
              <w:rPr>
                <w:szCs w:val="24"/>
              </w:rPr>
              <w:t>1</w:t>
            </w:r>
          </w:p>
        </w:tc>
        <w:tc>
          <w:tcPr>
            <w:tcW w:w="2665" w:type="dxa"/>
            <w:tcBorders>
              <w:top w:val="single" w:color="auto" w:sz="4" w:space="0"/>
              <w:left w:val="nil"/>
              <w:bottom w:val="nil"/>
              <w:right w:val="nil"/>
            </w:tcBorders>
            <w:vAlign w:val="center"/>
          </w:tcPr>
          <w:p w14:paraId="6781E210">
            <w:pPr>
              <w:spacing w:line="360" w:lineRule="auto"/>
              <w:jc w:val="center"/>
              <w:rPr>
                <w:szCs w:val="24"/>
                <w:lang w:eastAsia="zh-CN"/>
              </w:rPr>
            </w:pPr>
            <w:r>
              <w:rPr>
                <w:szCs w:val="24"/>
              </w:rPr>
              <w:t>4.</w:t>
            </w:r>
            <w:r>
              <w:rPr>
                <w:rFonts w:hint="eastAsia"/>
                <w:szCs w:val="24"/>
                <w:lang w:eastAsia="zh-CN"/>
              </w:rPr>
              <w:t>77</w:t>
            </w:r>
          </w:p>
        </w:tc>
        <w:tc>
          <w:tcPr>
            <w:tcW w:w="2848" w:type="dxa"/>
            <w:tcBorders>
              <w:top w:val="single" w:color="auto" w:sz="4" w:space="0"/>
              <w:left w:val="nil"/>
              <w:bottom w:val="nil"/>
              <w:right w:val="nil"/>
            </w:tcBorders>
            <w:vAlign w:val="center"/>
          </w:tcPr>
          <w:p w14:paraId="7CCA63D7">
            <w:pPr>
              <w:spacing w:line="360" w:lineRule="auto"/>
              <w:jc w:val="center"/>
              <w:rPr>
                <w:szCs w:val="24"/>
              </w:rPr>
            </w:pPr>
            <w:r>
              <w:rPr>
                <w:szCs w:val="24"/>
              </w:rPr>
              <w:t>-</w:t>
            </w:r>
          </w:p>
        </w:tc>
      </w:tr>
      <w:tr w14:paraId="403F0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nil"/>
              <w:right w:val="nil"/>
            </w:tcBorders>
            <w:vAlign w:val="center"/>
          </w:tcPr>
          <w:p w14:paraId="70E67D46">
            <w:pPr>
              <w:spacing w:line="360" w:lineRule="auto"/>
              <w:jc w:val="center"/>
              <w:rPr>
                <w:szCs w:val="24"/>
              </w:rPr>
            </w:pPr>
            <w:r>
              <w:rPr>
                <w:szCs w:val="24"/>
              </w:rPr>
              <w:t>2</w:t>
            </w:r>
          </w:p>
        </w:tc>
        <w:tc>
          <w:tcPr>
            <w:tcW w:w="2665" w:type="dxa"/>
            <w:tcBorders>
              <w:top w:val="nil"/>
              <w:left w:val="nil"/>
              <w:bottom w:val="nil"/>
              <w:right w:val="nil"/>
            </w:tcBorders>
            <w:vAlign w:val="center"/>
          </w:tcPr>
          <w:p w14:paraId="5560CF41">
            <w:pPr>
              <w:spacing w:line="360" w:lineRule="auto"/>
              <w:jc w:val="center"/>
              <w:rPr>
                <w:szCs w:val="24"/>
                <w:lang w:eastAsia="zh-CN"/>
              </w:rPr>
            </w:pPr>
            <w:r>
              <w:rPr>
                <w:rFonts w:hint="eastAsia"/>
                <w:szCs w:val="24"/>
                <w:lang w:eastAsia="zh-CN"/>
              </w:rPr>
              <w:t>7.93</w:t>
            </w:r>
          </w:p>
        </w:tc>
        <w:tc>
          <w:tcPr>
            <w:tcW w:w="2848" w:type="dxa"/>
            <w:tcBorders>
              <w:top w:val="nil"/>
              <w:left w:val="nil"/>
              <w:bottom w:val="nil"/>
              <w:right w:val="nil"/>
            </w:tcBorders>
            <w:vAlign w:val="center"/>
          </w:tcPr>
          <w:p w14:paraId="7DFBCEF2">
            <w:pPr>
              <w:spacing w:line="360" w:lineRule="auto"/>
              <w:jc w:val="center"/>
              <w:rPr>
                <w:szCs w:val="24"/>
                <w:lang w:eastAsia="zh-CN"/>
              </w:rPr>
            </w:pPr>
            <w:r>
              <w:rPr>
                <w:rFonts w:hint="eastAsia"/>
                <w:szCs w:val="24"/>
                <w:lang w:eastAsia="zh-CN"/>
              </w:rPr>
              <w:t>3</w:t>
            </w:r>
            <w:r>
              <w:rPr>
                <w:szCs w:val="24"/>
              </w:rPr>
              <w:t>.</w:t>
            </w:r>
            <w:r>
              <w:rPr>
                <w:rFonts w:hint="eastAsia"/>
                <w:szCs w:val="24"/>
                <w:lang w:eastAsia="zh-CN"/>
              </w:rPr>
              <w:t>16</w:t>
            </w:r>
          </w:p>
        </w:tc>
      </w:tr>
      <w:tr w14:paraId="758BE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nil"/>
              <w:right w:val="nil"/>
            </w:tcBorders>
            <w:vAlign w:val="center"/>
          </w:tcPr>
          <w:p w14:paraId="4E0AF78B">
            <w:pPr>
              <w:spacing w:line="360" w:lineRule="auto"/>
              <w:jc w:val="center"/>
              <w:rPr>
                <w:szCs w:val="24"/>
              </w:rPr>
            </w:pPr>
            <w:r>
              <w:rPr>
                <w:szCs w:val="24"/>
              </w:rPr>
              <w:t>3</w:t>
            </w:r>
          </w:p>
        </w:tc>
        <w:tc>
          <w:tcPr>
            <w:tcW w:w="2665" w:type="dxa"/>
            <w:tcBorders>
              <w:top w:val="nil"/>
              <w:left w:val="nil"/>
              <w:bottom w:val="nil"/>
              <w:right w:val="nil"/>
            </w:tcBorders>
            <w:vAlign w:val="center"/>
          </w:tcPr>
          <w:p w14:paraId="15C75BC7">
            <w:pPr>
              <w:spacing w:line="360" w:lineRule="auto"/>
              <w:jc w:val="center"/>
              <w:rPr>
                <w:szCs w:val="24"/>
                <w:lang w:eastAsia="zh-CN"/>
              </w:rPr>
            </w:pPr>
            <w:r>
              <w:rPr>
                <w:szCs w:val="24"/>
              </w:rPr>
              <w:t>12</w:t>
            </w:r>
            <w:r>
              <w:rPr>
                <w:rFonts w:hint="eastAsia"/>
                <w:szCs w:val="24"/>
                <w:lang w:eastAsia="zh-CN"/>
              </w:rPr>
              <w:t>.28</w:t>
            </w:r>
          </w:p>
        </w:tc>
        <w:tc>
          <w:tcPr>
            <w:tcW w:w="2848" w:type="dxa"/>
            <w:tcBorders>
              <w:top w:val="nil"/>
              <w:left w:val="nil"/>
              <w:bottom w:val="nil"/>
              <w:right w:val="nil"/>
            </w:tcBorders>
            <w:vAlign w:val="center"/>
          </w:tcPr>
          <w:p w14:paraId="1C189153">
            <w:pPr>
              <w:spacing w:line="360" w:lineRule="auto"/>
              <w:jc w:val="center"/>
              <w:rPr>
                <w:szCs w:val="24"/>
                <w:lang w:eastAsia="zh-CN"/>
              </w:rPr>
            </w:pPr>
            <w:r>
              <w:rPr>
                <w:rFonts w:hint="eastAsia"/>
                <w:szCs w:val="24"/>
                <w:lang w:eastAsia="zh-CN"/>
              </w:rPr>
              <w:t>4.35</w:t>
            </w:r>
          </w:p>
        </w:tc>
      </w:tr>
      <w:tr w14:paraId="7C2AB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nil"/>
              <w:right w:val="nil"/>
            </w:tcBorders>
            <w:vAlign w:val="center"/>
          </w:tcPr>
          <w:p w14:paraId="124AC595">
            <w:pPr>
              <w:spacing w:line="360" w:lineRule="auto"/>
              <w:jc w:val="center"/>
              <w:rPr>
                <w:szCs w:val="24"/>
              </w:rPr>
            </w:pPr>
            <w:r>
              <w:rPr>
                <w:szCs w:val="24"/>
              </w:rPr>
              <w:t>4</w:t>
            </w:r>
          </w:p>
        </w:tc>
        <w:tc>
          <w:tcPr>
            <w:tcW w:w="2665" w:type="dxa"/>
            <w:tcBorders>
              <w:top w:val="nil"/>
              <w:left w:val="nil"/>
              <w:bottom w:val="nil"/>
              <w:right w:val="nil"/>
            </w:tcBorders>
            <w:vAlign w:val="center"/>
          </w:tcPr>
          <w:p w14:paraId="598AA232">
            <w:pPr>
              <w:spacing w:line="360" w:lineRule="auto"/>
              <w:jc w:val="center"/>
              <w:rPr>
                <w:szCs w:val="24"/>
              </w:rPr>
            </w:pPr>
            <w:r>
              <w:rPr>
                <w:szCs w:val="24"/>
              </w:rPr>
              <w:t>20.86</w:t>
            </w:r>
          </w:p>
        </w:tc>
        <w:tc>
          <w:tcPr>
            <w:tcW w:w="2848" w:type="dxa"/>
            <w:tcBorders>
              <w:top w:val="nil"/>
              <w:left w:val="nil"/>
              <w:bottom w:val="nil"/>
              <w:right w:val="nil"/>
            </w:tcBorders>
            <w:vAlign w:val="center"/>
          </w:tcPr>
          <w:p w14:paraId="367D336D">
            <w:pPr>
              <w:spacing w:line="360" w:lineRule="auto"/>
              <w:jc w:val="center"/>
              <w:rPr>
                <w:szCs w:val="24"/>
                <w:lang w:eastAsia="zh-CN"/>
              </w:rPr>
            </w:pPr>
            <w:r>
              <w:rPr>
                <w:szCs w:val="24"/>
              </w:rPr>
              <w:t>8.</w:t>
            </w:r>
            <w:r>
              <w:rPr>
                <w:rFonts w:hint="eastAsia"/>
                <w:szCs w:val="24"/>
                <w:lang w:eastAsia="zh-CN"/>
              </w:rPr>
              <w:t>58</w:t>
            </w:r>
          </w:p>
        </w:tc>
      </w:tr>
      <w:tr w14:paraId="5D40F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nil"/>
              <w:right w:val="nil"/>
            </w:tcBorders>
            <w:vAlign w:val="center"/>
          </w:tcPr>
          <w:p w14:paraId="0F046896">
            <w:pPr>
              <w:spacing w:line="360" w:lineRule="auto"/>
              <w:jc w:val="center"/>
              <w:rPr>
                <w:szCs w:val="24"/>
              </w:rPr>
            </w:pPr>
            <w:r>
              <w:rPr>
                <w:szCs w:val="24"/>
              </w:rPr>
              <w:t>5</w:t>
            </w:r>
          </w:p>
        </w:tc>
        <w:tc>
          <w:tcPr>
            <w:tcW w:w="2665" w:type="dxa"/>
            <w:tcBorders>
              <w:top w:val="nil"/>
              <w:left w:val="nil"/>
              <w:bottom w:val="nil"/>
              <w:right w:val="nil"/>
            </w:tcBorders>
            <w:vAlign w:val="center"/>
          </w:tcPr>
          <w:p w14:paraId="372CF179">
            <w:pPr>
              <w:spacing w:line="360" w:lineRule="auto"/>
              <w:jc w:val="center"/>
              <w:rPr>
                <w:szCs w:val="24"/>
                <w:lang w:eastAsia="zh-CN"/>
              </w:rPr>
            </w:pPr>
            <w:r>
              <w:rPr>
                <w:rFonts w:hint="eastAsia"/>
                <w:szCs w:val="24"/>
                <w:lang w:eastAsia="zh-CN"/>
              </w:rPr>
              <w:t>30.85</w:t>
            </w:r>
          </w:p>
        </w:tc>
        <w:tc>
          <w:tcPr>
            <w:tcW w:w="2848" w:type="dxa"/>
            <w:tcBorders>
              <w:top w:val="nil"/>
              <w:left w:val="nil"/>
              <w:bottom w:val="nil"/>
              <w:right w:val="nil"/>
            </w:tcBorders>
            <w:vAlign w:val="center"/>
          </w:tcPr>
          <w:p w14:paraId="52388486">
            <w:pPr>
              <w:spacing w:line="360" w:lineRule="auto"/>
              <w:jc w:val="center"/>
              <w:rPr>
                <w:szCs w:val="24"/>
              </w:rPr>
            </w:pPr>
            <w:r>
              <w:rPr>
                <w:szCs w:val="24"/>
              </w:rPr>
              <w:t>9.99</w:t>
            </w:r>
          </w:p>
        </w:tc>
      </w:tr>
      <w:tr w14:paraId="280B8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nil"/>
              <w:right w:val="nil"/>
            </w:tcBorders>
            <w:vAlign w:val="center"/>
          </w:tcPr>
          <w:p w14:paraId="1FBCFD48">
            <w:pPr>
              <w:spacing w:line="360" w:lineRule="auto"/>
              <w:jc w:val="center"/>
              <w:rPr>
                <w:szCs w:val="24"/>
              </w:rPr>
            </w:pPr>
            <w:r>
              <w:rPr>
                <w:szCs w:val="24"/>
              </w:rPr>
              <w:t>6</w:t>
            </w:r>
          </w:p>
        </w:tc>
        <w:tc>
          <w:tcPr>
            <w:tcW w:w="2665" w:type="dxa"/>
            <w:tcBorders>
              <w:top w:val="nil"/>
              <w:left w:val="nil"/>
              <w:bottom w:val="nil"/>
              <w:right w:val="nil"/>
            </w:tcBorders>
            <w:vAlign w:val="center"/>
          </w:tcPr>
          <w:p w14:paraId="304D6C07">
            <w:pPr>
              <w:spacing w:line="360" w:lineRule="auto"/>
              <w:jc w:val="center"/>
              <w:rPr>
                <w:szCs w:val="24"/>
              </w:rPr>
            </w:pPr>
            <w:r>
              <w:rPr>
                <w:szCs w:val="24"/>
              </w:rPr>
              <w:t>69.07</w:t>
            </w:r>
          </w:p>
        </w:tc>
        <w:tc>
          <w:tcPr>
            <w:tcW w:w="2848" w:type="dxa"/>
            <w:tcBorders>
              <w:top w:val="nil"/>
              <w:left w:val="nil"/>
              <w:bottom w:val="nil"/>
              <w:right w:val="nil"/>
            </w:tcBorders>
            <w:vAlign w:val="center"/>
          </w:tcPr>
          <w:p w14:paraId="25361D37">
            <w:pPr>
              <w:spacing w:line="360" w:lineRule="auto"/>
              <w:jc w:val="center"/>
              <w:rPr>
                <w:szCs w:val="24"/>
              </w:rPr>
            </w:pPr>
            <w:r>
              <w:rPr>
                <w:szCs w:val="24"/>
              </w:rPr>
              <w:t>38.22</w:t>
            </w:r>
          </w:p>
        </w:tc>
      </w:tr>
      <w:tr w14:paraId="4EC5B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nil"/>
              <w:right w:val="nil"/>
            </w:tcBorders>
            <w:vAlign w:val="center"/>
          </w:tcPr>
          <w:p w14:paraId="5CDB5B5D">
            <w:pPr>
              <w:spacing w:line="360" w:lineRule="auto"/>
              <w:jc w:val="center"/>
              <w:rPr>
                <w:szCs w:val="24"/>
              </w:rPr>
            </w:pPr>
            <w:r>
              <w:rPr>
                <w:szCs w:val="24"/>
              </w:rPr>
              <w:t>7</w:t>
            </w:r>
          </w:p>
        </w:tc>
        <w:tc>
          <w:tcPr>
            <w:tcW w:w="2665" w:type="dxa"/>
            <w:tcBorders>
              <w:top w:val="nil"/>
              <w:left w:val="nil"/>
              <w:bottom w:val="nil"/>
              <w:right w:val="nil"/>
            </w:tcBorders>
            <w:vAlign w:val="center"/>
          </w:tcPr>
          <w:p w14:paraId="664CD985">
            <w:pPr>
              <w:spacing w:line="360" w:lineRule="auto"/>
              <w:jc w:val="center"/>
              <w:rPr>
                <w:szCs w:val="24"/>
              </w:rPr>
            </w:pPr>
            <w:r>
              <w:rPr>
                <w:szCs w:val="24"/>
              </w:rPr>
              <w:t>64.46</w:t>
            </w:r>
          </w:p>
        </w:tc>
        <w:tc>
          <w:tcPr>
            <w:tcW w:w="2848" w:type="dxa"/>
            <w:tcBorders>
              <w:top w:val="nil"/>
              <w:left w:val="nil"/>
              <w:bottom w:val="nil"/>
              <w:right w:val="nil"/>
            </w:tcBorders>
            <w:vAlign w:val="center"/>
          </w:tcPr>
          <w:p w14:paraId="2D41C23F">
            <w:pPr>
              <w:spacing w:line="360" w:lineRule="auto"/>
              <w:jc w:val="center"/>
              <w:rPr>
                <w:szCs w:val="24"/>
              </w:rPr>
            </w:pPr>
            <w:r>
              <w:rPr>
                <w:szCs w:val="24"/>
              </w:rPr>
              <w:t>-4.61</w:t>
            </w:r>
          </w:p>
        </w:tc>
      </w:tr>
      <w:tr w14:paraId="696F3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nil"/>
              <w:right w:val="nil"/>
            </w:tcBorders>
            <w:vAlign w:val="center"/>
          </w:tcPr>
          <w:p w14:paraId="125E3929">
            <w:pPr>
              <w:spacing w:line="360" w:lineRule="auto"/>
              <w:jc w:val="center"/>
              <w:rPr>
                <w:szCs w:val="24"/>
              </w:rPr>
            </w:pPr>
            <w:r>
              <w:rPr>
                <w:szCs w:val="24"/>
              </w:rPr>
              <w:t>8</w:t>
            </w:r>
          </w:p>
        </w:tc>
        <w:tc>
          <w:tcPr>
            <w:tcW w:w="2665" w:type="dxa"/>
            <w:tcBorders>
              <w:top w:val="nil"/>
              <w:left w:val="nil"/>
              <w:bottom w:val="nil"/>
              <w:right w:val="nil"/>
            </w:tcBorders>
            <w:vAlign w:val="center"/>
          </w:tcPr>
          <w:p w14:paraId="43C3A1C0">
            <w:pPr>
              <w:spacing w:line="360" w:lineRule="auto"/>
              <w:jc w:val="center"/>
              <w:rPr>
                <w:szCs w:val="24"/>
                <w:lang w:eastAsia="zh-CN"/>
              </w:rPr>
            </w:pPr>
            <w:r>
              <w:rPr>
                <w:szCs w:val="24"/>
              </w:rPr>
              <w:t>19</w:t>
            </w:r>
            <w:r>
              <w:rPr>
                <w:rFonts w:hint="eastAsia"/>
                <w:szCs w:val="24"/>
                <w:lang w:eastAsia="zh-CN"/>
              </w:rPr>
              <w:t>9.21</w:t>
            </w:r>
          </w:p>
        </w:tc>
        <w:tc>
          <w:tcPr>
            <w:tcW w:w="2848" w:type="dxa"/>
            <w:tcBorders>
              <w:top w:val="nil"/>
              <w:left w:val="nil"/>
              <w:bottom w:val="nil"/>
              <w:right w:val="nil"/>
            </w:tcBorders>
            <w:vAlign w:val="center"/>
          </w:tcPr>
          <w:p w14:paraId="43212402">
            <w:pPr>
              <w:spacing w:line="360" w:lineRule="auto"/>
              <w:jc w:val="center"/>
              <w:rPr>
                <w:szCs w:val="24"/>
                <w:lang w:eastAsia="zh-CN"/>
              </w:rPr>
            </w:pPr>
            <w:r>
              <w:rPr>
                <w:szCs w:val="24"/>
              </w:rPr>
              <w:t>13</w:t>
            </w:r>
            <w:r>
              <w:rPr>
                <w:rFonts w:hint="eastAsia"/>
                <w:szCs w:val="24"/>
                <w:lang w:eastAsia="zh-CN"/>
              </w:rPr>
              <w:t>4.75</w:t>
            </w:r>
          </w:p>
        </w:tc>
      </w:tr>
      <w:tr w14:paraId="19303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nil"/>
              <w:right w:val="nil"/>
            </w:tcBorders>
            <w:vAlign w:val="center"/>
          </w:tcPr>
          <w:p w14:paraId="69D36D9B">
            <w:pPr>
              <w:spacing w:line="360" w:lineRule="auto"/>
              <w:jc w:val="center"/>
              <w:rPr>
                <w:szCs w:val="24"/>
              </w:rPr>
            </w:pPr>
            <w:r>
              <w:rPr>
                <w:szCs w:val="24"/>
              </w:rPr>
              <w:t>9</w:t>
            </w:r>
          </w:p>
        </w:tc>
        <w:tc>
          <w:tcPr>
            <w:tcW w:w="2665" w:type="dxa"/>
            <w:tcBorders>
              <w:top w:val="nil"/>
              <w:left w:val="nil"/>
              <w:bottom w:val="nil"/>
              <w:right w:val="nil"/>
            </w:tcBorders>
            <w:vAlign w:val="center"/>
          </w:tcPr>
          <w:p w14:paraId="6F20C69F">
            <w:pPr>
              <w:spacing w:line="360" w:lineRule="auto"/>
              <w:jc w:val="center"/>
              <w:rPr>
                <w:szCs w:val="24"/>
                <w:lang w:eastAsia="zh-CN"/>
              </w:rPr>
            </w:pPr>
            <w:r>
              <w:rPr>
                <w:szCs w:val="24"/>
              </w:rPr>
              <w:t>4</w:t>
            </w:r>
            <w:r>
              <w:rPr>
                <w:rFonts w:hint="eastAsia"/>
                <w:szCs w:val="24"/>
                <w:lang w:eastAsia="zh-CN"/>
              </w:rPr>
              <w:t>06.73</w:t>
            </w:r>
          </w:p>
        </w:tc>
        <w:tc>
          <w:tcPr>
            <w:tcW w:w="2848" w:type="dxa"/>
            <w:tcBorders>
              <w:top w:val="nil"/>
              <w:left w:val="nil"/>
              <w:bottom w:val="nil"/>
              <w:right w:val="nil"/>
            </w:tcBorders>
            <w:vAlign w:val="center"/>
          </w:tcPr>
          <w:p w14:paraId="5770B081">
            <w:pPr>
              <w:spacing w:line="360" w:lineRule="auto"/>
              <w:jc w:val="center"/>
              <w:rPr>
                <w:szCs w:val="24"/>
                <w:lang w:eastAsia="zh-CN"/>
              </w:rPr>
            </w:pPr>
            <w:r>
              <w:rPr>
                <w:szCs w:val="24"/>
              </w:rPr>
              <w:t>2</w:t>
            </w:r>
            <w:r>
              <w:rPr>
                <w:rFonts w:hint="eastAsia"/>
                <w:szCs w:val="24"/>
                <w:lang w:eastAsia="zh-CN"/>
              </w:rPr>
              <w:t>07.52</w:t>
            </w:r>
          </w:p>
        </w:tc>
      </w:tr>
      <w:tr w14:paraId="5441B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nil"/>
              <w:right w:val="nil"/>
            </w:tcBorders>
            <w:vAlign w:val="center"/>
          </w:tcPr>
          <w:p w14:paraId="68C89206">
            <w:pPr>
              <w:spacing w:line="360" w:lineRule="auto"/>
              <w:jc w:val="center"/>
              <w:rPr>
                <w:szCs w:val="24"/>
              </w:rPr>
            </w:pPr>
            <w:r>
              <w:rPr>
                <w:szCs w:val="24"/>
              </w:rPr>
              <w:t>10</w:t>
            </w:r>
          </w:p>
        </w:tc>
        <w:tc>
          <w:tcPr>
            <w:tcW w:w="2665" w:type="dxa"/>
            <w:tcBorders>
              <w:top w:val="nil"/>
              <w:left w:val="nil"/>
              <w:bottom w:val="nil"/>
              <w:right w:val="nil"/>
            </w:tcBorders>
            <w:vAlign w:val="center"/>
          </w:tcPr>
          <w:p w14:paraId="7196D1F5">
            <w:pPr>
              <w:spacing w:line="360" w:lineRule="auto"/>
              <w:jc w:val="center"/>
              <w:rPr>
                <w:szCs w:val="24"/>
                <w:lang w:eastAsia="zh-CN"/>
              </w:rPr>
            </w:pPr>
            <w:r>
              <w:rPr>
                <w:szCs w:val="24"/>
              </w:rPr>
              <w:t>536.</w:t>
            </w:r>
            <w:r>
              <w:rPr>
                <w:rFonts w:hint="eastAsia"/>
                <w:szCs w:val="24"/>
                <w:lang w:eastAsia="zh-CN"/>
              </w:rPr>
              <w:t>17</w:t>
            </w:r>
          </w:p>
        </w:tc>
        <w:tc>
          <w:tcPr>
            <w:tcW w:w="2848" w:type="dxa"/>
            <w:tcBorders>
              <w:top w:val="nil"/>
              <w:left w:val="nil"/>
              <w:bottom w:val="nil"/>
              <w:right w:val="nil"/>
            </w:tcBorders>
            <w:vAlign w:val="center"/>
          </w:tcPr>
          <w:p w14:paraId="4201A5C8">
            <w:pPr>
              <w:spacing w:line="360" w:lineRule="auto"/>
              <w:jc w:val="center"/>
              <w:rPr>
                <w:szCs w:val="24"/>
                <w:lang w:eastAsia="zh-CN"/>
              </w:rPr>
            </w:pPr>
            <w:r>
              <w:rPr>
                <w:szCs w:val="24"/>
              </w:rPr>
              <w:t>1</w:t>
            </w:r>
            <w:r>
              <w:rPr>
                <w:rFonts w:hint="eastAsia"/>
                <w:szCs w:val="24"/>
                <w:lang w:eastAsia="zh-CN"/>
              </w:rPr>
              <w:t>29.44</w:t>
            </w:r>
          </w:p>
        </w:tc>
      </w:tr>
      <w:tr w14:paraId="2EE44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89" w:type="dxa"/>
            <w:tcBorders>
              <w:top w:val="nil"/>
              <w:left w:val="nil"/>
              <w:bottom w:val="single" w:color="auto" w:sz="4" w:space="0"/>
              <w:right w:val="nil"/>
            </w:tcBorders>
            <w:vAlign w:val="center"/>
          </w:tcPr>
          <w:p w14:paraId="77AB4B30">
            <w:pPr>
              <w:spacing w:line="360" w:lineRule="auto"/>
              <w:jc w:val="center"/>
              <w:rPr>
                <w:szCs w:val="24"/>
              </w:rPr>
            </w:pPr>
            <w:r>
              <w:rPr>
                <w:szCs w:val="24"/>
              </w:rPr>
              <w:t>11</w:t>
            </w:r>
          </w:p>
        </w:tc>
        <w:tc>
          <w:tcPr>
            <w:tcW w:w="2665" w:type="dxa"/>
            <w:tcBorders>
              <w:top w:val="nil"/>
              <w:left w:val="nil"/>
              <w:bottom w:val="single" w:color="auto" w:sz="4" w:space="0"/>
              <w:right w:val="nil"/>
            </w:tcBorders>
            <w:vAlign w:val="center"/>
          </w:tcPr>
          <w:p w14:paraId="01706CE6">
            <w:pPr>
              <w:spacing w:line="360" w:lineRule="auto"/>
              <w:jc w:val="center"/>
              <w:rPr>
                <w:szCs w:val="24"/>
                <w:lang w:eastAsia="zh-CN"/>
              </w:rPr>
            </w:pPr>
            <w:r>
              <w:rPr>
                <w:szCs w:val="24"/>
              </w:rPr>
              <w:t>13</w:t>
            </w:r>
            <w:r>
              <w:rPr>
                <w:rFonts w:hint="eastAsia"/>
                <w:szCs w:val="24"/>
                <w:lang w:eastAsia="zh-CN"/>
              </w:rPr>
              <w:t>78</w:t>
            </w:r>
            <w:r>
              <w:rPr>
                <w:szCs w:val="24"/>
              </w:rPr>
              <w:t>.</w:t>
            </w:r>
            <w:r>
              <w:rPr>
                <w:rFonts w:hint="eastAsia"/>
                <w:szCs w:val="24"/>
                <w:lang w:eastAsia="zh-CN"/>
              </w:rPr>
              <w:t>17</w:t>
            </w:r>
          </w:p>
        </w:tc>
        <w:tc>
          <w:tcPr>
            <w:tcW w:w="2848" w:type="dxa"/>
            <w:tcBorders>
              <w:top w:val="nil"/>
              <w:left w:val="nil"/>
              <w:bottom w:val="single" w:color="auto" w:sz="4" w:space="0"/>
              <w:right w:val="nil"/>
            </w:tcBorders>
            <w:vAlign w:val="center"/>
          </w:tcPr>
          <w:p w14:paraId="510E5BCA">
            <w:pPr>
              <w:spacing w:line="360" w:lineRule="auto"/>
              <w:jc w:val="center"/>
              <w:rPr>
                <w:szCs w:val="24"/>
                <w:lang w:eastAsia="zh-CN"/>
              </w:rPr>
            </w:pPr>
            <w:r>
              <w:rPr>
                <w:szCs w:val="24"/>
              </w:rPr>
              <w:t>8</w:t>
            </w:r>
            <w:r>
              <w:rPr>
                <w:rFonts w:hint="eastAsia"/>
                <w:szCs w:val="24"/>
                <w:lang w:eastAsia="zh-CN"/>
              </w:rPr>
              <w:t>42.0</w:t>
            </w:r>
          </w:p>
        </w:tc>
      </w:tr>
    </w:tbl>
    <w:p w14:paraId="05EA5A06">
      <w:pPr>
        <w:rPr>
          <w:b/>
          <w:bCs/>
          <w:szCs w:val="24"/>
          <w:lang w:eastAsia="zh-CN"/>
        </w:rPr>
      </w:pPr>
    </w:p>
    <w:p w14:paraId="0A8C4C8F">
      <w:pPr>
        <w:spacing w:after="120"/>
        <w:jc w:val="center"/>
        <w:rPr>
          <w:szCs w:val="24"/>
        </w:rPr>
      </w:pPr>
      <w:r>
        <w:rPr>
          <w:szCs w:val="24"/>
        </w:rPr>
        <w:drawing>
          <wp:inline distT="0" distB="0" distL="0" distR="0">
            <wp:extent cx="3962400" cy="2787650"/>
            <wp:effectExtent l="0" t="0" r="0" b="0"/>
            <wp:docPr id="20762769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7696" name="图片 18"/>
                    <pic:cNvPicPr>
                      <a:picLocks noChangeAspect="1" noChangeArrowheads="1"/>
                    </pic:cNvPicPr>
                  </pic:nvPicPr>
                  <pic:blipFill>
                    <a:blip r:embed="rId65">
                      <a:extLst>
                        <a:ext uri="{28A0092B-C50C-407E-A947-70E740481C1C}">
                          <a14:useLocalDpi xmlns:a14="http://schemas.microsoft.com/office/drawing/2010/main" val="0"/>
                        </a:ext>
                      </a:extLst>
                    </a:blip>
                    <a:srcRect l="14677" t="11977" r="20598" b="6972"/>
                    <a:stretch>
                      <a:fillRect/>
                    </a:stretch>
                  </pic:blipFill>
                  <pic:spPr>
                    <a:xfrm>
                      <a:off x="0" y="0"/>
                      <a:ext cx="3962400" cy="2787650"/>
                    </a:xfrm>
                    <a:prstGeom prst="rect">
                      <a:avLst/>
                    </a:prstGeom>
                    <a:noFill/>
                    <a:ln>
                      <a:noFill/>
                    </a:ln>
                  </pic:spPr>
                </pic:pic>
              </a:graphicData>
            </a:graphic>
          </wp:inline>
        </w:drawing>
      </w:r>
    </w:p>
    <w:p w14:paraId="4361BC27">
      <w:pPr>
        <w:jc w:val="both"/>
        <w:rPr>
          <w:b/>
          <w:bCs/>
          <w:color w:val="000000"/>
          <w:szCs w:val="24"/>
        </w:rPr>
      </w:pPr>
      <w:r>
        <w:rPr>
          <w:b/>
          <w:bCs/>
          <w:color w:val="000000"/>
          <w:szCs w:val="24"/>
        </w:rPr>
        <w:t>Fig. S2</w:t>
      </w:r>
      <w:r>
        <w:rPr>
          <w:b/>
          <w:bCs/>
          <w:color w:val="000000"/>
          <w:szCs w:val="24"/>
          <w:lang w:eastAsia="zh-CN"/>
        </w:rPr>
        <w:t>1</w:t>
      </w:r>
      <w:r>
        <w:rPr>
          <w:b/>
          <w:bCs/>
          <w:color w:val="000000"/>
          <w:szCs w:val="24"/>
        </w:rPr>
        <w:t xml:space="preserve"> The device emulates “learning-forgetting-relearning” plasticity under combined stimulation of gate voltage pulses and bias voltage pulses (</w:t>
      </w:r>
      <w:r>
        <w:rPr>
          <w:b/>
          <w:bCs/>
          <w:i/>
          <w:iCs/>
          <w:color w:val="000000"/>
          <w:szCs w:val="24"/>
        </w:rPr>
        <w:t>V</w:t>
      </w:r>
      <w:r>
        <w:rPr>
          <w:b/>
          <w:bCs/>
          <w:color w:val="000000"/>
          <w:szCs w:val="24"/>
          <w:vertAlign w:val="subscript"/>
        </w:rPr>
        <w:t>G</w:t>
      </w:r>
      <w:r>
        <w:rPr>
          <w:b/>
          <w:bCs/>
          <w:color w:val="000000"/>
          <w:szCs w:val="24"/>
        </w:rPr>
        <w:t xml:space="preserve"> = 0.5 V, </w:t>
      </w:r>
      <w:r>
        <w:rPr>
          <w:b/>
          <w:bCs/>
          <w:i/>
          <w:iCs/>
          <w:color w:val="000000"/>
          <w:szCs w:val="24"/>
        </w:rPr>
        <w:t>V</w:t>
      </w:r>
      <w:r>
        <w:rPr>
          <w:b/>
          <w:bCs/>
          <w:color w:val="000000"/>
          <w:szCs w:val="24"/>
          <w:vertAlign w:val="subscript"/>
        </w:rPr>
        <w:t>B</w:t>
      </w:r>
      <w:r>
        <w:rPr>
          <w:b/>
          <w:bCs/>
          <w:color w:val="000000"/>
          <w:szCs w:val="24"/>
        </w:rPr>
        <w:t xml:space="preserve"> = 0.6 V, </w:t>
      </w:r>
      <w:r>
        <w:rPr>
          <w:b/>
          <w:bCs/>
          <w:i/>
          <w:iCs/>
          <w:color w:val="000000"/>
          <w:szCs w:val="24"/>
        </w:rPr>
        <w:t>t</w:t>
      </w:r>
      <w:r>
        <w:rPr>
          <w:b/>
          <w:bCs/>
          <w:color w:val="000000"/>
          <w:szCs w:val="24"/>
          <w:vertAlign w:val="subscript"/>
        </w:rPr>
        <w:t>p</w:t>
      </w:r>
      <w:r>
        <w:rPr>
          <w:b/>
          <w:bCs/>
          <w:color w:val="000000"/>
          <w:szCs w:val="24"/>
        </w:rPr>
        <w:t>= 50 ms, ∆</w:t>
      </w:r>
      <w:r>
        <w:rPr>
          <w:b/>
          <w:bCs/>
          <w:i/>
          <w:iCs/>
          <w:color w:val="000000"/>
          <w:szCs w:val="24"/>
        </w:rPr>
        <w:t>t</w:t>
      </w:r>
      <w:r>
        <w:rPr>
          <w:b/>
          <w:bCs/>
          <w:color w:val="000000"/>
          <w:szCs w:val="24"/>
        </w:rPr>
        <w:t xml:space="preserve"> = 10 ms). </w:t>
      </w:r>
    </w:p>
    <w:p w14:paraId="177BF279">
      <w:pPr>
        <w:jc w:val="both"/>
        <w:rPr>
          <w:b/>
          <w:bCs/>
          <w:color w:val="000000"/>
          <w:szCs w:val="24"/>
          <w:lang w:eastAsia="zh-CN"/>
        </w:rPr>
      </w:pPr>
    </w:p>
    <w:p w14:paraId="0911B851">
      <w:pPr>
        <w:spacing w:line="360" w:lineRule="auto"/>
        <w:jc w:val="center"/>
        <w:rPr>
          <w:b/>
          <w:bCs/>
          <w:szCs w:val="24"/>
        </w:rPr>
      </w:pPr>
      <w:r>
        <w:rPr>
          <w:b/>
          <w:bCs/>
          <w:szCs w:val="24"/>
        </w:rPr>
        <w:t>Table S4 Analysis of conductance dynamics and forgetting ratio in “learning-forgetting-relearning” paradigm</w:t>
      </w:r>
    </w:p>
    <w:tbl>
      <w:tblPr>
        <w:tblStyle w:val="88"/>
        <w:tblW w:w="0" w:type="auto"/>
        <w:jc w:val="center"/>
        <w:tblLayout w:type="autofit"/>
        <w:tblCellMar>
          <w:top w:w="0" w:type="dxa"/>
          <w:left w:w="108" w:type="dxa"/>
          <w:bottom w:w="0" w:type="dxa"/>
          <w:right w:w="108" w:type="dxa"/>
        </w:tblCellMar>
      </w:tblPr>
      <w:tblGrid>
        <w:gridCol w:w="2122"/>
        <w:gridCol w:w="3412"/>
        <w:gridCol w:w="2768"/>
      </w:tblGrid>
      <w:tr w14:paraId="43875544">
        <w:tblPrEx>
          <w:tblCellMar>
            <w:top w:w="0" w:type="dxa"/>
            <w:left w:w="108" w:type="dxa"/>
            <w:bottom w:w="0" w:type="dxa"/>
            <w:right w:w="108" w:type="dxa"/>
          </w:tblCellMar>
        </w:tblPrEx>
        <w:trPr>
          <w:jc w:val="center"/>
        </w:trPr>
        <w:tc>
          <w:tcPr>
            <w:tcW w:w="2122" w:type="dxa"/>
            <w:tcBorders>
              <w:top w:val="single" w:color="auto" w:sz="4" w:space="0"/>
              <w:bottom w:val="single" w:color="auto" w:sz="4" w:space="0"/>
            </w:tcBorders>
            <w:vAlign w:val="center"/>
          </w:tcPr>
          <w:p w14:paraId="07D8C349">
            <w:pPr>
              <w:spacing w:line="360" w:lineRule="auto"/>
              <w:jc w:val="center"/>
              <w:rPr>
                <w:b/>
                <w:bCs/>
                <w:szCs w:val="24"/>
              </w:rPr>
            </w:pPr>
            <w:r>
              <w:rPr>
                <w:b/>
                <w:bCs/>
                <w:szCs w:val="24"/>
              </w:rPr>
              <w:t>Conductance / nS</w:t>
            </w:r>
          </w:p>
        </w:tc>
        <w:tc>
          <w:tcPr>
            <w:tcW w:w="3412" w:type="dxa"/>
            <w:tcBorders>
              <w:top w:val="single" w:color="auto" w:sz="4" w:space="0"/>
              <w:bottom w:val="single" w:color="auto" w:sz="4" w:space="0"/>
            </w:tcBorders>
            <w:vAlign w:val="center"/>
          </w:tcPr>
          <w:p w14:paraId="21C8826A">
            <w:pPr>
              <w:spacing w:line="360" w:lineRule="auto"/>
              <w:jc w:val="center"/>
              <w:rPr>
                <w:b/>
                <w:bCs/>
                <w:szCs w:val="24"/>
              </w:rPr>
            </w:pPr>
            <w:r>
              <w:rPr>
                <w:b/>
                <w:bCs/>
                <w:szCs w:val="24"/>
              </w:rPr>
              <w:t>Difference from initial conductance</w:t>
            </w:r>
            <w:r>
              <w:rPr>
                <w:b/>
                <w:bCs/>
                <w:color w:val="800080"/>
                <w:szCs w:val="21"/>
              </w:rPr>
              <w:t xml:space="preserve"> </w:t>
            </w:r>
            <w:r>
              <w:rPr>
                <w:b/>
                <w:bCs/>
                <w:szCs w:val="24"/>
              </w:rPr>
              <w:t>(Δ</w:t>
            </w:r>
            <w:r>
              <w:rPr>
                <w:b/>
                <w:bCs/>
                <w:i/>
                <w:iCs/>
                <w:szCs w:val="24"/>
              </w:rPr>
              <w:t>G</w:t>
            </w:r>
            <w:r>
              <w:rPr>
                <w:b/>
                <w:bCs/>
                <w:szCs w:val="24"/>
              </w:rPr>
              <w:t>) /</w:t>
            </w:r>
            <w:r>
              <w:rPr>
                <w:rFonts w:hint="eastAsia"/>
                <w:b/>
                <w:bCs/>
                <w:szCs w:val="24"/>
                <w:lang w:eastAsia="zh-CN"/>
              </w:rPr>
              <w:t xml:space="preserve"> </w:t>
            </w:r>
            <w:r>
              <w:rPr>
                <w:b/>
                <w:bCs/>
                <w:szCs w:val="24"/>
              </w:rPr>
              <w:t>nS</w:t>
            </w:r>
          </w:p>
        </w:tc>
        <w:tc>
          <w:tcPr>
            <w:tcW w:w="2768" w:type="dxa"/>
            <w:tcBorders>
              <w:top w:val="single" w:color="auto" w:sz="4" w:space="0"/>
              <w:bottom w:val="single" w:color="auto" w:sz="4" w:space="0"/>
            </w:tcBorders>
            <w:vAlign w:val="center"/>
          </w:tcPr>
          <w:p w14:paraId="243FED82">
            <w:pPr>
              <w:spacing w:line="360" w:lineRule="auto"/>
              <w:jc w:val="center"/>
              <w:rPr>
                <w:b/>
                <w:bCs/>
                <w:szCs w:val="24"/>
              </w:rPr>
            </w:pPr>
            <w:r>
              <w:rPr>
                <w:b/>
                <w:bCs/>
                <w:szCs w:val="24"/>
              </w:rPr>
              <w:t>Forgetting Ratio (%)</w:t>
            </w:r>
          </w:p>
        </w:tc>
      </w:tr>
      <w:tr w14:paraId="0FD78A71">
        <w:tblPrEx>
          <w:tblCellMar>
            <w:top w:w="0" w:type="dxa"/>
            <w:left w:w="108" w:type="dxa"/>
            <w:bottom w:w="0" w:type="dxa"/>
            <w:right w:w="108" w:type="dxa"/>
          </w:tblCellMar>
        </w:tblPrEx>
        <w:trPr>
          <w:jc w:val="center"/>
        </w:trPr>
        <w:tc>
          <w:tcPr>
            <w:tcW w:w="2122" w:type="dxa"/>
            <w:tcBorders>
              <w:top w:val="single" w:color="auto" w:sz="4" w:space="0"/>
            </w:tcBorders>
            <w:vAlign w:val="center"/>
          </w:tcPr>
          <w:p w14:paraId="39DEDEA8">
            <w:pPr>
              <w:spacing w:line="360" w:lineRule="auto"/>
              <w:jc w:val="center"/>
              <w:rPr>
                <w:szCs w:val="24"/>
              </w:rPr>
            </w:pPr>
            <w:r>
              <w:rPr>
                <w:i/>
                <w:iCs/>
                <w:szCs w:val="24"/>
              </w:rPr>
              <w:t>G</w:t>
            </w:r>
            <w:r>
              <w:rPr>
                <w:szCs w:val="24"/>
                <w:vertAlign w:val="subscript"/>
              </w:rPr>
              <w:t>base</w:t>
            </w:r>
            <w:r>
              <w:rPr>
                <w:szCs w:val="24"/>
              </w:rPr>
              <w:t xml:space="preserve"> = 6.59</w:t>
            </w:r>
          </w:p>
        </w:tc>
        <w:tc>
          <w:tcPr>
            <w:tcW w:w="3412" w:type="dxa"/>
            <w:tcBorders>
              <w:top w:val="single" w:color="auto" w:sz="4" w:space="0"/>
            </w:tcBorders>
            <w:vAlign w:val="center"/>
          </w:tcPr>
          <w:p w14:paraId="36109B6A">
            <w:pPr>
              <w:spacing w:line="360" w:lineRule="auto"/>
              <w:jc w:val="center"/>
              <w:rPr>
                <w:szCs w:val="24"/>
              </w:rPr>
            </w:pPr>
            <w:r>
              <w:rPr>
                <w:szCs w:val="24"/>
              </w:rPr>
              <w:t>-</w:t>
            </w:r>
          </w:p>
        </w:tc>
        <w:tc>
          <w:tcPr>
            <w:tcW w:w="2768" w:type="dxa"/>
            <w:tcBorders>
              <w:top w:val="single" w:color="auto" w:sz="4" w:space="0"/>
            </w:tcBorders>
            <w:vAlign w:val="center"/>
          </w:tcPr>
          <w:p w14:paraId="3626F6D1">
            <w:pPr>
              <w:spacing w:line="360" w:lineRule="auto"/>
              <w:jc w:val="center"/>
              <w:rPr>
                <w:szCs w:val="24"/>
              </w:rPr>
            </w:pPr>
            <w:r>
              <w:rPr>
                <w:szCs w:val="24"/>
              </w:rPr>
              <w:t>-</w:t>
            </w:r>
          </w:p>
        </w:tc>
      </w:tr>
      <w:tr w14:paraId="7DE13608">
        <w:tblPrEx>
          <w:tblCellMar>
            <w:top w:w="0" w:type="dxa"/>
            <w:left w:w="108" w:type="dxa"/>
            <w:bottom w:w="0" w:type="dxa"/>
            <w:right w:w="108" w:type="dxa"/>
          </w:tblCellMar>
        </w:tblPrEx>
        <w:trPr>
          <w:jc w:val="center"/>
        </w:trPr>
        <w:tc>
          <w:tcPr>
            <w:tcW w:w="2122" w:type="dxa"/>
            <w:vAlign w:val="center"/>
          </w:tcPr>
          <w:p w14:paraId="5AE6D4B6">
            <w:pPr>
              <w:spacing w:line="360" w:lineRule="auto"/>
              <w:jc w:val="center"/>
              <w:rPr>
                <w:szCs w:val="24"/>
              </w:rPr>
            </w:pPr>
            <w:r>
              <w:rPr>
                <w:i/>
                <w:iCs/>
                <w:szCs w:val="24"/>
              </w:rPr>
              <w:t>G</w:t>
            </w:r>
            <w:r>
              <w:rPr>
                <w:szCs w:val="24"/>
                <w:vertAlign w:val="subscript"/>
              </w:rPr>
              <w:t>sat</w:t>
            </w:r>
            <w:r>
              <w:rPr>
                <w:szCs w:val="24"/>
              </w:rPr>
              <w:t xml:space="preserve"> = 2184.25</w:t>
            </w:r>
          </w:p>
        </w:tc>
        <w:tc>
          <w:tcPr>
            <w:tcW w:w="3412" w:type="dxa"/>
            <w:vAlign w:val="center"/>
          </w:tcPr>
          <w:p w14:paraId="647B24C7">
            <w:pPr>
              <w:spacing w:line="360" w:lineRule="auto"/>
              <w:jc w:val="center"/>
              <w:rPr>
                <w:szCs w:val="24"/>
              </w:rPr>
            </w:pPr>
            <w:r>
              <w:rPr>
                <w:szCs w:val="24"/>
              </w:rPr>
              <w:t>Δ</w:t>
            </w:r>
            <w:r>
              <w:rPr>
                <w:i/>
                <w:iCs/>
                <w:szCs w:val="24"/>
              </w:rPr>
              <w:t>G</w:t>
            </w:r>
            <w:r>
              <w:rPr>
                <w:szCs w:val="24"/>
                <w:vertAlign w:val="subscript"/>
              </w:rPr>
              <w:t>1</w:t>
            </w:r>
            <w:r>
              <w:rPr>
                <w:szCs w:val="24"/>
              </w:rPr>
              <w:t xml:space="preserve"> = 2176.32</w:t>
            </w:r>
          </w:p>
        </w:tc>
        <w:tc>
          <w:tcPr>
            <w:tcW w:w="2768" w:type="dxa"/>
            <w:vAlign w:val="center"/>
          </w:tcPr>
          <w:p w14:paraId="633EDE40">
            <w:pPr>
              <w:spacing w:line="360" w:lineRule="auto"/>
              <w:jc w:val="center"/>
              <w:rPr>
                <w:szCs w:val="24"/>
              </w:rPr>
            </w:pPr>
            <w:r>
              <w:rPr>
                <w:szCs w:val="24"/>
              </w:rPr>
              <w:t>-</w:t>
            </w:r>
          </w:p>
        </w:tc>
      </w:tr>
      <w:tr w14:paraId="2B8446EA">
        <w:tblPrEx>
          <w:tblCellMar>
            <w:top w:w="0" w:type="dxa"/>
            <w:left w:w="108" w:type="dxa"/>
            <w:bottom w:w="0" w:type="dxa"/>
            <w:right w:w="108" w:type="dxa"/>
          </w:tblCellMar>
        </w:tblPrEx>
        <w:trPr>
          <w:jc w:val="center"/>
        </w:trPr>
        <w:tc>
          <w:tcPr>
            <w:tcW w:w="2122" w:type="dxa"/>
            <w:vAlign w:val="center"/>
          </w:tcPr>
          <w:p w14:paraId="43E2C99E">
            <w:pPr>
              <w:spacing w:line="360" w:lineRule="auto"/>
              <w:jc w:val="center"/>
              <w:rPr>
                <w:szCs w:val="24"/>
              </w:rPr>
            </w:pPr>
            <w:r>
              <w:rPr>
                <w:i/>
                <w:iCs/>
                <w:szCs w:val="24"/>
              </w:rPr>
              <w:t>G</w:t>
            </w:r>
            <w:r>
              <w:rPr>
                <w:szCs w:val="24"/>
                <w:vertAlign w:val="subscript"/>
              </w:rPr>
              <w:t>10 ms-1</w:t>
            </w:r>
            <w:r>
              <w:rPr>
                <w:szCs w:val="24"/>
              </w:rPr>
              <w:t xml:space="preserve"> = 466.98</w:t>
            </w:r>
          </w:p>
        </w:tc>
        <w:tc>
          <w:tcPr>
            <w:tcW w:w="3412" w:type="dxa"/>
            <w:vAlign w:val="center"/>
          </w:tcPr>
          <w:p w14:paraId="6E5D7DD9">
            <w:pPr>
              <w:spacing w:line="360" w:lineRule="auto"/>
              <w:jc w:val="center"/>
              <w:rPr>
                <w:szCs w:val="24"/>
              </w:rPr>
            </w:pPr>
            <w:r>
              <w:rPr>
                <w:szCs w:val="24"/>
              </w:rPr>
              <w:t>Δ</w:t>
            </w:r>
            <w:r>
              <w:rPr>
                <w:i/>
                <w:iCs/>
                <w:szCs w:val="24"/>
              </w:rPr>
              <w:t>G</w:t>
            </w:r>
            <w:r>
              <w:rPr>
                <w:szCs w:val="24"/>
                <w:vertAlign w:val="subscript"/>
              </w:rPr>
              <w:t>2</w:t>
            </w:r>
            <w:r>
              <w:rPr>
                <w:szCs w:val="24"/>
              </w:rPr>
              <w:t xml:space="preserve"> = 460.39</w:t>
            </w:r>
          </w:p>
        </w:tc>
        <w:tc>
          <w:tcPr>
            <w:tcW w:w="2768" w:type="dxa"/>
            <w:vAlign w:val="center"/>
          </w:tcPr>
          <w:p w14:paraId="13B1EAAA">
            <w:pPr>
              <w:spacing w:line="360" w:lineRule="auto"/>
              <w:jc w:val="center"/>
              <w:rPr>
                <w:szCs w:val="24"/>
              </w:rPr>
            </w:pPr>
            <w:r>
              <w:rPr>
                <w:szCs w:val="24"/>
              </w:rPr>
              <w:t>78.85</w:t>
            </w:r>
          </w:p>
        </w:tc>
      </w:tr>
      <w:tr w14:paraId="2A49DB49">
        <w:tblPrEx>
          <w:tblCellMar>
            <w:top w:w="0" w:type="dxa"/>
            <w:left w:w="108" w:type="dxa"/>
            <w:bottom w:w="0" w:type="dxa"/>
            <w:right w:w="108" w:type="dxa"/>
          </w:tblCellMar>
        </w:tblPrEx>
        <w:trPr>
          <w:jc w:val="center"/>
        </w:trPr>
        <w:tc>
          <w:tcPr>
            <w:tcW w:w="2122" w:type="dxa"/>
            <w:vAlign w:val="center"/>
          </w:tcPr>
          <w:p w14:paraId="0CA1399B">
            <w:pPr>
              <w:spacing w:line="360" w:lineRule="auto"/>
              <w:jc w:val="center"/>
              <w:rPr>
                <w:szCs w:val="24"/>
              </w:rPr>
            </w:pPr>
            <w:r>
              <w:rPr>
                <w:i/>
                <w:iCs/>
                <w:szCs w:val="24"/>
              </w:rPr>
              <w:t>G</w:t>
            </w:r>
            <w:r>
              <w:rPr>
                <w:szCs w:val="24"/>
                <w:vertAlign w:val="subscript"/>
              </w:rPr>
              <w:t>400 ms-1</w:t>
            </w:r>
            <w:r>
              <w:rPr>
                <w:szCs w:val="24"/>
              </w:rPr>
              <w:t xml:space="preserve"> = 97.57</w:t>
            </w:r>
          </w:p>
        </w:tc>
        <w:tc>
          <w:tcPr>
            <w:tcW w:w="3412" w:type="dxa"/>
            <w:vAlign w:val="center"/>
          </w:tcPr>
          <w:p w14:paraId="202BA46F">
            <w:pPr>
              <w:spacing w:line="360" w:lineRule="auto"/>
              <w:jc w:val="center"/>
              <w:rPr>
                <w:szCs w:val="24"/>
              </w:rPr>
            </w:pPr>
            <w:r>
              <w:rPr>
                <w:szCs w:val="24"/>
              </w:rPr>
              <w:t>Δ</w:t>
            </w:r>
            <w:r>
              <w:rPr>
                <w:i/>
                <w:iCs/>
                <w:szCs w:val="24"/>
              </w:rPr>
              <w:t>G</w:t>
            </w:r>
            <w:r>
              <w:rPr>
                <w:szCs w:val="24"/>
                <w:vertAlign w:val="subscript"/>
              </w:rPr>
              <w:t>3</w:t>
            </w:r>
            <w:r>
              <w:rPr>
                <w:szCs w:val="24"/>
              </w:rPr>
              <w:t xml:space="preserve"> = 90.98</w:t>
            </w:r>
          </w:p>
        </w:tc>
        <w:tc>
          <w:tcPr>
            <w:tcW w:w="2768" w:type="dxa"/>
            <w:vAlign w:val="center"/>
          </w:tcPr>
          <w:p w14:paraId="455007D9">
            <w:pPr>
              <w:spacing w:line="360" w:lineRule="auto"/>
              <w:jc w:val="center"/>
              <w:rPr>
                <w:szCs w:val="24"/>
              </w:rPr>
            </w:pPr>
            <w:r>
              <w:rPr>
                <w:szCs w:val="24"/>
              </w:rPr>
              <w:t>95.82</w:t>
            </w:r>
          </w:p>
        </w:tc>
      </w:tr>
      <w:tr w14:paraId="1691A125">
        <w:tblPrEx>
          <w:tblCellMar>
            <w:top w:w="0" w:type="dxa"/>
            <w:left w:w="108" w:type="dxa"/>
            <w:bottom w:w="0" w:type="dxa"/>
            <w:right w:w="108" w:type="dxa"/>
          </w:tblCellMar>
        </w:tblPrEx>
        <w:trPr>
          <w:jc w:val="center"/>
        </w:trPr>
        <w:tc>
          <w:tcPr>
            <w:tcW w:w="2122" w:type="dxa"/>
            <w:vAlign w:val="center"/>
          </w:tcPr>
          <w:p w14:paraId="6E6E55FC">
            <w:pPr>
              <w:spacing w:line="360" w:lineRule="auto"/>
              <w:jc w:val="center"/>
              <w:rPr>
                <w:szCs w:val="24"/>
              </w:rPr>
            </w:pPr>
            <w:r>
              <w:rPr>
                <w:i/>
                <w:iCs/>
                <w:szCs w:val="24"/>
              </w:rPr>
              <w:t>G</w:t>
            </w:r>
            <w:r>
              <w:rPr>
                <w:szCs w:val="24"/>
                <w:vertAlign w:val="subscript"/>
              </w:rPr>
              <w:t>10 ms-2</w:t>
            </w:r>
            <w:r>
              <w:rPr>
                <w:szCs w:val="24"/>
              </w:rPr>
              <w:t xml:space="preserve"> = 998.39</w:t>
            </w:r>
          </w:p>
        </w:tc>
        <w:tc>
          <w:tcPr>
            <w:tcW w:w="3412" w:type="dxa"/>
            <w:vAlign w:val="center"/>
          </w:tcPr>
          <w:p w14:paraId="19E595EB">
            <w:pPr>
              <w:spacing w:line="360" w:lineRule="auto"/>
              <w:jc w:val="center"/>
              <w:rPr>
                <w:szCs w:val="24"/>
              </w:rPr>
            </w:pPr>
            <w:r>
              <w:rPr>
                <w:szCs w:val="24"/>
              </w:rPr>
              <w:t>Δ</w:t>
            </w:r>
            <w:r>
              <w:rPr>
                <w:i/>
                <w:iCs/>
                <w:szCs w:val="24"/>
              </w:rPr>
              <w:t>G</w:t>
            </w:r>
            <w:r>
              <w:rPr>
                <w:szCs w:val="24"/>
                <w:vertAlign w:val="subscript"/>
              </w:rPr>
              <w:t>4</w:t>
            </w:r>
            <w:r>
              <w:rPr>
                <w:szCs w:val="24"/>
              </w:rPr>
              <w:t xml:space="preserve"> = 991.80</w:t>
            </w:r>
          </w:p>
        </w:tc>
        <w:tc>
          <w:tcPr>
            <w:tcW w:w="2768" w:type="dxa"/>
            <w:vAlign w:val="center"/>
          </w:tcPr>
          <w:p w14:paraId="17B5051B">
            <w:pPr>
              <w:spacing w:line="360" w:lineRule="auto"/>
              <w:jc w:val="center"/>
              <w:rPr>
                <w:szCs w:val="24"/>
              </w:rPr>
            </w:pPr>
            <w:r>
              <w:rPr>
                <w:szCs w:val="24"/>
              </w:rPr>
              <w:t>54.43</w:t>
            </w:r>
          </w:p>
        </w:tc>
      </w:tr>
      <w:tr w14:paraId="773B830F">
        <w:tblPrEx>
          <w:tblCellMar>
            <w:top w:w="0" w:type="dxa"/>
            <w:left w:w="108" w:type="dxa"/>
            <w:bottom w:w="0" w:type="dxa"/>
            <w:right w:w="108" w:type="dxa"/>
          </w:tblCellMar>
        </w:tblPrEx>
        <w:trPr>
          <w:jc w:val="center"/>
        </w:trPr>
        <w:tc>
          <w:tcPr>
            <w:tcW w:w="2122" w:type="dxa"/>
            <w:tcBorders>
              <w:bottom w:val="single" w:color="auto" w:sz="4" w:space="0"/>
            </w:tcBorders>
            <w:vAlign w:val="center"/>
          </w:tcPr>
          <w:p w14:paraId="6BDFD517">
            <w:pPr>
              <w:spacing w:line="360" w:lineRule="auto"/>
              <w:jc w:val="center"/>
              <w:rPr>
                <w:szCs w:val="24"/>
              </w:rPr>
            </w:pPr>
            <w:r>
              <w:rPr>
                <w:i/>
                <w:iCs/>
                <w:szCs w:val="24"/>
              </w:rPr>
              <w:t>G</w:t>
            </w:r>
            <w:r>
              <w:rPr>
                <w:szCs w:val="24"/>
                <w:vertAlign w:val="subscript"/>
              </w:rPr>
              <w:t>400 ms-2</w:t>
            </w:r>
            <w:r>
              <w:rPr>
                <w:szCs w:val="24"/>
              </w:rPr>
              <w:t xml:space="preserve"> = 173.50</w:t>
            </w:r>
          </w:p>
        </w:tc>
        <w:tc>
          <w:tcPr>
            <w:tcW w:w="3412" w:type="dxa"/>
            <w:tcBorders>
              <w:bottom w:val="single" w:color="auto" w:sz="4" w:space="0"/>
            </w:tcBorders>
            <w:vAlign w:val="center"/>
          </w:tcPr>
          <w:p w14:paraId="04FECC98">
            <w:pPr>
              <w:spacing w:line="360" w:lineRule="auto"/>
              <w:jc w:val="center"/>
              <w:rPr>
                <w:szCs w:val="24"/>
              </w:rPr>
            </w:pPr>
            <w:r>
              <w:rPr>
                <w:szCs w:val="24"/>
              </w:rPr>
              <w:t>Δ</w:t>
            </w:r>
            <w:r>
              <w:rPr>
                <w:i/>
                <w:iCs/>
                <w:szCs w:val="24"/>
              </w:rPr>
              <w:t>G</w:t>
            </w:r>
            <w:r>
              <w:rPr>
                <w:szCs w:val="24"/>
                <w:vertAlign w:val="subscript"/>
              </w:rPr>
              <w:t>5</w:t>
            </w:r>
            <w:r>
              <w:rPr>
                <w:szCs w:val="24"/>
              </w:rPr>
              <w:t xml:space="preserve"> = 173.50</w:t>
            </w:r>
          </w:p>
        </w:tc>
        <w:tc>
          <w:tcPr>
            <w:tcW w:w="2768" w:type="dxa"/>
            <w:tcBorders>
              <w:bottom w:val="single" w:color="auto" w:sz="4" w:space="0"/>
            </w:tcBorders>
            <w:vAlign w:val="center"/>
          </w:tcPr>
          <w:p w14:paraId="3DFB92CC">
            <w:pPr>
              <w:spacing w:line="360" w:lineRule="auto"/>
              <w:jc w:val="center"/>
              <w:rPr>
                <w:szCs w:val="24"/>
              </w:rPr>
            </w:pPr>
            <w:r>
              <w:rPr>
                <w:szCs w:val="24"/>
              </w:rPr>
              <w:t>92.39</w:t>
            </w:r>
          </w:p>
        </w:tc>
      </w:tr>
    </w:tbl>
    <w:p w14:paraId="411FC651">
      <w:pPr>
        <w:rPr>
          <w:b/>
          <w:bCs/>
          <w:szCs w:val="24"/>
          <w:lang w:eastAsia="zh-CN"/>
        </w:rPr>
      </w:pPr>
    </w:p>
    <w:p w14:paraId="7B07F29B">
      <w:pPr>
        <w:rPr>
          <w:b/>
          <w:bCs/>
          <w:szCs w:val="24"/>
          <w:lang w:eastAsia="zh-CN"/>
        </w:rPr>
      </w:pPr>
    </w:p>
    <w:p w14:paraId="7AF314B3">
      <w:pPr>
        <w:rPr>
          <w:b/>
          <w:bCs/>
          <w:szCs w:val="24"/>
          <w:lang w:eastAsia="zh-CN"/>
        </w:rPr>
      </w:pPr>
    </w:p>
    <w:p w14:paraId="5A6E028C">
      <w:pPr>
        <w:rPr>
          <w:b/>
          <w:bCs/>
          <w:szCs w:val="24"/>
          <w:lang w:eastAsia="zh-CN"/>
        </w:rPr>
      </w:pPr>
    </w:p>
    <w:p w14:paraId="4964A7E0">
      <w:pPr>
        <w:jc w:val="center"/>
        <w:rPr>
          <w:szCs w:val="24"/>
        </w:rPr>
      </w:pPr>
      <w:r>
        <w:rPr>
          <w:szCs w:val="24"/>
        </w:rPr>
        <w:drawing>
          <wp:inline distT="0" distB="0" distL="0" distR="0">
            <wp:extent cx="5882005" cy="1433830"/>
            <wp:effectExtent l="0" t="0" r="4445" b="4445"/>
            <wp:docPr id="2226101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10114" name="图片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882005" cy="1433830"/>
                    </a:xfrm>
                    <a:prstGeom prst="rect">
                      <a:avLst/>
                    </a:prstGeom>
                    <a:noFill/>
                    <a:ln>
                      <a:noFill/>
                    </a:ln>
                  </pic:spPr>
                </pic:pic>
              </a:graphicData>
            </a:graphic>
          </wp:inline>
        </w:drawing>
      </w:r>
    </w:p>
    <w:p w14:paraId="35890F3F">
      <w:pPr>
        <w:spacing w:before="120"/>
        <w:jc w:val="both"/>
        <w:rPr>
          <w:color w:val="000000" w:themeColor="text1"/>
          <w:szCs w:val="24"/>
          <w:lang w:eastAsia="zh-CN"/>
          <w14:textFill>
            <w14:solidFill>
              <w14:schemeClr w14:val="tx1"/>
            </w14:solidFill>
          </w14:textFill>
        </w:rPr>
      </w:pPr>
      <w:r>
        <w:rPr>
          <w:b/>
          <w:bCs/>
          <w:szCs w:val="24"/>
        </w:rPr>
        <w:t>Fig. S2</w:t>
      </w:r>
      <w:r>
        <w:rPr>
          <w:b/>
          <w:bCs/>
          <w:szCs w:val="24"/>
          <w:lang w:eastAsia="zh-CN"/>
        </w:rPr>
        <w:t>2</w:t>
      </w:r>
      <w:r>
        <w:rPr>
          <w:b/>
          <w:bCs/>
          <w:szCs w:val="24"/>
        </w:rPr>
        <w:t xml:space="preserve"> Three implementations of Pavlov's experiment in single-molecule devices via gate-bias voltage pulses</w:t>
      </w:r>
      <w:r>
        <w:rPr>
          <w:b/>
          <w:bCs/>
          <w:szCs w:val="24"/>
          <w:lang w:eastAsia="zh-CN"/>
        </w:rPr>
        <w:t xml:space="preserve">. </w:t>
      </w:r>
      <w:r>
        <w:rPr>
          <w:szCs w:val="24"/>
        </w:rPr>
        <w:t xml:space="preserve">The readout gate voltage of the device was set to </w:t>
      </w:r>
      <w:r>
        <w:rPr>
          <w:color w:val="000000"/>
          <w:szCs w:val="24"/>
          <w:lang w:eastAsia="zh-CN"/>
        </w:rPr>
        <w:t>–</w:t>
      </w:r>
      <w:r>
        <w:rPr>
          <w:szCs w:val="24"/>
        </w:rPr>
        <w:t xml:space="preserve">0.4 V, and the readout bias voltage to 0.1 V. </w:t>
      </w:r>
      <w:r>
        <w:rPr>
          <w:color w:val="000000" w:themeColor="text1"/>
          <w:szCs w:val="24"/>
          <w:lang w:eastAsia="zh-CN"/>
          <w14:textFill>
            <w14:solidFill>
              <w14:schemeClr w14:val="tx1"/>
            </w14:solidFill>
          </w14:textFill>
        </w:rPr>
        <w:t xml:space="preserve">Initially, four repeated stimulations combining gate voltage and bias voltage pulses </w:t>
      </w:r>
      <w:r>
        <w:rPr>
          <w:color w:val="000000" w:themeColor="text1"/>
          <w:szCs w:val="24"/>
          <w14:textFill>
            <w14:solidFill>
              <w14:schemeClr w14:val="tx1"/>
            </w14:solidFill>
          </w14:textFill>
        </w:rPr>
        <w:t>(</w:t>
      </w:r>
      <w:r>
        <w:rPr>
          <w:i/>
          <w:iCs/>
          <w:color w:val="000000" w:themeColor="text1"/>
          <w:szCs w:val="24"/>
          <w14:textFill>
            <w14:solidFill>
              <w14:schemeClr w14:val="tx1"/>
            </w14:solidFill>
          </w14:textFill>
        </w:rPr>
        <w:t>V</w:t>
      </w:r>
      <w:r>
        <w:rPr>
          <w:color w:val="000000" w:themeColor="text1"/>
          <w:szCs w:val="24"/>
          <w:vertAlign w:val="subscript"/>
          <w14:textFill>
            <w14:solidFill>
              <w14:schemeClr w14:val="tx1"/>
            </w14:solidFill>
          </w14:textFill>
        </w:rPr>
        <w:t>G</w:t>
      </w:r>
      <w:r>
        <w:rPr>
          <w:color w:val="000000" w:themeColor="text1"/>
          <w:szCs w:val="24"/>
          <w14:textFill>
            <w14:solidFill>
              <w14:schemeClr w14:val="tx1"/>
            </w14:solidFill>
          </w14:textFill>
        </w:rPr>
        <w:t xml:space="preserve"> = </w:t>
      </w:r>
      <w:r>
        <w:rPr>
          <w:color w:val="000000"/>
          <w:szCs w:val="24"/>
          <w:lang w:eastAsia="zh-CN"/>
        </w:rPr>
        <w:t>–</w:t>
      </w:r>
      <w:r>
        <w:rPr>
          <w:color w:val="000000" w:themeColor="text1"/>
          <w:szCs w:val="24"/>
          <w14:textFill>
            <w14:solidFill>
              <w14:schemeClr w14:val="tx1"/>
            </w14:solidFill>
          </w14:textFill>
        </w:rPr>
        <w:t xml:space="preserve">0.2 V, </w:t>
      </w:r>
      <w:r>
        <w:rPr>
          <w:i/>
          <w:iCs/>
          <w:color w:val="000000" w:themeColor="text1"/>
          <w:szCs w:val="24"/>
          <w14:textFill>
            <w14:solidFill>
              <w14:schemeClr w14:val="tx1"/>
            </w14:solidFill>
          </w14:textFill>
        </w:rPr>
        <w:t>V</w:t>
      </w:r>
      <w:r>
        <w:rPr>
          <w:color w:val="000000" w:themeColor="text1"/>
          <w:szCs w:val="24"/>
          <w:vertAlign w:val="subscript"/>
          <w14:textFill>
            <w14:solidFill>
              <w14:schemeClr w14:val="tx1"/>
            </w14:solidFill>
          </w14:textFill>
        </w:rPr>
        <w:t>B</w:t>
      </w:r>
      <w:r>
        <w:rPr>
          <w:color w:val="000000" w:themeColor="text1"/>
          <w:szCs w:val="24"/>
          <w14:textFill>
            <w14:solidFill>
              <w14:schemeClr w14:val="tx1"/>
            </w14:solidFill>
          </w14:textFill>
        </w:rPr>
        <w:t xml:space="preserve"> = 0.6 V, </w:t>
      </w:r>
      <w:r>
        <w:rPr>
          <w:i/>
          <w:iCs/>
          <w:color w:val="000000" w:themeColor="text1"/>
          <w:szCs w:val="24"/>
          <w14:textFill>
            <w14:solidFill>
              <w14:schemeClr w14:val="tx1"/>
            </w14:solidFill>
          </w14:textFill>
        </w:rPr>
        <w:t>t</w:t>
      </w:r>
      <w:r>
        <w:rPr>
          <w:color w:val="000000" w:themeColor="text1"/>
          <w:szCs w:val="24"/>
          <w:vertAlign w:val="subscript"/>
          <w14:textFill>
            <w14:solidFill>
              <w14:schemeClr w14:val="tx1"/>
            </w14:solidFill>
          </w14:textFill>
        </w:rPr>
        <w:t xml:space="preserve">p </w:t>
      </w:r>
      <w:r>
        <w:rPr>
          <w:color w:val="000000" w:themeColor="text1"/>
          <w:szCs w:val="24"/>
          <w14:textFill>
            <w14:solidFill>
              <w14:schemeClr w14:val="tx1"/>
            </w14:solidFill>
          </w14:textFill>
        </w:rPr>
        <w:t>= 50 ms, ∆</w:t>
      </w:r>
      <w:r>
        <w:rPr>
          <w:i/>
          <w:iCs/>
          <w:color w:val="000000" w:themeColor="text1"/>
          <w:szCs w:val="24"/>
          <w14:textFill>
            <w14:solidFill>
              <w14:schemeClr w14:val="tx1"/>
            </w14:solidFill>
          </w14:textFill>
        </w:rPr>
        <w:t>t</w:t>
      </w:r>
      <w:r>
        <w:rPr>
          <w:color w:val="000000" w:themeColor="text1"/>
          <w:szCs w:val="24"/>
          <w14:textFill>
            <w14:solidFill>
              <w14:schemeClr w14:val="tx1"/>
            </w14:solidFill>
          </w14:textFill>
        </w:rPr>
        <w:t xml:space="preserve"> = 10 ms)</w:t>
      </w:r>
      <w:r>
        <w:rPr>
          <w:color w:val="000000" w:themeColor="text1"/>
          <w:szCs w:val="24"/>
          <w:lang w:eastAsia="zh-CN"/>
          <w14:textFill>
            <w14:solidFill>
              <w14:schemeClr w14:val="tx1"/>
            </w14:solidFill>
          </w14:textFill>
        </w:rPr>
        <w:t xml:space="preserve"> were applied to mimic the scenario of a dog hearing a bell (Conditioned Stimulus, CS). Subsequently, after an interval of </w:t>
      </w:r>
      <w:r>
        <w:rPr>
          <w:color w:val="000000" w:themeColor="text1"/>
          <w:szCs w:val="24"/>
          <w14:textFill>
            <w14:solidFill>
              <w14:schemeClr w14:val="tx1"/>
            </w14:solidFill>
          </w14:textFill>
        </w:rPr>
        <w:t>∆</w:t>
      </w:r>
      <w:r>
        <w:rPr>
          <w:i/>
          <w:iCs/>
          <w:color w:val="000000" w:themeColor="text1"/>
          <w:szCs w:val="24"/>
          <w14:textFill>
            <w14:solidFill>
              <w14:schemeClr w14:val="tx1"/>
            </w14:solidFill>
          </w14:textFill>
        </w:rPr>
        <w:t>t</w:t>
      </w:r>
      <w:r>
        <w:rPr>
          <w:color w:val="000000" w:themeColor="text1"/>
          <w:szCs w:val="24"/>
          <w14:textFill>
            <w14:solidFill>
              <w14:schemeClr w14:val="tx1"/>
            </w14:solidFill>
          </w14:textFill>
        </w:rPr>
        <w:t xml:space="preserve"> = 100</w:t>
      </w:r>
      <w:r>
        <w:rPr>
          <w:color w:val="000000" w:themeColor="text1"/>
          <w:szCs w:val="24"/>
          <w:lang w:eastAsia="zh-CN"/>
          <w14:textFill>
            <w14:solidFill>
              <w14:schemeClr w14:val="tx1"/>
            </w14:solidFill>
          </w14:textFill>
        </w:rPr>
        <w:t xml:space="preserve"> ms, another set of four repeated pulses </w:t>
      </w:r>
      <w:r>
        <w:rPr>
          <w:color w:val="000000" w:themeColor="text1"/>
          <w:szCs w:val="24"/>
          <w14:textFill>
            <w14:solidFill>
              <w14:schemeClr w14:val="tx1"/>
            </w14:solidFill>
          </w14:textFill>
        </w:rPr>
        <w:t>(</w:t>
      </w:r>
      <w:r>
        <w:rPr>
          <w:i/>
          <w:iCs/>
          <w:color w:val="000000" w:themeColor="text1"/>
          <w:szCs w:val="24"/>
          <w14:textFill>
            <w14:solidFill>
              <w14:schemeClr w14:val="tx1"/>
            </w14:solidFill>
          </w14:textFill>
        </w:rPr>
        <w:t>V</w:t>
      </w:r>
      <w:r>
        <w:rPr>
          <w:color w:val="000000" w:themeColor="text1"/>
          <w:szCs w:val="24"/>
          <w:vertAlign w:val="subscript"/>
          <w14:textFill>
            <w14:solidFill>
              <w14:schemeClr w14:val="tx1"/>
            </w14:solidFill>
          </w14:textFill>
        </w:rPr>
        <w:t>G</w:t>
      </w:r>
      <w:r>
        <w:rPr>
          <w:color w:val="000000" w:themeColor="text1"/>
          <w:szCs w:val="24"/>
          <w14:textFill>
            <w14:solidFill>
              <w14:schemeClr w14:val="tx1"/>
            </w14:solidFill>
          </w14:textFill>
        </w:rPr>
        <w:t xml:space="preserve"> = 0.5 V, </w:t>
      </w:r>
      <w:r>
        <w:rPr>
          <w:i/>
          <w:iCs/>
          <w:color w:val="000000" w:themeColor="text1"/>
          <w:szCs w:val="24"/>
          <w14:textFill>
            <w14:solidFill>
              <w14:schemeClr w14:val="tx1"/>
            </w14:solidFill>
          </w14:textFill>
        </w:rPr>
        <w:t>V</w:t>
      </w:r>
      <w:r>
        <w:rPr>
          <w:color w:val="000000" w:themeColor="text1"/>
          <w:szCs w:val="24"/>
          <w:vertAlign w:val="subscript"/>
          <w14:textFill>
            <w14:solidFill>
              <w14:schemeClr w14:val="tx1"/>
            </w14:solidFill>
          </w14:textFill>
        </w:rPr>
        <w:t>B</w:t>
      </w:r>
      <w:r>
        <w:rPr>
          <w:color w:val="000000" w:themeColor="text1"/>
          <w:szCs w:val="24"/>
          <w14:textFill>
            <w14:solidFill>
              <w14:schemeClr w14:val="tx1"/>
            </w14:solidFill>
          </w14:textFill>
        </w:rPr>
        <w:t xml:space="preserve"> = 0.3 V, </w:t>
      </w:r>
      <w:r>
        <w:rPr>
          <w:i/>
          <w:iCs/>
          <w:color w:val="000000" w:themeColor="text1"/>
          <w:szCs w:val="24"/>
          <w14:textFill>
            <w14:solidFill>
              <w14:schemeClr w14:val="tx1"/>
            </w14:solidFill>
          </w14:textFill>
        </w:rPr>
        <w:t>t</w:t>
      </w:r>
      <w:r>
        <w:rPr>
          <w:color w:val="000000" w:themeColor="text1"/>
          <w:szCs w:val="24"/>
          <w:vertAlign w:val="subscript"/>
          <w14:textFill>
            <w14:solidFill>
              <w14:schemeClr w14:val="tx1"/>
            </w14:solidFill>
          </w14:textFill>
        </w:rPr>
        <w:t xml:space="preserve">p </w:t>
      </w:r>
      <w:r>
        <w:rPr>
          <w:color w:val="000000" w:themeColor="text1"/>
          <w:szCs w:val="24"/>
          <w14:textFill>
            <w14:solidFill>
              <w14:schemeClr w14:val="tx1"/>
            </w14:solidFill>
          </w14:textFill>
        </w:rPr>
        <w:t>= 50 ms, ∆</w:t>
      </w:r>
      <w:r>
        <w:rPr>
          <w:i/>
          <w:iCs/>
          <w:color w:val="000000" w:themeColor="text1"/>
          <w:szCs w:val="24"/>
          <w14:textFill>
            <w14:solidFill>
              <w14:schemeClr w14:val="tx1"/>
            </w14:solidFill>
          </w14:textFill>
        </w:rPr>
        <w:t>t</w:t>
      </w:r>
      <w:r>
        <w:rPr>
          <w:color w:val="000000" w:themeColor="text1"/>
          <w:szCs w:val="24"/>
          <w14:textFill>
            <w14:solidFill>
              <w14:schemeClr w14:val="tx1"/>
            </w14:solidFill>
          </w14:textFill>
        </w:rPr>
        <w:t xml:space="preserve"> = 10 ms)</w:t>
      </w:r>
      <w:r>
        <w:rPr>
          <w:color w:val="000000" w:themeColor="text1"/>
          <w:szCs w:val="24"/>
          <w:lang w:eastAsia="zh-CN"/>
          <w14:textFill>
            <w14:solidFill>
              <w14:schemeClr w14:val="tx1"/>
            </w14:solidFill>
          </w14:textFill>
        </w:rPr>
        <w:t xml:space="preserve"> was applied to simulate the scenario of a dog seeing food (Unconditioned Stimulus, UCS). Next, following a 100 ms interval, four further repeated pulses</w:t>
      </w:r>
      <w:r>
        <w:rPr>
          <w:color w:val="000000" w:themeColor="text1"/>
          <w:szCs w:val="24"/>
          <w14:textFill>
            <w14:solidFill>
              <w14:schemeClr w14:val="tx1"/>
            </w14:solidFill>
          </w14:textFill>
        </w:rPr>
        <w:t xml:space="preserve"> (</w:t>
      </w:r>
      <w:r>
        <w:rPr>
          <w:i/>
          <w:iCs/>
          <w:color w:val="000000" w:themeColor="text1"/>
          <w:szCs w:val="24"/>
          <w14:textFill>
            <w14:solidFill>
              <w14:schemeClr w14:val="tx1"/>
            </w14:solidFill>
          </w14:textFill>
        </w:rPr>
        <w:t>V</w:t>
      </w:r>
      <w:r>
        <w:rPr>
          <w:color w:val="000000" w:themeColor="text1"/>
          <w:szCs w:val="24"/>
          <w:vertAlign w:val="subscript"/>
          <w14:textFill>
            <w14:solidFill>
              <w14:schemeClr w14:val="tx1"/>
            </w14:solidFill>
          </w14:textFill>
        </w:rPr>
        <w:t>G</w:t>
      </w:r>
      <w:r>
        <w:rPr>
          <w:color w:val="000000" w:themeColor="text1"/>
          <w:szCs w:val="24"/>
          <w14:textFill>
            <w14:solidFill>
              <w14:schemeClr w14:val="tx1"/>
            </w14:solidFill>
          </w14:textFill>
        </w:rPr>
        <w:t xml:space="preserve"> = 0.5 V, </w:t>
      </w:r>
      <w:r>
        <w:rPr>
          <w:i/>
          <w:iCs/>
          <w:color w:val="000000" w:themeColor="text1"/>
          <w:szCs w:val="24"/>
          <w14:textFill>
            <w14:solidFill>
              <w14:schemeClr w14:val="tx1"/>
            </w14:solidFill>
          </w14:textFill>
        </w:rPr>
        <w:t>V</w:t>
      </w:r>
      <w:r>
        <w:rPr>
          <w:color w:val="000000" w:themeColor="text1"/>
          <w:szCs w:val="24"/>
          <w:vertAlign w:val="subscript"/>
          <w14:textFill>
            <w14:solidFill>
              <w14:schemeClr w14:val="tx1"/>
            </w14:solidFill>
          </w14:textFill>
        </w:rPr>
        <w:t>B</w:t>
      </w:r>
      <w:r>
        <w:rPr>
          <w:color w:val="000000" w:themeColor="text1"/>
          <w:szCs w:val="24"/>
          <w14:textFill>
            <w14:solidFill>
              <w14:schemeClr w14:val="tx1"/>
            </w14:solidFill>
          </w14:textFill>
        </w:rPr>
        <w:t xml:space="preserve"> = 0.6 V, </w:t>
      </w:r>
      <w:r>
        <w:rPr>
          <w:i/>
          <w:iCs/>
          <w:color w:val="000000" w:themeColor="text1"/>
          <w:szCs w:val="24"/>
          <w14:textFill>
            <w14:solidFill>
              <w14:schemeClr w14:val="tx1"/>
            </w14:solidFill>
          </w14:textFill>
        </w:rPr>
        <w:t>t</w:t>
      </w:r>
      <w:r>
        <w:rPr>
          <w:color w:val="000000" w:themeColor="text1"/>
          <w:szCs w:val="24"/>
          <w:vertAlign w:val="subscript"/>
          <w14:textFill>
            <w14:solidFill>
              <w14:schemeClr w14:val="tx1"/>
            </w14:solidFill>
          </w14:textFill>
        </w:rPr>
        <w:t xml:space="preserve">p </w:t>
      </w:r>
      <w:r>
        <w:rPr>
          <w:color w:val="000000" w:themeColor="text1"/>
          <w:szCs w:val="24"/>
          <w14:textFill>
            <w14:solidFill>
              <w14:schemeClr w14:val="tx1"/>
            </w14:solidFill>
          </w14:textFill>
        </w:rPr>
        <w:t>= 50 ms, ∆</w:t>
      </w:r>
      <w:r>
        <w:rPr>
          <w:i/>
          <w:iCs/>
          <w:color w:val="000000" w:themeColor="text1"/>
          <w:szCs w:val="24"/>
          <w14:textFill>
            <w14:solidFill>
              <w14:schemeClr w14:val="tx1"/>
            </w14:solidFill>
          </w14:textFill>
        </w:rPr>
        <w:t>t</w:t>
      </w:r>
      <w:r>
        <w:rPr>
          <w:color w:val="000000" w:themeColor="text1"/>
          <w:szCs w:val="24"/>
          <w14:textFill>
            <w14:solidFill>
              <w14:schemeClr w14:val="tx1"/>
            </w14:solidFill>
          </w14:textFill>
        </w:rPr>
        <w:t xml:space="preserve"> = 10 ms)</w:t>
      </w:r>
      <w:r>
        <w:rPr>
          <w:color w:val="000000" w:themeColor="text1"/>
          <w:szCs w:val="24"/>
          <w:lang w:eastAsia="zh-CN"/>
          <w14:textFill>
            <w14:solidFill>
              <w14:schemeClr w14:val="tx1"/>
            </w14:solidFill>
          </w14:textFill>
        </w:rPr>
        <w:t xml:space="preserve"> were administered to represent the dog simultaneously hearing the bell and seeing food (combined CS and UCS). Finally, after another 100 ms interval, four conditioning pulses </w:t>
      </w:r>
      <w:r>
        <w:rPr>
          <w:color w:val="000000" w:themeColor="text1"/>
          <w:szCs w:val="24"/>
          <w14:textFill>
            <w14:solidFill>
              <w14:schemeClr w14:val="tx1"/>
            </w14:solidFill>
          </w14:textFill>
        </w:rPr>
        <w:t>(</w:t>
      </w:r>
      <w:r>
        <w:rPr>
          <w:i/>
          <w:iCs/>
          <w:color w:val="000000" w:themeColor="text1"/>
          <w:szCs w:val="24"/>
          <w14:textFill>
            <w14:solidFill>
              <w14:schemeClr w14:val="tx1"/>
            </w14:solidFill>
          </w14:textFill>
        </w:rPr>
        <w:t>V</w:t>
      </w:r>
      <w:r>
        <w:rPr>
          <w:color w:val="000000" w:themeColor="text1"/>
          <w:szCs w:val="24"/>
          <w:vertAlign w:val="subscript"/>
          <w14:textFill>
            <w14:solidFill>
              <w14:schemeClr w14:val="tx1"/>
            </w14:solidFill>
          </w14:textFill>
        </w:rPr>
        <w:t>G</w:t>
      </w:r>
      <w:r>
        <w:rPr>
          <w:color w:val="000000" w:themeColor="text1"/>
          <w:szCs w:val="24"/>
          <w14:textFill>
            <w14:solidFill>
              <w14:schemeClr w14:val="tx1"/>
            </w14:solidFill>
          </w14:textFill>
        </w:rPr>
        <w:t xml:space="preserve"> = </w:t>
      </w:r>
      <w:r>
        <w:rPr>
          <w:color w:val="000000"/>
          <w:szCs w:val="24"/>
          <w:lang w:eastAsia="zh-CN"/>
        </w:rPr>
        <w:t>–</w:t>
      </w:r>
      <w:r>
        <w:rPr>
          <w:color w:val="000000" w:themeColor="text1"/>
          <w:szCs w:val="24"/>
          <w14:textFill>
            <w14:solidFill>
              <w14:schemeClr w14:val="tx1"/>
            </w14:solidFill>
          </w14:textFill>
        </w:rPr>
        <w:t xml:space="preserve">0.2 V, </w:t>
      </w:r>
      <w:r>
        <w:rPr>
          <w:i/>
          <w:iCs/>
          <w:color w:val="000000" w:themeColor="text1"/>
          <w:szCs w:val="24"/>
          <w14:textFill>
            <w14:solidFill>
              <w14:schemeClr w14:val="tx1"/>
            </w14:solidFill>
          </w14:textFill>
        </w:rPr>
        <w:t>V</w:t>
      </w:r>
      <w:r>
        <w:rPr>
          <w:color w:val="000000" w:themeColor="text1"/>
          <w:szCs w:val="24"/>
          <w:vertAlign w:val="subscript"/>
          <w14:textFill>
            <w14:solidFill>
              <w14:schemeClr w14:val="tx1"/>
            </w14:solidFill>
          </w14:textFill>
        </w:rPr>
        <w:t>B</w:t>
      </w:r>
      <w:r>
        <w:rPr>
          <w:color w:val="000000" w:themeColor="text1"/>
          <w:szCs w:val="24"/>
          <w14:textFill>
            <w14:solidFill>
              <w14:schemeClr w14:val="tx1"/>
            </w14:solidFill>
          </w14:textFill>
        </w:rPr>
        <w:t xml:space="preserve"> = 0.6 V, </w:t>
      </w:r>
      <w:r>
        <w:rPr>
          <w:i/>
          <w:iCs/>
          <w:color w:val="000000" w:themeColor="text1"/>
          <w:szCs w:val="24"/>
          <w14:textFill>
            <w14:solidFill>
              <w14:schemeClr w14:val="tx1"/>
            </w14:solidFill>
          </w14:textFill>
        </w:rPr>
        <w:t>t</w:t>
      </w:r>
      <w:r>
        <w:rPr>
          <w:color w:val="000000" w:themeColor="text1"/>
          <w:szCs w:val="24"/>
          <w:vertAlign w:val="subscript"/>
          <w14:textFill>
            <w14:solidFill>
              <w14:schemeClr w14:val="tx1"/>
            </w14:solidFill>
          </w14:textFill>
        </w:rPr>
        <w:t>p</w:t>
      </w:r>
      <w:r>
        <w:rPr>
          <w:color w:val="000000" w:themeColor="text1"/>
          <w:szCs w:val="24"/>
          <w14:textFill>
            <w14:solidFill>
              <w14:schemeClr w14:val="tx1"/>
            </w14:solidFill>
          </w14:textFill>
        </w:rPr>
        <w:t>= 50 ms, ∆</w:t>
      </w:r>
      <w:r>
        <w:rPr>
          <w:i/>
          <w:iCs/>
          <w:color w:val="000000" w:themeColor="text1"/>
          <w:szCs w:val="24"/>
          <w14:textFill>
            <w14:solidFill>
              <w14:schemeClr w14:val="tx1"/>
            </w14:solidFill>
          </w14:textFill>
        </w:rPr>
        <w:t xml:space="preserve">t </w:t>
      </w:r>
      <w:r>
        <w:rPr>
          <w:color w:val="000000" w:themeColor="text1"/>
          <w:szCs w:val="24"/>
          <w14:textFill>
            <w14:solidFill>
              <w14:schemeClr w14:val="tx1"/>
            </w14:solidFill>
          </w14:textFill>
        </w:rPr>
        <w:t>= 10 ms)</w:t>
      </w:r>
      <w:r>
        <w:rPr>
          <w:color w:val="000000" w:themeColor="text1"/>
          <w:szCs w:val="24"/>
          <w:lang w:eastAsia="zh-CN"/>
          <w14:textFill>
            <w14:solidFill>
              <w14:schemeClr w14:val="tx1"/>
            </w14:solidFill>
          </w14:textFill>
        </w:rPr>
        <w:t xml:space="preserve"> were reapplied to recapitulate the bell stimulus in Pavlovian conditioning, achieving biomimetic emulation of associative learning behavior.</w:t>
      </w:r>
    </w:p>
    <w:p w14:paraId="661AB9AD">
      <w:pPr>
        <w:rPr>
          <w:szCs w:val="24"/>
          <w:lang w:eastAsia="zh-CN"/>
        </w:rPr>
      </w:pPr>
    </w:p>
    <w:p w14:paraId="2A52213A">
      <w:pPr>
        <w:jc w:val="center"/>
        <w:rPr>
          <w:szCs w:val="24"/>
          <w:lang w:eastAsia="zh-CN"/>
        </w:rPr>
      </w:pPr>
      <w:r>
        <w:rPr>
          <w:szCs w:val="24"/>
        </w:rPr>
        <w:drawing>
          <wp:inline distT="0" distB="0" distL="0" distR="0">
            <wp:extent cx="2879725" cy="2581910"/>
            <wp:effectExtent l="0" t="0" r="0" b="8890"/>
            <wp:docPr id="8081939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93971" name="图片 5"/>
                    <pic:cNvPicPr>
                      <a:picLocks noChangeAspect="1" noChangeArrowheads="1"/>
                    </pic:cNvPicPr>
                  </pic:nvPicPr>
                  <pic:blipFill>
                    <a:blip r:embed="rId67">
                      <a:extLst>
                        <a:ext uri="{28A0092B-C50C-407E-A947-70E740481C1C}">
                          <a14:useLocalDpi xmlns:a14="http://schemas.microsoft.com/office/drawing/2010/main" val="0"/>
                        </a:ext>
                      </a:extLst>
                    </a:blip>
                    <a:srcRect l="13568" t="6553" r="14103" b="6980"/>
                    <a:stretch>
                      <a:fillRect/>
                    </a:stretch>
                  </pic:blipFill>
                  <pic:spPr>
                    <a:xfrm>
                      <a:off x="0" y="0"/>
                      <a:ext cx="2880000" cy="2582228"/>
                    </a:xfrm>
                    <a:prstGeom prst="rect">
                      <a:avLst/>
                    </a:prstGeom>
                    <a:noFill/>
                    <a:ln>
                      <a:noFill/>
                    </a:ln>
                  </pic:spPr>
                </pic:pic>
              </a:graphicData>
            </a:graphic>
          </wp:inline>
        </w:drawing>
      </w:r>
    </w:p>
    <w:p w14:paraId="2BD17FD2">
      <w:pPr>
        <w:spacing w:before="120"/>
        <w:jc w:val="both"/>
        <w:rPr>
          <w:b/>
          <w:bCs/>
          <w:szCs w:val="24"/>
          <w:lang w:eastAsia="zh-CN"/>
        </w:rPr>
      </w:pPr>
      <w:r>
        <w:rPr>
          <w:b/>
          <w:bCs/>
          <w:color w:val="000000" w:themeColor="text1"/>
          <w:szCs w:val="24"/>
          <w14:textFill>
            <w14:solidFill>
              <w14:schemeClr w14:val="tx1"/>
            </w14:solidFill>
          </w14:textFill>
        </w:rPr>
        <w:t>Fig. S2</w:t>
      </w:r>
      <w:r>
        <w:rPr>
          <w:b/>
          <w:bCs/>
          <w:color w:val="000000" w:themeColor="text1"/>
          <w:szCs w:val="24"/>
          <w:lang w:eastAsia="zh-CN"/>
          <w14:textFill>
            <w14:solidFill>
              <w14:schemeClr w14:val="tx1"/>
            </w14:solidFill>
          </w14:textFill>
        </w:rPr>
        <w:t>3</w:t>
      </w:r>
      <w:r>
        <w:rPr>
          <w:b/>
          <w:bCs/>
          <w:color w:val="EE0000"/>
          <w:szCs w:val="24"/>
          <w:lang w:eastAsia="zh-CN"/>
        </w:rPr>
        <w:t xml:space="preserve"> </w:t>
      </w:r>
      <w:r>
        <w:rPr>
          <w:b/>
          <w:bCs/>
          <w:color w:val="000000" w:themeColor="text1"/>
          <w:szCs w:val="24"/>
          <w:lang w:eastAsia="zh-CN"/>
          <w14:textFill>
            <w14:solidFill>
              <w14:schemeClr w14:val="tx1"/>
            </w14:solidFill>
          </w14:textFill>
        </w:rPr>
        <w:t>Comparative statistics of conductance values before and after Pavlovian conditioning in single-molecule devices (Supporting to the right panel of Fig. 3</w:t>
      </w:r>
      <w:r>
        <w:rPr>
          <w:rFonts w:hint="eastAsia"/>
          <w:b/>
          <w:bCs/>
          <w:color w:val="000000" w:themeColor="text1"/>
          <w:szCs w:val="24"/>
          <w:lang w:eastAsia="zh-CN"/>
          <w14:textFill>
            <w14:solidFill>
              <w14:schemeClr w14:val="tx1"/>
            </w14:solidFill>
          </w14:textFill>
        </w:rPr>
        <w:t>b</w:t>
      </w:r>
      <w:r>
        <w:rPr>
          <w:b/>
          <w:bCs/>
          <w:color w:val="000000" w:themeColor="text1"/>
          <w:szCs w:val="24"/>
          <w:lang w:eastAsia="zh-CN"/>
          <w14:textFill>
            <w14:solidFill>
              <w14:schemeClr w14:val="tx1"/>
            </w14:solidFill>
          </w14:textFill>
        </w:rPr>
        <w:t>).</w:t>
      </w:r>
    </w:p>
    <w:p w14:paraId="1F215549">
      <w:pPr>
        <w:rPr>
          <w:szCs w:val="24"/>
          <w:lang w:eastAsia="zh-CN"/>
        </w:rPr>
      </w:pPr>
    </w:p>
    <w:p w14:paraId="5CD19B9F">
      <w:pPr>
        <w:spacing w:line="360" w:lineRule="auto"/>
        <w:jc w:val="center"/>
        <w:rPr>
          <w:szCs w:val="24"/>
        </w:rPr>
      </w:pPr>
      <w:r>
        <w:rPr>
          <w:szCs w:val="24"/>
        </w:rPr>
        <w:drawing>
          <wp:inline distT="0" distB="0" distL="0" distR="0">
            <wp:extent cx="3375660" cy="2753360"/>
            <wp:effectExtent l="0" t="0" r="5715" b="8890"/>
            <wp:docPr id="20069099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09920" name="图片 16"/>
                    <pic:cNvPicPr>
                      <a:picLocks noChangeAspect="1" noChangeArrowheads="1"/>
                    </pic:cNvPicPr>
                  </pic:nvPicPr>
                  <pic:blipFill>
                    <a:blip r:embed="rId68">
                      <a:extLst>
                        <a:ext uri="{28A0092B-C50C-407E-A947-70E740481C1C}">
                          <a14:useLocalDpi xmlns:a14="http://schemas.microsoft.com/office/drawing/2010/main" val="0"/>
                        </a:ext>
                      </a:extLst>
                    </a:blip>
                    <a:srcRect l="6277" t="10028" r="8846" b="4945"/>
                    <a:stretch>
                      <a:fillRect/>
                    </a:stretch>
                  </pic:blipFill>
                  <pic:spPr>
                    <a:xfrm>
                      <a:off x="0" y="0"/>
                      <a:ext cx="3375660" cy="2753360"/>
                    </a:xfrm>
                    <a:prstGeom prst="rect">
                      <a:avLst/>
                    </a:prstGeom>
                    <a:noFill/>
                    <a:ln>
                      <a:noFill/>
                    </a:ln>
                  </pic:spPr>
                </pic:pic>
              </a:graphicData>
            </a:graphic>
          </wp:inline>
        </w:drawing>
      </w:r>
    </w:p>
    <w:p w14:paraId="704C1540">
      <w:pPr>
        <w:spacing w:before="120"/>
        <w:jc w:val="both"/>
        <w:rPr>
          <w:b/>
          <w:bCs/>
          <w:szCs w:val="24"/>
        </w:rPr>
      </w:pPr>
      <w:r>
        <w:rPr>
          <w:b/>
          <w:bCs/>
          <w:szCs w:val="24"/>
        </w:rPr>
        <w:t>Fig. S2</w:t>
      </w:r>
      <w:r>
        <w:rPr>
          <w:b/>
          <w:bCs/>
          <w:szCs w:val="24"/>
          <w:lang w:eastAsia="zh-CN"/>
        </w:rPr>
        <w:t>4</w:t>
      </w:r>
      <w:r>
        <w:rPr>
          <w:b/>
          <w:bCs/>
          <w:szCs w:val="24"/>
        </w:rPr>
        <w:t xml:space="preserve"> Application of the single-molecule organic electrochemical transistor lies in Morse code decoding under combined stimulation of presynaptic gate voltage (</w:t>
      </w:r>
      <w:r>
        <w:rPr>
          <w:b/>
          <w:bCs/>
          <w:i/>
          <w:iCs/>
          <w:szCs w:val="24"/>
        </w:rPr>
        <w:t>V</w:t>
      </w:r>
      <w:r>
        <w:rPr>
          <w:b/>
          <w:bCs/>
          <w:szCs w:val="24"/>
          <w:vertAlign w:val="subscript"/>
        </w:rPr>
        <w:t>G</w:t>
      </w:r>
      <w:r>
        <w:rPr>
          <w:b/>
          <w:bCs/>
          <w:szCs w:val="24"/>
        </w:rPr>
        <w:t xml:space="preserve"> = 0.5 V) and bias voltage pulses (</w:t>
      </w:r>
      <w:r>
        <w:rPr>
          <w:b/>
          <w:bCs/>
          <w:i/>
          <w:iCs/>
          <w:szCs w:val="24"/>
        </w:rPr>
        <w:t>V</w:t>
      </w:r>
      <w:r>
        <w:rPr>
          <w:b/>
          <w:bCs/>
          <w:szCs w:val="24"/>
          <w:vertAlign w:val="subscript"/>
        </w:rPr>
        <w:t>B</w:t>
      </w:r>
      <w:r>
        <w:rPr>
          <w:b/>
          <w:bCs/>
          <w:szCs w:val="24"/>
        </w:rPr>
        <w:t xml:space="preserve"> = 0.6 V) utilizing MEO-TBT, with the readout gate voltage set to </w:t>
      </w:r>
      <w:r>
        <w:rPr>
          <w:b/>
          <w:bCs/>
          <w:color w:val="000000"/>
          <w:szCs w:val="24"/>
          <w:lang w:eastAsia="zh-CN"/>
        </w:rPr>
        <w:t>–</w:t>
      </w:r>
      <w:r>
        <w:rPr>
          <w:b/>
          <w:bCs/>
          <w:szCs w:val="24"/>
        </w:rPr>
        <w:t xml:space="preserve">0.4 V and the readout bias voltage set to 0.1 V. An output curve under pulse duration of </w:t>
      </w:r>
      <w:r>
        <w:rPr>
          <w:b/>
          <w:bCs/>
          <w:i/>
          <w:iCs/>
          <w:szCs w:val="24"/>
        </w:rPr>
        <w:t>t</w:t>
      </w:r>
      <w:r>
        <w:rPr>
          <w:b/>
          <w:bCs/>
          <w:szCs w:val="24"/>
          <w:vertAlign w:val="subscript"/>
        </w:rPr>
        <w:t>p</w:t>
      </w:r>
      <w:r>
        <w:rPr>
          <w:b/>
          <w:bCs/>
          <w:szCs w:val="24"/>
        </w:rPr>
        <w:t xml:space="preserve"> = 25 ms represents “.”, while an output curve under pulse duration of </w:t>
      </w:r>
      <w:r>
        <w:rPr>
          <w:b/>
          <w:bCs/>
          <w:i/>
          <w:iCs/>
          <w:szCs w:val="24"/>
        </w:rPr>
        <w:t>t</w:t>
      </w:r>
      <w:r>
        <w:rPr>
          <w:b/>
          <w:bCs/>
          <w:szCs w:val="24"/>
          <w:vertAlign w:val="subscript"/>
        </w:rPr>
        <w:t>p</w:t>
      </w:r>
      <w:r>
        <w:rPr>
          <w:b/>
          <w:bCs/>
          <w:szCs w:val="24"/>
        </w:rPr>
        <w:t xml:space="preserve"> = 75 ms represents “-”.</w:t>
      </w:r>
    </w:p>
    <w:p w14:paraId="31D82712">
      <w:pPr>
        <w:rPr>
          <w:b/>
          <w:bCs/>
          <w:szCs w:val="24"/>
        </w:rPr>
      </w:pPr>
    </w:p>
    <w:p w14:paraId="4C5FA9E4">
      <w:pPr>
        <w:spacing w:after="120" w:line="360" w:lineRule="auto"/>
        <w:jc w:val="center"/>
        <w:rPr>
          <w:b/>
          <w:bCs/>
          <w:szCs w:val="24"/>
        </w:rPr>
      </w:pPr>
      <w:r>
        <w:rPr>
          <w:szCs w:val="24"/>
        </w:rPr>
        <w:drawing>
          <wp:inline distT="0" distB="0" distL="0" distR="0">
            <wp:extent cx="5073650" cy="2406650"/>
            <wp:effectExtent l="0" t="0" r="0" b="0"/>
            <wp:docPr id="4564405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40510" name="图片 8"/>
                    <pic:cNvPicPr>
                      <a:picLocks noChangeAspect="1" noChangeArrowheads="1"/>
                    </pic:cNvPicPr>
                  </pic:nvPicPr>
                  <pic:blipFill>
                    <a:blip r:embed="rId69">
                      <a:extLst>
                        <a:ext uri="{28A0092B-C50C-407E-A947-70E740481C1C}">
                          <a14:useLocalDpi xmlns:a14="http://schemas.microsoft.com/office/drawing/2010/main" val="0"/>
                        </a:ext>
                      </a:extLst>
                    </a:blip>
                    <a:srcRect l="9295" t="5087" r="5341" b="38220"/>
                    <a:stretch>
                      <a:fillRect/>
                    </a:stretch>
                  </pic:blipFill>
                  <pic:spPr>
                    <a:xfrm>
                      <a:off x="0" y="0"/>
                      <a:ext cx="5073650" cy="2406650"/>
                    </a:xfrm>
                    <a:prstGeom prst="rect">
                      <a:avLst/>
                    </a:prstGeom>
                    <a:noFill/>
                    <a:ln>
                      <a:noFill/>
                    </a:ln>
                  </pic:spPr>
                </pic:pic>
              </a:graphicData>
            </a:graphic>
          </wp:inline>
        </w:drawing>
      </w:r>
    </w:p>
    <w:p w14:paraId="0D056D31">
      <w:pPr>
        <w:spacing w:before="120"/>
        <w:jc w:val="both"/>
        <w:rPr>
          <w:b/>
          <w:bCs/>
          <w:szCs w:val="24"/>
        </w:rPr>
      </w:pPr>
      <w:r>
        <w:rPr>
          <w:b/>
          <w:bCs/>
          <w:color w:val="000000"/>
          <w:szCs w:val="24"/>
        </w:rPr>
        <w:t>Fig. S2</w:t>
      </w:r>
      <w:r>
        <w:rPr>
          <w:b/>
          <w:bCs/>
          <w:color w:val="000000"/>
          <w:szCs w:val="24"/>
          <w:lang w:eastAsia="zh-CN"/>
        </w:rPr>
        <w:t>5</w:t>
      </w:r>
      <w:r>
        <w:rPr>
          <w:b/>
          <w:bCs/>
          <w:szCs w:val="24"/>
        </w:rPr>
        <w:t xml:space="preserve"> Statistics of steady-state conductance values after termination of different Morse code pulse sequences</w:t>
      </w:r>
      <w:r>
        <w:rPr>
          <w:b/>
          <w:bCs/>
          <w:szCs w:val="24"/>
          <w:lang w:eastAsia="zh-CN"/>
        </w:rPr>
        <w:t xml:space="preserve"> (Supporting to the right panel of Fig. 3</w:t>
      </w:r>
      <w:r>
        <w:rPr>
          <w:rFonts w:hint="eastAsia"/>
          <w:b/>
          <w:bCs/>
          <w:szCs w:val="24"/>
          <w:lang w:eastAsia="zh-CN"/>
        </w:rPr>
        <w:t>c</w:t>
      </w:r>
      <w:r>
        <w:rPr>
          <w:b/>
          <w:bCs/>
          <w:szCs w:val="24"/>
          <w:lang w:eastAsia="zh-CN"/>
        </w:rPr>
        <w:t>)</w:t>
      </w:r>
      <w:r>
        <w:rPr>
          <w:b/>
          <w:bCs/>
          <w:szCs w:val="24"/>
        </w:rPr>
        <w:t>.</w:t>
      </w:r>
    </w:p>
    <w:p w14:paraId="243AB0B7">
      <w:pPr>
        <w:rPr>
          <w:b/>
          <w:bCs/>
          <w:szCs w:val="24"/>
        </w:rPr>
      </w:pPr>
    </w:p>
    <w:p w14:paraId="7A9A33FE">
      <w:pPr>
        <w:spacing w:after="120" w:line="360" w:lineRule="auto"/>
        <w:jc w:val="center"/>
        <w:rPr>
          <w:b/>
          <w:bCs/>
          <w:color w:val="000000"/>
          <w:szCs w:val="24"/>
        </w:rPr>
      </w:pPr>
      <w:bookmarkStart w:id="12" w:name="_Hlk194918180"/>
      <w:r>
        <w:drawing>
          <wp:inline distT="0" distB="0" distL="0" distR="0">
            <wp:extent cx="5022850" cy="2651125"/>
            <wp:effectExtent l="0" t="0" r="6350" b="0"/>
            <wp:docPr id="67318756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87569" name="图片 11"/>
                    <pic:cNvPicPr>
                      <a:picLocks noChangeAspect="1" noChangeArrowheads="1"/>
                    </pic:cNvPicPr>
                  </pic:nvPicPr>
                  <pic:blipFill>
                    <a:blip r:embed="rId70">
                      <a:extLst>
                        <a:ext uri="{28A0092B-C50C-407E-A947-70E740481C1C}">
                          <a14:useLocalDpi xmlns:a14="http://schemas.microsoft.com/office/drawing/2010/main" val="0"/>
                        </a:ext>
                      </a:extLst>
                    </a:blip>
                    <a:srcRect l="126" t="6285"/>
                    <a:stretch>
                      <a:fillRect/>
                    </a:stretch>
                  </pic:blipFill>
                  <pic:spPr>
                    <a:xfrm>
                      <a:off x="0" y="0"/>
                      <a:ext cx="5024240" cy="2651859"/>
                    </a:xfrm>
                    <a:prstGeom prst="rect">
                      <a:avLst/>
                    </a:prstGeom>
                    <a:noFill/>
                    <a:ln>
                      <a:noFill/>
                    </a:ln>
                  </pic:spPr>
                </pic:pic>
              </a:graphicData>
            </a:graphic>
          </wp:inline>
        </w:drawing>
      </w:r>
    </w:p>
    <w:p w14:paraId="08C99D79">
      <w:pPr>
        <w:spacing w:before="120"/>
        <w:jc w:val="both"/>
        <w:rPr>
          <w:szCs w:val="24"/>
        </w:rPr>
      </w:pPr>
      <w:r>
        <w:rPr>
          <w:b/>
          <w:bCs/>
          <w:color w:val="000000"/>
          <w:szCs w:val="24"/>
        </w:rPr>
        <w:t>Fig. S</w:t>
      </w:r>
      <w:bookmarkEnd w:id="12"/>
      <w:r>
        <w:rPr>
          <w:b/>
          <w:bCs/>
          <w:color w:val="000000"/>
          <w:szCs w:val="24"/>
        </w:rPr>
        <w:t>2</w:t>
      </w:r>
      <w:r>
        <w:rPr>
          <w:b/>
          <w:bCs/>
          <w:color w:val="000000"/>
          <w:szCs w:val="24"/>
          <w:lang w:eastAsia="zh-CN"/>
        </w:rPr>
        <w:t>6</w:t>
      </w:r>
      <w:r>
        <w:rPr>
          <w:b/>
          <w:bCs/>
          <w:color w:val="FF0000"/>
          <w:szCs w:val="24"/>
        </w:rPr>
        <w:t xml:space="preserve"> </w:t>
      </w:r>
      <w:r>
        <w:rPr>
          <w:b/>
          <w:bCs/>
          <w:szCs w:val="24"/>
        </w:rPr>
        <w:t>Network architecture and learning dynamics of the dual-exponential spiking neural network.</w:t>
      </w:r>
      <w:r>
        <w:rPr>
          <w:szCs w:val="24"/>
        </w:rPr>
        <w:t xml:space="preserve"> </w:t>
      </w:r>
      <w:r>
        <w:rPr>
          <w:rFonts w:hint="eastAsia"/>
          <w:b/>
          <w:bCs/>
          <w:szCs w:val="24"/>
          <w:lang w:eastAsia="zh-CN"/>
        </w:rPr>
        <w:t>a</w:t>
      </w:r>
      <w:r>
        <w:rPr>
          <w:b/>
          <w:bCs/>
          <w:szCs w:val="24"/>
        </w:rPr>
        <w:t>,</w:t>
      </w:r>
      <w:r>
        <w:rPr>
          <w:szCs w:val="24"/>
        </w:rPr>
        <w:t xml:space="preserve"> Biologically interpretable hierarchical processing architecture: The input layer (28 × 28 pixels) employs Poisson temporal encoding to generate spike trains.</w:t>
      </w:r>
      <w:r>
        <w:rPr>
          <w:szCs w:val="24"/>
          <w:lang w:eastAsia="zh-CN"/>
        </w:rPr>
        <w:t xml:space="preserve"> </w:t>
      </w:r>
      <w:r>
        <w:rPr>
          <w:szCs w:val="24"/>
        </w:rPr>
        <w:t xml:space="preserve">The dual-exponential synaptic conductance pathways implement dimensional reduction through two synaptic layers (784→128→10 units) with antagonistic integration dynamics. </w:t>
      </w:r>
      <w:r>
        <w:rPr>
          <w:rFonts w:hint="eastAsia"/>
          <w:b/>
          <w:bCs/>
          <w:szCs w:val="24"/>
          <w:lang w:eastAsia="zh-CN"/>
        </w:rPr>
        <w:t>b</w:t>
      </w:r>
      <w:r>
        <w:rPr>
          <w:b/>
          <w:bCs/>
          <w:szCs w:val="24"/>
        </w:rPr>
        <w:t>,</w:t>
      </w:r>
      <w:r>
        <w:rPr>
          <w:b/>
          <w:bCs/>
          <w:szCs w:val="24"/>
          <w:lang w:eastAsia="zh-CN"/>
        </w:rPr>
        <w:t xml:space="preserve"> </w:t>
      </w:r>
      <w:r>
        <w:rPr>
          <w:szCs w:val="24"/>
        </w:rPr>
        <w:t xml:space="preserve">Training loss trajectory shows cross-entropy minimization via spatio-temporal backpropagation (BPTT), converging to a final </w:t>
      </w:r>
      <w:r>
        <w:rPr>
          <w:i/>
          <w:iCs/>
          <w:szCs w:val="24"/>
        </w:rPr>
        <w:t>L</w:t>
      </w:r>
      <w:r>
        <w:rPr>
          <w:szCs w:val="24"/>
          <w:vertAlign w:val="subscript"/>
        </w:rPr>
        <w:t>train</w:t>
      </w:r>
      <w:r>
        <w:rPr>
          <w:szCs w:val="24"/>
        </w:rPr>
        <w:t xml:space="preserve"> = 1.626. </w:t>
      </w:r>
      <w:r>
        <w:rPr>
          <w:rFonts w:hint="eastAsia"/>
          <w:b/>
          <w:bCs/>
          <w:szCs w:val="24"/>
          <w:lang w:eastAsia="zh-CN"/>
        </w:rPr>
        <w:t>c</w:t>
      </w:r>
      <w:r>
        <w:rPr>
          <w:b/>
          <w:bCs/>
          <w:szCs w:val="24"/>
        </w:rPr>
        <w:t>,</w:t>
      </w:r>
      <w:r>
        <w:rPr>
          <w:szCs w:val="24"/>
        </w:rPr>
        <w:t xml:space="preserve"> Validation accuracy progression reaches 97.4% peak performance.</w:t>
      </w:r>
      <w:r>
        <w:rPr>
          <w:b/>
          <w:bCs/>
          <w:szCs w:val="24"/>
        </w:rPr>
        <w:t xml:space="preserve"> </w:t>
      </w:r>
      <w:r>
        <w:rPr>
          <w:rFonts w:hint="eastAsia"/>
          <w:b/>
          <w:bCs/>
          <w:szCs w:val="24"/>
          <w:lang w:eastAsia="zh-CN"/>
        </w:rPr>
        <w:t>d</w:t>
      </w:r>
      <w:r>
        <w:rPr>
          <w:b/>
          <w:bCs/>
          <w:szCs w:val="24"/>
        </w:rPr>
        <w:t xml:space="preserve">, </w:t>
      </w:r>
      <w:r>
        <w:rPr>
          <w:szCs w:val="24"/>
        </w:rPr>
        <w:t>Test set evaluation demonstrates 96.9% classification accuracy with a 0.5% generalization gap.</w:t>
      </w:r>
    </w:p>
    <w:p w14:paraId="39AAEAB9">
      <w:pPr>
        <w:rPr>
          <w:szCs w:val="24"/>
          <w:lang w:eastAsia="zh-CN"/>
        </w:rPr>
      </w:pPr>
    </w:p>
    <w:p w14:paraId="6CFB84C9">
      <w:pPr>
        <w:pStyle w:val="104"/>
        <w:spacing w:before="120"/>
        <w:jc w:val="both"/>
        <w:rPr>
          <w:b/>
          <w:bCs/>
          <w:szCs w:val="24"/>
          <w:u w:val="none"/>
          <w:lang w:eastAsia="zh-CN"/>
        </w:rPr>
      </w:pPr>
      <w:r>
        <w:rPr>
          <w:b/>
          <w:bCs/>
          <w:szCs w:val="24"/>
          <w:u w:val="none"/>
        </w:rPr>
        <w:t>S4. Mechanism of neuromorphic devices constructed with a single molecule as the component</w:t>
      </w:r>
    </w:p>
    <w:p w14:paraId="0821FB19">
      <w:pPr>
        <w:rPr>
          <w:szCs w:val="24"/>
          <w:lang w:eastAsia="zh-CN"/>
        </w:rPr>
      </w:pPr>
    </w:p>
    <w:p w14:paraId="1AAAAD19">
      <w:pPr>
        <w:spacing w:before="120"/>
        <w:jc w:val="center"/>
        <w:rPr>
          <w:szCs w:val="24"/>
        </w:rPr>
      </w:pPr>
      <w:r>
        <w:drawing>
          <wp:inline distT="0" distB="0" distL="0" distR="0">
            <wp:extent cx="4679950" cy="1983105"/>
            <wp:effectExtent l="0" t="0" r="6350" b="0"/>
            <wp:docPr id="4703445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44538" name="图片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680000" cy="1983500"/>
                    </a:xfrm>
                    <a:prstGeom prst="rect">
                      <a:avLst/>
                    </a:prstGeom>
                    <a:noFill/>
                    <a:ln>
                      <a:noFill/>
                    </a:ln>
                  </pic:spPr>
                </pic:pic>
              </a:graphicData>
            </a:graphic>
          </wp:inline>
        </w:drawing>
      </w:r>
    </w:p>
    <w:p w14:paraId="20BF68B5">
      <w:pPr>
        <w:spacing w:before="120"/>
        <w:jc w:val="both"/>
        <w:rPr>
          <w:szCs w:val="24"/>
        </w:rPr>
      </w:pPr>
      <w:r>
        <w:rPr>
          <w:b/>
          <w:bCs/>
          <w:color w:val="000000"/>
          <w:szCs w:val="24"/>
        </w:rPr>
        <w:t>Fig</w:t>
      </w:r>
      <w:r>
        <w:rPr>
          <w:b/>
          <w:bCs/>
          <w:color w:val="000000"/>
          <w:szCs w:val="24"/>
          <w:lang w:eastAsia="zh-CN"/>
        </w:rPr>
        <w:t>.</w:t>
      </w:r>
      <w:r>
        <w:rPr>
          <w:b/>
          <w:bCs/>
          <w:color w:val="000000"/>
          <w:szCs w:val="24"/>
        </w:rPr>
        <w:t xml:space="preserve"> S2</w:t>
      </w:r>
      <w:r>
        <w:rPr>
          <w:b/>
          <w:bCs/>
          <w:color w:val="000000"/>
          <w:szCs w:val="24"/>
          <w:lang w:eastAsia="zh-CN"/>
        </w:rPr>
        <w:t>7</w:t>
      </w:r>
      <w:r>
        <w:rPr>
          <w:b/>
          <w:bCs/>
          <w:color w:val="000000"/>
          <w:szCs w:val="24"/>
        </w:rPr>
        <w:t xml:space="preserve"> </w:t>
      </w:r>
      <w:r>
        <w:rPr>
          <w:b/>
          <w:bCs/>
          <w:szCs w:val="24"/>
        </w:rPr>
        <w:t>Large scale force-field molecular dynamic (FFMD) simulations were carried to investigate the ionic migration of TEA</w:t>
      </w:r>
      <w:r>
        <w:rPr>
          <w:b/>
          <w:bCs/>
          <w:szCs w:val="24"/>
          <w:vertAlign w:val="superscript"/>
        </w:rPr>
        <w:t>+</w:t>
      </w:r>
      <w:r>
        <w:rPr>
          <w:b/>
          <w:bCs/>
          <w:szCs w:val="24"/>
        </w:rPr>
        <w:t xml:space="preserve"> and PF</w:t>
      </w:r>
      <w:r>
        <w:rPr>
          <w:b/>
          <w:bCs/>
          <w:szCs w:val="24"/>
          <w:vertAlign w:val="subscript"/>
        </w:rPr>
        <w:t>6</w:t>
      </w:r>
      <w:r>
        <w:rPr>
          <w:rFonts w:eastAsia="宋体"/>
          <w:szCs w:val="24"/>
        </w:rPr>
        <w:t>⁻</w:t>
      </w:r>
      <w:r>
        <w:rPr>
          <w:b/>
          <w:bCs/>
          <w:szCs w:val="24"/>
        </w:rPr>
        <w:t xml:space="preserve"> driven by the external electric field. </w:t>
      </w:r>
      <w:r>
        <w:rPr>
          <w:rFonts w:hint="eastAsia"/>
          <w:b/>
          <w:bCs/>
          <w:szCs w:val="24"/>
          <w:lang w:eastAsia="zh-CN"/>
        </w:rPr>
        <w:t>a</w:t>
      </w:r>
      <w:r>
        <w:rPr>
          <w:szCs w:val="24"/>
        </w:rPr>
        <w:t>, The box contained with PC, 0.2M TEA</w:t>
      </w:r>
      <w:r>
        <w:rPr>
          <w:szCs w:val="24"/>
          <w:vertAlign w:val="superscript"/>
        </w:rPr>
        <w:t>+</w:t>
      </w:r>
      <w:r>
        <w:rPr>
          <w:szCs w:val="24"/>
        </w:rPr>
        <w:t xml:space="preserve"> and 0.2 M PF</w:t>
      </w:r>
      <w:r>
        <w:rPr>
          <w:szCs w:val="24"/>
          <w:vertAlign w:val="subscript"/>
        </w:rPr>
        <w:t>6</w:t>
      </w:r>
      <w:r>
        <w:rPr>
          <w:rFonts w:eastAsia="宋体"/>
          <w:szCs w:val="24"/>
        </w:rPr>
        <w:t>⁻</w:t>
      </w:r>
      <w:r>
        <w:rPr>
          <w:szCs w:val="24"/>
        </w:rPr>
        <w:t xml:space="preserve"> for the equilibrium MD simulations. </w:t>
      </w:r>
      <w:r>
        <w:rPr>
          <w:rFonts w:hint="eastAsia"/>
          <w:b/>
          <w:bCs/>
          <w:szCs w:val="24"/>
          <w:lang w:eastAsia="zh-CN"/>
        </w:rPr>
        <w:t>b</w:t>
      </w:r>
      <w:r>
        <w:rPr>
          <w:szCs w:val="24"/>
        </w:rPr>
        <w:t>, The relation between mean square displacement and simulated time of TEA</w:t>
      </w:r>
      <w:r>
        <w:rPr>
          <w:szCs w:val="24"/>
          <w:vertAlign w:val="superscript"/>
        </w:rPr>
        <w:t>+</w:t>
      </w:r>
      <w:r>
        <w:rPr>
          <w:szCs w:val="24"/>
        </w:rPr>
        <w:t xml:space="preserve"> and 0.2 M PF</w:t>
      </w:r>
      <w:r>
        <w:rPr>
          <w:szCs w:val="24"/>
          <w:vertAlign w:val="subscript"/>
        </w:rPr>
        <w:t>6</w:t>
      </w:r>
      <w:r>
        <w:rPr>
          <w:rFonts w:eastAsia="宋体"/>
          <w:szCs w:val="24"/>
        </w:rPr>
        <w:t>⁻</w:t>
      </w:r>
      <w:r>
        <w:rPr>
          <w:szCs w:val="24"/>
        </w:rPr>
        <w:t xml:space="preserve"> obtained from equilibrium molecular dynamic simulations.</w:t>
      </w:r>
    </w:p>
    <w:p w14:paraId="6A20AC50">
      <w:pPr>
        <w:rPr>
          <w:szCs w:val="24"/>
        </w:rPr>
      </w:pPr>
    </w:p>
    <w:p w14:paraId="027F5AA0">
      <w:pPr>
        <w:spacing w:line="360" w:lineRule="auto"/>
        <w:jc w:val="center"/>
        <w:rPr>
          <w:szCs w:val="24"/>
        </w:rPr>
      </w:pPr>
      <w:r>
        <w:drawing>
          <wp:inline distT="0" distB="0" distL="0" distR="0">
            <wp:extent cx="4319905" cy="1750060"/>
            <wp:effectExtent l="0" t="0" r="4445" b="2540"/>
            <wp:docPr id="9308737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73726" name="图片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4320000" cy="1750615"/>
                    </a:xfrm>
                    <a:prstGeom prst="rect">
                      <a:avLst/>
                    </a:prstGeom>
                    <a:noFill/>
                    <a:ln>
                      <a:noFill/>
                    </a:ln>
                  </pic:spPr>
                </pic:pic>
              </a:graphicData>
            </a:graphic>
          </wp:inline>
        </w:drawing>
      </w:r>
    </w:p>
    <w:p w14:paraId="6AC44C44">
      <w:pPr>
        <w:spacing w:before="120"/>
        <w:jc w:val="both"/>
        <w:rPr>
          <w:szCs w:val="24"/>
        </w:rPr>
      </w:pPr>
      <w:r>
        <w:rPr>
          <w:b/>
          <w:bCs/>
          <w:szCs w:val="24"/>
        </w:rPr>
        <w:t>Fig. S2</w:t>
      </w:r>
      <w:r>
        <w:rPr>
          <w:b/>
          <w:bCs/>
          <w:szCs w:val="24"/>
          <w:lang w:eastAsia="zh-CN"/>
        </w:rPr>
        <w:t>8</w:t>
      </w:r>
      <w:r>
        <w:rPr>
          <w:b/>
          <w:bCs/>
          <w:szCs w:val="24"/>
        </w:rPr>
        <w:t xml:space="preserve"> Comparison of diffusion coefficients between </w:t>
      </w:r>
      <w:bookmarkStart w:id="13" w:name="_Hlk175085008"/>
      <w:r>
        <w:rPr>
          <w:b/>
          <w:bCs/>
          <w:szCs w:val="24"/>
        </w:rPr>
        <w:t>tetrabutylammonium cation</w:t>
      </w:r>
      <w:bookmarkEnd w:id="13"/>
      <w:r>
        <w:rPr>
          <w:b/>
          <w:bCs/>
          <w:szCs w:val="24"/>
        </w:rPr>
        <w:t xml:space="preserve"> and </w:t>
      </w:r>
      <w:bookmarkStart w:id="14" w:name="_Hlk175086194"/>
      <w:r>
        <w:rPr>
          <w:b/>
          <w:bCs/>
          <w:szCs w:val="24"/>
        </w:rPr>
        <w:t>hexafluorophosphate anion</w:t>
      </w:r>
      <w:bookmarkEnd w:id="14"/>
      <w:r>
        <w:rPr>
          <w:b/>
          <w:bCs/>
          <w:szCs w:val="24"/>
        </w:rPr>
        <w:t>.</w:t>
      </w:r>
      <w:r>
        <w:rPr>
          <w:szCs w:val="24"/>
        </w:rPr>
        <w:t xml:space="preserve"> </w:t>
      </w:r>
      <w:r>
        <w:rPr>
          <w:b/>
          <w:bCs/>
          <w:szCs w:val="24"/>
        </w:rPr>
        <w:t xml:space="preserve">The diffusion coefficient is ascertained through fitting to the equation, wherein </w:t>
      </w:r>
      <w:r>
        <w:rPr>
          <w:b/>
          <w:bCs/>
          <w:i/>
          <w:iCs/>
          <w:szCs w:val="24"/>
        </w:rPr>
        <w:t>I</w:t>
      </w:r>
      <w:r>
        <w:rPr>
          <w:b/>
          <w:bCs/>
          <w:szCs w:val="24"/>
        </w:rPr>
        <w:t xml:space="preserve"> = </w:t>
      </w:r>
      <w:r>
        <w:rPr>
          <w:b/>
          <w:bCs/>
          <w:i/>
          <w:iCs/>
          <w:szCs w:val="24"/>
        </w:rPr>
        <w:t>I</w:t>
      </w:r>
      <w:r>
        <w:rPr>
          <w:b/>
          <w:bCs/>
          <w:szCs w:val="24"/>
          <w:vertAlign w:val="subscript"/>
        </w:rPr>
        <w:t>0</w:t>
      </w:r>
      <w:r>
        <w:rPr>
          <w:b/>
          <w:bCs/>
          <w:szCs w:val="24"/>
        </w:rPr>
        <w:t>*exp(-</w:t>
      </w:r>
      <w:r>
        <w:rPr>
          <w:b/>
          <w:bCs/>
          <w:i/>
          <w:iCs/>
          <w:szCs w:val="24"/>
        </w:rPr>
        <w:t>D</w:t>
      </w:r>
      <w:r>
        <w:rPr>
          <w:b/>
          <w:bCs/>
          <w:szCs w:val="24"/>
        </w:rPr>
        <w:t>*SQR(2*π*</w:t>
      </w:r>
      <w:r>
        <w:rPr>
          <w:b/>
          <w:bCs/>
          <w:i/>
          <w:iCs/>
          <w:szCs w:val="24"/>
        </w:rPr>
        <w:t>γ</w:t>
      </w:r>
      <w:r>
        <w:rPr>
          <w:b/>
          <w:bCs/>
          <w:szCs w:val="24"/>
        </w:rPr>
        <w:t>*</w:t>
      </w:r>
      <w:r>
        <w:rPr>
          <w:b/>
          <w:bCs/>
          <w:i/>
          <w:iCs/>
          <w:szCs w:val="24"/>
        </w:rPr>
        <w:t>G</w:t>
      </w:r>
      <w:r>
        <w:rPr>
          <w:b/>
          <w:bCs/>
          <w:szCs w:val="24"/>
          <w:vertAlign w:val="subscript"/>
        </w:rPr>
        <w:t>i</w:t>
      </w:r>
      <w:r>
        <w:rPr>
          <w:b/>
          <w:bCs/>
          <w:szCs w:val="24"/>
        </w:rPr>
        <w:t>*</w:t>
      </w:r>
      <w:r>
        <w:rPr>
          <w:b/>
          <w:bCs/>
          <w:i/>
          <w:iCs/>
          <w:szCs w:val="24"/>
        </w:rPr>
        <w:t>L</w:t>
      </w:r>
      <w:r>
        <w:rPr>
          <w:b/>
          <w:bCs/>
          <w:szCs w:val="24"/>
          <w:vertAlign w:val="subscript"/>
        </w:rPr>
        <w:t>D</w:t>
      </w:r>
      <w:r>
        <w:rPr>
          <w:b/>
          <w:bCs/>
          <w:szCs w:val="24"/>
        </w:rPr>
        <w:t>)*(</w:t>
      </w:r>
      <w:r>
        <w:rPr>
          <w:b/>
          <w:bCs/>
          <w:i/>
          <w:iCs/>
          <w:szCs w:val="24"/>
        </w:rPr>
        <w:t>B</w:t>
      </w:r>
      <w:r>
        <w:rPr>
          <w:b/>
          <w:bCs/>
          <w:szCs w:val="24"/>
          <w:vertAlign w:val="subscript"/>
        </w:rPr>
        <w:t>D</w:t>
      </w:r>
      <w:r>
        <w:rPr>
          <w:b/>
          <w:bCs/>
          <w:szCs w:val="24"/>
        </w:rPr>
        <w:t>-</w:t>
      </w:r>
      <w:r>
        <w:rPr>
          <w:b/>
          <w:bCs/>
          <w:i/>
          <w:iCs/>
          <w:szCs w:val="24"/>
        </w:rPr>
        <w:t>L</w:t>
      </w:r>
      <w:r>
        <w:rPr>
          <w:b/>
          <w:bCs/>
          <w:szCs w:val="24"/>
          <w:vertAlign w:val="subscript"/>
        </w:rPr>
        <w:t>D</w:t>
      </w:r>
      <w:r>
        <w:rPr>
          <w:b/>
          <w:bCs/>
          <w:szCs w:val="24"/>
        </w:rPr>
        <w:t>/3)*1e</w:t>
      </w:r>
      <w:r>
        <w:rPr>
          <w:b/>
          <w:bCs/>
          <w:szCs w:val="24"/>
          <w:vertAlign w:val="superscript"/>
        </w:rPr>
        <w:t>4</w:t>
      </w:r>
      <w:r>
        <w:rPr>
          <w:b/>
          <w:bCs/>
          <w:szCs w:val="24"/>
        </w:rPr>
        <w:t xml:space="preserve">). </w:t>
      </w:r>
      <w:r>
        <w:rPr>
          <w:rFonts w:hint="eastAsia"/>
          <w:b/>
          <w:bCs/>
          <w:szCs w:val="24"/>
          <w:lang w:eastAsia="zh-CN"/>
        </w:rPr>
        <w:t>a</w:t>
      </w:r>
      <w:r>
        <w:rPr>
          <w:b/>
          <w:bCs/>
          <w:szCs w:val="24"/>
        </w:rPr>
        <w:t xml:space="preserve">, </w:t>
      </w:r>
      <w:r>
        <w:rPr>
          <w:szCs w:val="24"/>
        </w:rPr>
        <w:t>Decay of the integrated signal of the tetrabutylammonium cation as</w:t>
      </w:r>
      <w:r>
        <w:rPr>
          <w:b/>
          <w:bCs/>
          <w:szCs w:val="24"/>
        </w:rPr>
        <w:t xml:space="preserve"> </w:t>
      </w:r>
      <w:r>
        <w:rPr>
          <w:szCs w:val="24"/>
        </w:rPr>
        <w:t xml:space="preserve">a function of the amplitude of the encoding and decoding gradients. The diffusion coefficient is </w:t>
      </w:r>
      <w:r>
        <w:rPr>
          <w:i/>
          <w:iCs/>
          <w:szCs w:val="24"/>
        </w:rPr>
        <w:t>D</w:t>
      </w:r>
      <w:r>
        <w:rPr>
          <w:szCs w:val="24"/>
        </w:rPr>
        <w:t xml:space="preserve"> = 3.048</w:t>
      </w:r>
      <w:r>
        <w:rPr>
          <w:szCs w:val="24"/>
          <w:lang w:eastAsia="zh-CN"/>
        </w:rPr>
        <w:t xml:space="preserve"> × 10</w:t>
      </w:r>
      <w:r>
        <w:rPr>
          <w:szCs w:val="24"/>
          <w:vertAlign w:val="superscript"/>
        </w:rPr>
        <w:t xml:space="preserve">-10 </w:t>
      </w:r>
      <w:r>
        <w:rPr>
          <w:szCs w:val="24"/>
        </w:rPr>
        <w:t>m</w:t>
      </w:r>
      <w:r>
        <w:rPr>
          <w:szCs w:val="24"/>
          <w:vertAlign w:val="superscript"/>
        </w:rPr>
        <w:t>2</w:t>
      </w:r>
      <w:r>
        <w:rPr>
          <w:szCs w:val="24"/>
        </w:rPr>
        <w:t>/s.</w:t>
      </w:r>
      <w:r>
        <w:rPr>
          <w:b/>
          <w:bCs/>
          <w:szCs w:val="24"/>
        </w:rPr>
        <w:t xml:space="preserve"> </w:t>
      </w:r>
      <w:r>
        <w:rPr>
          <w:rFonts w:hint="eastAsia"/>
          <w:b/>
          <w:bCs/>
          <w:szCs w:val="24"/>
          <w:lang w:eastAsia="zh-CN"/>
        </w:rPr>
        <w:t>b</w:t>
      </w:r>
      <w:r>
        <w:rPr>
          <w:b/>
          <w:bCs/>
          <w:szCs w:val="24"/>
        </w:rPr>
        <w:t xml:space="preserve">, </w:t>
      </w:r>
      <w:r>
        <w:rPr>
          <w:szCs w:val="24"/>
        </w:rPr>
        <w:t>Decay of the integrated signal of the hexafluorophosphate anion as</w:t>
      </w:r>
      <w:r>
        <w:rPr>
          <w:b/>
          <w:bCs/>
          <w:szCs w:val="24"/>
        </w:rPr>
        <w:t xml:space="preserve"> </w:t>
      </w:r>
      <w:r>
        <w:rPr>
          <w:szCs w:val="24"/>
        </w:rPr>
        <w:t xml:space="preserve">a function of the amplitude of the encoding and decoding gradients. The diffusion coefficient is </w:t>
      </w:r>
      <w:r>
        <w:rPr>
          <w:i/>
          <w:iCs/>
          <w:szCs w:val="24"/>
        </w:rPr>
        <w:t>D</w:t>
      </w:r>
      <w:r>
        <w:rPr>
          <w:szCs w:val="24"/>
        </w:rPr>
        <w:t xml:space="preserve"> = 4.850</w:t>
      </w:r>
      <w:r>
        <w:rPr>
          <w:szCs w:val="24"/>
          <w:lang w:eastAsia="zh-CN"/>
        </w:rPr>
        <w:t xml:space="preserve"> × 10</w:t>
      </w:r>
      <w:r>
        <w:rPr>
          <w:szCs w:val="24"/>
          <w:vertAlign w:val="superscript"/>
        </w:rPr>
        <w:t xml:space="preserve">-10 </w:t>
      </w:r>
      <w:r>
        <w:rPr>
          <w:szCs w:val="24"/>
        </w:rPr>
        <w:t>m</w:t>
      </w:r>
      <w:r>
        <w:rPr>
          <w:szCs w:val="24"/>
          <w:vertAlign w:val="superscript"/>
        </w:rPr>
        <w:t>2</w:t>
      </w:r>
      <w:r>
        <w:rPr>
          <w:szCs w:val="24"/>
        </w:rPr>
        <w:t>/s.</w:t>
      </w:r>
    </w:p>
    <w:p w14:paraId="07AEC9FD">
      <w:pPr>
        <w:rPr>
          <w:szCs w:val="24"/>
        </w:rPr>
      </w:pPr>
    </w:p>
    <w:p w14:paraId="5787AE13">
      <w:pPr>
        <w:spacing w:line="360" w:lineRule="auto"/>
        <w:jc w:val="center"/>
        <w:rPr>
          <w:szCs w:val="24"/>
        </w:rPr>
      </w:pPr>
      <w:r>
        <w:drawing>
          <wp:inline distT="0" distB="0" distL="0" distR="0">
            <wp:extent cx="4319905" cy="1950085"/>
            <wp:effectExtent l="0" t="0" r="4445" b="0"/>
            <wp:docPr id="2534218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21822" name="图片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320000" cy="1950462"/>
                    </a:xfrm>
                    <a:prstGeom prst="rect">
                      <a:avLst/>
                    </a:prstGeom>
                    <a:noFill/>
                    <a:ln>
                      <a:noFill/>
                    </a:ln>
                  </pic:spPr>
                </pic:pic>
              </a:graphicData>
            </a:graphic>
          </wp:inline>
        </w:drawing>
      </w:r>
    </w:p>
    <w:p w14:paraId="0B2DED77">
      <w:pPr>
        <w:spacing w:before="120"/>
        <w:jc w:val="both"/>
        <w:rPr>
          <w:szCs w:val="24"/>
        </w:rPr>
      </w:pPr>
      <w:r>
        <w:rPr>
          <w:b/>
          <w:bCs/>
          <w:szCs w:val="24"/>
        </w:rPr>
        <w:t>Fig</w:t>
      </w:r>
      <w:r>
        <w:rPr>
          <w:b/>
          <w:bCs/>
          <w:szCs w:val="24"/>
          <w:lang w:eastAsia="zh-CN"/>
        </w:rPr>
        <w:t>.</w:t>
      </w:r>
      <w:r>
        <w:rPr>
          <w:b/>
          <w:bCs/>
          <w:szCs w:val="24"/>
        </w:rPr>
        <w:t xml:space="preserve"> S2</w:t>
      </w:r>
      <w:r>
        <w:rPr>
          <w:b/>
          <w:bCs/>
          <w:szCs w:val="24"/>
          <w:lang w:eastAsia="zh-CN"/>
        </w:rPr>
        <w:t>9</w:t>
      </w:r>
      <w:r>
        <w:rPr>
          <w:szCs w:val="24"/>
        </w:rPr>
        <w:t xml:space="preserve"> </w:t>
      </w:r>
      <w:r>
        <w:rPr>
          <w:b/>
          <w:bCs/>
          <w:szCs w:val="24"/>
        </w:rPr>
        <w:t xml:space="preserve">In large-scale force-field molecular dynamics (FFMD) simulations, we investigated the dynamic process of the distance variation between MeO-TBT and ions over time, driven by an external electric field. </w:t>
      </w:r>
      <w:r>
        <w:rPr>
          <w:rFonts w:hint="eastAsia"/>
          <w:b/>
          <w:bCs/>
          <w:szCs w:val="24"/>
          <w:lang w:eastAsia="zh-CN"/>
        </w:rPr>
        <w:t>a</w:t>
      </w:r>
      <w:r>
        <w:rPr>
          <w:szCs w:val="24"/>
        </w:rPr>
        <w:t>, The time-evolved profiles of distance between TEA</w:t>
      </w:r>
      <w:r>
        <w:rPr>
          <w:szCs w:val="24"/>
          <w:vertAlign w:val="superscript"/>
        </w:rPr>
        <w:t>+</w:t>
      </w:r>
      <w:r>
        <w:rPr>
          <w:szCs w:val="24"/>
        </w:rPr>
        <w:t xml:space="preserve"> and </w:t>
      </w:r>
      <w:r>
        <w:rPr>
          <w:b/>
          <w:bCs/>
          <w:szCs w:val="24"/>
        </w:rPr>
        <w:t>MeO-TBT</w:t>
      </w:r>
      <w:r>
        <w:rPr>
          <w:szCs w:val="24"/>
        </w:rPr>
        <w:t xml:space="preserve">. </w:t>
      </w:r>
      <w:r>
        <w:rPr>
          <w:rFonts w:hint="eastAsia"/>
          <w:b/>
          <w:bCs/>
          <w:szCs w:val="24"/>
          <w:lang w:eastAsia="zh-CN"/>
        </w:rPr>
        <w:t>b</w:t>
      </w:r>
      <w:r>
        <w:rPr>
          <w:b/>
          <w:bCs/>
          <w:szCs w:val="24"/>
        </w:rPr>
        <w:t xml:space="preserve">, </w:t>
      </w:r>
      <w:r>
        <w:rPr>
          <w:szCs w:val="24"/>
        </w:rPr>
        <w:t>The time-evolved profiles of distance between PF</w:t>
      </w:r>
      <w:r>
        <w:rPr>
          <w:szCs w:val="24"/>
          <w:vertAlign w:val="subscript"/>
        </w:rPr>
        <w:t>6</w:t>
      </w:r>
      <w:r>
        <w:rPr>
          <w:rFonts w:eastAsia="宋体"/>
          <w:szCs w:val="24"/>
        </w:rPr>
        <w:t>⁻</w:t>
      </w:r>
      <w:r>
        <w:rPr>
          <w:szCs w:val="24"/>
        </w:rPr>
        <w:t xml:space="preserve"> and </w:t>
      </w:r>
      <w:r>
        <w:rPr>
          <w:b/>
          <w:bCs/>
          <w:szCs w:val="24"/>
        </w:rPr>
        <w:t>MeO-TBT</w:t>
      </w:r>
      <w:r>
        <w:rPr>
          <w:szCs w:val="24"/>
        </w:rPr>
        <w:t>.</w:t>
      </w:r>
    </w:p>
    <w:p w14:paraId="7BFBAA8B">
      <w:pPr>
        <w:rPr>
          <w:szCs w:val="24"/>
        </w:rPr>
      </w:pPr>
    </w:p>
    <w:p w14:paraId="00CA9F2B">
      <w:pPr>
        <w:spacing w:line="360" w:lineRule="auto"/>
        <w:jc w:val="center"/>
        <w:rPr>
          <w:szCs w:val="24"/>
        </w:rPr>
      </w:pPr>
      <w:r>
        <w:drawing>
          <wp:inline distT="0" distB="0" distL="0" distR="0">
            <wp:extent cx="3959860" cy="3416935"/>
            <wp:effectExtent l="0" t="0" r="2540" b="0"/>
            <wp:docPr id="5275304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30445" name="图片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3960000" cy="3417097"/>
                    </a:xfrm>
                    <a:prstGeom prst="rect">
                      <a:avLst/>
                    </a:prstGeom>
                    <a:noFill/>
                    <a:ln>
                      <a:noFill/>
                    </a:ln>
                  </pic:spPr>
                </pic:pic>
              </a:graphicData>
            </a:graphic>
          </wp:inline>
        </w:drawing>
      </w:r>
    </w:p>
    <w:p w14:paraId="7848F415">
      <w:pPr>
        <w:spacing w:before="120"/>
        <w:jc w:val="both"/>
        <w:rPr>
          <w:szCs w:val="24"/>
        </w:rPr>
      </w:pPr>
      <w:r>
        <w:rPr>
          <w:b/>
          <w:bCs/>
          <w:szCs w:val="24"/>
        </w:rPr>
        <w:t>Fig</w:t>
      </w:r>
      <w:r>
        <w:rPr>
          <w:b/>
          <w:bCs/>
          <w:szCs w:val="24"/>
          <w:lang w:eastAsia="zh-CN"/>
        </w:rPr>
        <w:t>.</w:t>
      </w:r>
      <w:r>
        <w:rPr>
          <w:b/>
          <w:bCs/>
          <w:szCs w:val="24"/>
        </w:rPr>
        <w:t xml:space="preserve"> S</w:t>
      </w:r>
      <w:r>
        <w:rPr>
          <w:b/>
          <w:bCs/>
          <w:szCs w:val="24"/>
          <w:lang w:eastAsia="zh-CN"/>
        </w:rPr>
        <w:t>30</w:t>
      </w:r>
      <w:r>
        <w:rPr>
          <w:b/>
          <w:bCs/>
          <w:szCs w:val="24"/>
        </w:rPr>
        <w:t xml:space="preserve"> Mechanism analysis of single-molecule synaptic devices. </w:t>
      </w:r>
      <w:bookmarkStart w:id="15" w:name="OLE_LINK3"/>
      <w:r>
        <w:rPr>
          <w:rFonts w:hint="eastAsia"/>
          <w:b/>
          <w:bCs/>
          <w:szCs w:val="24"/>
          <w:lang w:eastAsia="zh-CN"/>
        </w:rPr>
        <w:t>a</w:t>
      </w:r>
      <w:r>
        <w:rPr>
          <w:b/>
          <w:bCs/>
          <w:szCs w:val="24"/>
        </w:rPr>
        <w:t>,</w:t>
      </w:r>
      <w:r>
        <w:rPr>
          <w:szCs w:val="24"/>
        </w:rPr>
        <w:t xml:space="preserve"> </w:t>
      </w:r>
      <w:bookmarkEnd w:id="15"/>
      <w:r>
        <w:rPr>
          <w:szCs w:val="24"/>
        </w:rPr>
        <w:t xml:space="preserve">Models representing the interaction of </w:t>
      </w:r>
      <w:r>
        <w:rPr>
          <w:b/>
          <w:bCs/>
          <w:szCs w:val="24"/>
        </w:rPr>
        <w:t>MeO-TBT</w:t>
      </w:r>
      <w:r>
        <w:rPr>
          <w:szCs w:val="24"/>
        </w:rPr>
        <w:t xml:space="preserve"> with one and two cations. </w:t>
      </w:r>
      <w:r>
        <w:rPr>
          <w:rFonts w:hint="eastAsia"/>
          <w:b/>
          <w:bCs/>
          <w:szCs w:val="24"/>
          <w:lang w:eastAsia="zh-CN"/>
        </w:rPr>
        <w:t>b</w:t>
      </w:r>
      <w:r>
        <w:rPr>
          <w:b/>
          <w:bCs/>
          <w:szCs w:val="24"/>
        </w:rPr>
        <w:t xml:space="preserve">, </w:t>
      </w:r>
      <w:r>
        <w:rPr>
          <w:szCs w:val="24"/>
        </w:rPr>
        <w:t xml:space="preserve">Structure of </w:t>
      </w:r>
      <w:r>
        <w:rPr>
          <w:b/>
          <w:bCs/>
          <w:szCs w:val="24"/>
        </w:rPr>
        <w:t>MeO-TBT</w:t>
      </w:r>
      <w:r>
        <w:rPr>
          <w:szCs w:val="24"/>
        </w:rPr>
        <w:t xml:space="preserve"> molecular junctions under negative potential. </w:t>
      </w:r>
      <w:r>
        <w:rPr>
          <w:rFonts w:hint="eastAsia"/>
          <w:b/>
          <w:bCs/>
          <w:szCs w:val="24"/>
          <w:lang w:eastAsia="zh-CN"/>
        </w:rPr>
        <w:t>c</w:t>
      </w:r>
      <w:r>
        <w:rPr>
          <w:b/>
          <w:bCs/>
          <w:szCs w:val="24"/>
        </w:rPr>
        <w:t>,</w:t>
      </w:r>
      <w:r>
        <w:rPr>
          <w:szCs w:val="24"/>
        </w:rPr>
        <w:t xml:space="preserve"> Transmission spectra calculations of single-molecule junctions for </w:t>
      </w:r>
      <w:r>
        <w:rPr>
          <w:b/>
          <w:bCs/>
          <w:szCs w:val="24"/>
        </w:rPr>
        <w:t>MeO-TBT</w:t>
      </w:r>
      <w:r>
        <w:rPr>
          <w:szCs w:val="24"/>
        </w:rPr>
        <w:t xml:space="preserve">, </w:t>
      </w:r>
      <w:r>
        <w:rPr>
          <w:b/>
          <w:bCs/>
          <w:szCs w:val="24"/>
        </w:rPr>
        <w:t>MeO-TBT-TEA</w:t>
      </w:r>
      <w:r>
        <w:rPr>
          <w:b/>
          <w:bCs/>
          <w:szCs w:val="24"/>
          <w:vertAlign w:val="superscript"/>
        </w:rPr>
        <w:t>+</w:t>
      </w:r>
      <w:r>
        <w:rPr>
          <w:szCs w:val="24"/>
        </w:rPr>
        <w:t xml:space="preserve">, </w:t>
      </w:r>
      <w:r>
        <w:rPr>
          <w:b/>
          <w:bCs/>
          <w:szCs w:val="24"/>
        </w:rPr>
        <w:t>MeO-TBT-2TEA</w:t>
      </w:r>
      <w:r>
        <w:rPr>
          <w:b/>
          <w:bCs/>
          <w:szCs w:val="24"/>
          <w:vertAlign w:val="superscript"/>
        </w:rPr>
        <w:t>+</w:t>
      </w:r>
      <w:r>
        <w:rPr>
          <w:b/>
          <w:bCs/>
          <w:szCs w:val="24"/>
        </w:rPr>
        <w:t xml:space="preserve"> (</w:t>
      </w:r>
      <w:r>
        <w:rPr>
          <w:b/>
          <w:bCs/>
          <w:i/>
          <w:iCs/>
          <w:szCs w:val="24"/>
        </w:rPr>
        <w:t>d</w:t>
      </w:r>
      <w:r>
        <w:rPr>
          <w:b/>
          <w:bCs/>
          <w:i/>
          <w:iCs/>
          <w:szCs w:val="24"/>
          <w:vertAlign w:val="subscript"/>
        </w:rPr>
        <w:t xml:space="preserve"> </w:t>
      </w:r>
      <w:r>
        <w:rPr>
          <w:b/>
          <w:bCs/>
          <w:szCs w:val="24"/>
        </w:rPr>
        <w:t>+ 1.5 Å), MeO-TBT-2TEA</w:t>
      </w:r>
      <w:r>
        <w:rPr>
          <w:b/>
          <w:bCs/>
          <w:szCs w:val="24"/>
          <w:vertAlign w:val="superscript"/>
        </w:rPr>
        <w:t>+</w:t>
      </w:r>
      <w:r>
        <w:rPr>
          <w:b/>
          <w:bCs/>
          <w:szCs w:val="24"/>
        </w:rPr>
        <w:t xml:space="preserve"> (</w:t>
      </w:r>
      <w:r>
        <w:rPr>
          <w:b/>
          <w:bCs/>
          <w:i/>
          <w:iCs/>
          <w:szCs w:val="24"/>
        </w:rPr>
        <w:t>d</w:t>
      </w:r>
      <w:r>
        <w:rPr>
          <w:b/>
          <w:bCs/>
          <w:i/>
          <w:iCs/>
          <w:szCs w:val="24"/>
          <w:vertAlign w:val="subscript"/>
        </w:rPr>
        <w:t xml:space="preserve"> </w:t>
      </w:r>
      <w:r>
        <w:rPr>
          <w:b/>
          <w:bCs/>
          <w:szCs w:val="24"/>
        </w:rPr>
        <w:t>+ 1 Å)</w:t>
      </w:r>
      <w:r>
        <w:rPr>
          <w:szCs w:val="24"/>
        </w:rPr>
        <w:t>,</w:t>
      </w:r>
      <w:r>
        <w:rPr>
          <w:b/>
          <w:bCs/>
          <w:szCs w:val="24"/>
        </w:rPr>
        <w:t xml:space="preserve"> MeO-TBT-2TEA</w:t>
      </w:r>
      <w:r>
        <w:rPr>
          <w:b/>
          <w:bCs/>
          <w:szCs w:val="24"/>
          <w:vertAlign w:val="superscript"/>
        </w:rPr>
        <w:t>+</w:t>
      </w:r>
      <w:r>
        <w:rPr>
          <w:b/>
          <w:bCs/>
          <w:szCs w:val="24"/>
        </w:rPr>
        <w:t xml:space="preserve"> (</w:t>
      </w:r>
      <w:r>
        <w:rPr>
          <w:b/>
          <w:bCs/>
          <w:i/>
          <w:iCs/>
          <w:szCs w:val="24"/>
        </w:rPr>
        <w:t>d</w:t>
      </w:r>
      <w:r>
        <w:rPr>
          <w:b/>
          <w:bCs/>
          <w:i/>
          <w:iCs/>
          <w:szCs w:val="24"/>
          <w:vertAlign w:val="subscript"/>
        </w:rPr>
        <w:t xml:space="preserve"> </w:t>
      </w:r>
      <w:r>
        <w:rPr>
          <w:b/>
          <w:bCs/>
          <w:szCs w:val="24"/>
        </w:rPr>
        <w:t>+ 0.5 Å)</w:t>
      </w:r>
      <w:r>
        <w:rPr>
          <w:szCs w:val="24"/>
        </w:rPr>
        <w:t>,</w:t>
      </w:r>
      <w:r>
        <w:rPr>
          <w:b/>
          <w:bCs/>
          <w:szCs w:val="24"/>
        </w:rPr>
        <w:t xml:space="preserve"> MeO-TBT-2TEA</w:t>
      </w:r>
      <w:r>
        <w:rPr>
          <w:b/>
          <w:bCs/>
          <w:szCs w:val="24"/>
          <w:vertAlign w:val="superscript"/>
        </w:rPr>
        <w:t>+</w:t>
      </w:r>
      <w:r>
        <w:rPr>
          <w:color w:val="05073B"/>
          <w:szCs w:val="24"/>
        </w:rPr>
        <w:t xml:space="preserve">. </w:t>
      </w:r>
      <w:r>
        <w:rPr>
          <w:szCs w:val="24"/>
        </w:rPr>
        <w:t xml:space="preserve">The distance between </w:t>
      </w:r>
      <w:r>
        <w:rPr>
          <w:b/>
          <w:bCs/>
          <w:szCs w:val="24"/>
        </w:rPr>
        <w:t>MeO-TBT</w:t>
      </w:r>
      <w:r>
        <w:rPr>
          <w:szCs w:val="24"/>
        </w:rPr>
        <w:t xml:space="preserve"> and one of the TEA</w:t>
      </w:r>
      <w:r>
        <w:rPr>
          <w:szCs w:val="24"/>
          <w:vertAlign w:val="superscript"/>
        </w:rPr>
        <w:t>+</w:t>
      </w:r>
      <w:r>
        <w:rPr>
          <w:szCs w:val="24"/>
        </w:rPr>
        <w:t xml:space="preserve"> ions is denoted as </w:t>
      </w:r>
      <w:r>
        <w:rPr>
          <w:i/>
          <w:iCs/>
          <w:szCs w:val="24"/>
        </w:rPr>
        <w:t>d</w:t>
      </w:r>
      <w:r>
        <w:rPr>
          <w:szCs w:val="24"/>
        </w:rPr>
        <w:t xml:space="preserve"> = 2.41 Å.</w:t>
      </w:r>
    </w:p>
    <w:p w14:paraId="3DA2B5E1">
      <w:pPr>
        <w:spacing w:before="120"/>
        <w:jc w:val="center"/>
        <w:rPr>
          <w:szCs w:val="24"/>
          <w:lang w:eastAsia="zh-CN"/>
        </w:rPr>
      </w:pPr>
      <w:r>
        <w:drawing>
          <wp:inline distT="0" distB="0" distL="0" distR="0">
            <wp:extent cx="5255895" cy="2957195"/>
            <wp:effectExtent l="0" t="0" r="1905" b="0"/>
            <wp:docPr id="9481317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31726" name="图片 3"/>
                    <pic:cNvPicPr>
                      <a:picLocks noChangeAspect="1" noChangeArrowheads="1"/>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l="11859" t="9876" r="9723" b="11681"/>
                    <a:stretch>
                      <a:fillRect/>
                    </a:stretch>
                  </pic:blipFill>
                  <pic:spPr>
                    <a:xfrm>
                      <a:off x="0" y="0"/>
                      <a:ext cx="5256000" cy="2957395"/>
                    </a:xfrm>
                    <a:prstGeom prst="rect">
                      <a:avLst/>
                    </a:prstGeom>
                    <a:noFill/>
                    <a:ln>
                      <a:noFill/>
                    </a:ln>
                  </pic:spPr>
                </pic:pic>
              </a:graphicData>
            </a:graphic>
          </wp:inline>
        </w:drawing>
      </w:r>
    </w:p>
    <w:p w14:paraId="2D2E9A8F">
      <w:pPr>
        <w:spacing w:before="120"/>
        <w:jc w:val="both"/>
        <w:rPr>
          <w:rFonts w:hint="eastAsia"/>
          <w:szCs w:val="24"/>
          <w:lang w:eastAsia="zh-CN"/>
        </w:rPr>
      </w:pPr>
      <w:r>
        <w:rPr>
          <w:b/>
          <w:bCs/>
          <w:szCs w:val="24"/>
        </w:rPr>
        <w:t>Fig</w:t>
      </w:r>
      <w:r>
        <w:rPr>
          <w:b/>
          <w:bCs/>
          <w:szCs w:val="24"/>
          <w:lang w:eastAsia="zh-CN"/>
        </w:rPr>
        <w:t>.</w:t>
      </w:r>
      <w:r>
        <w:rPr>
          <w:b/>
          <w:bCs/>
          <w:szCs w:val="24"/>
        </w:rPr>
        <w:t xml:space="preserve"> S</w:t>
      </w:r>
      <w:r>
        <w:rPr>
          <w:b/>
          <w:bCs/>
          <w:szCs w:val="24"/>
          <w:lang w:eastAsia="zh-CN"/>
        </w:rPr>
        <w:t>3</w:t>
      </w:r>
      <w:r>
        <w:rPr>
          <w:rFonts w:hint="eastAsia"/>
          <w:b/>
          <w:bCs/>
          <w:szCs w:val="24"/>
          <w:lang w:eastAsia="zh-CN"/>
        </w:rPr>
        <w:t>1</w:t>
      </w:r>
      <w:bookmarkStart w:id="16" w:name="OLE_LINK4"/>
      <w:r>
        <w:rPr>
          <w:b/>
          <w:bCs/>
          <w:szCs w:val="24"/>
        </w:rPr>
        <w:t xml:space="preserve"> </w:t>
      </w:r>
      <w:bookmarkEnd w:id="16"/>
      <w:r>
        <w:rPr>
          <w:b/>
          <w:bCs/>
          <w:szCs w:val="24"/>
          <w:lang w:eastAsia="zh-CN"/>
        </w:rPr>
        <w:t>Electric-field-induced ion migration and conformational changes of MeO-TBT</w:t>
      </w:r>
      <w:r>
        <w:rPr>
          <w:rFonts w:hint="eastAsia"/>
          <w:b/>
          <w:bCs/>
          <w:szCs w:val="24"/>
          <w:lang w:eastAsia="zh-CN"/>
        </w:rPr>
        <w:t>. a</w:t>
      </w:r>
      <w:r>
        <w:rPr>
          <w:szCs w:val="24"/>
        </w:rPr>
        <w:t>,</w:t>
      </w:r>
      <w:r>
        <w:rPr>
          <w:rFonts w:hint="eastAsia"/>
          <w:szCs w:val="24"/>
          <w:lang w:eastAsia="zh-CN"/>
        </w:rPr>
        <w:t xml:space="preserve"> </w:t>
      </w:r>
      <w:r>
        <w:rPr>
          <w:szCs w:val="24"/>
          <w:lang w:eastAsia="zh-CN"/>
        </w:rPr>
        <w:t>Initial configuration, showing the dihedral angle and O–S distance.</w:t>
      </w:r>
      <w:r>
        <w:rPr>
          <w:rFonts w:hint="eastAsia"/>
          <w:szCs w:val="24"/>
          <w:lang w:eastAsia="zh-CN"/>
        </w:rPr>
        <w:t xml:space="preserve"> </w:t>
      </w:r>
      <w:r>
        <w:rPr>
          <w:b/>
          <w:bCs/>
          <w:szCs w:val="24"/>
          <w:lang w:eastAsia="zh-CN"/>
        </w:rPr>
        <w:t>b</w:t>
      </w:r>
      <w:r>
        <w:rPr>
          <w:rFonts w:hint="eastAsia"/>
          <w:szCs w:val="24"/>
          <w:lang w:eastAsia="zh-CN"/>
        </w:rPr>
        <w:t xml:space="preserve">, </w:t>
      </w:r>
      <w:r>
        <w:rPr>
          <w:szCs w:val="24"/>
          <w:lang w:eastAsia="zh-CN"/>
        </w:rPr>
        <w:t>Configuration under weak ion-molecule interaction, showing the altered dihedral angle and O–S distance.</w:t>
      </w:r>
      <w:r>
        <w:rPr>
          <w:rFonts w:hint="eastAsia"/>
          <w:szCs w:val="24"/>
          <w:lang w:eastAsia="zh-CN"/>
        </w:rPr>
        <w:t xml:space="preserve"> </w:t>
      </w:r>
      <w:r>
        <w:rPr>
          <w:b/>
          <w:bCs/>
          <w:szCs w:val="24"/>
          <w:lang w:eastAsia="zh-CN"/>
        </w:rPr>
        <w:t>c</w:t>
      </w:r>
      <w:r>
        <w:rPr>
          <w:rFonts w:hint="eastAsia"/>
          <w:szCs w:val="24"/>
          <w:lang w:eastAsia="zh-CN"/>
        </w:rPr>
        <w:t>,</w:t>
      </w:r>
      <w:r>
        <w:rPr>
          <w:szCs w:val="24"/>
          <w:lang w:eastAsia="zh-CN"/>
        </w:rPr>
        <w:t xml:space="preserve"> Configuration under strong ion-molecule interaction, with a reduced ion-molecule distance and further changes in the dihedral angle and O–S distance.</w:t>
      </w:r>
    </w:p>
    <w:p w14:paraId="21C8C411">
      <w:pPr>
        <w:spacing w:before="120"/>
        <w:ind w:firstLine="241" w:firstLineChars="100"/>
        <w:jc w:val="both"/>
        <w:rPr>
          <w:szCs w:val="24"/>
          <w:lang w:eastAsia="zh-CN"/>
        </w:rPr>
      </w:pPr>
      <w:r>
        <w:rPr>
          <w:rFonts w:hint="eastAsia"/>
          <w:b/>
          <w:bCs/>
          <w:szCs w:val="24"/>
          <w:lang w:eastAsia="zh-CN"/>
        </w:rPr>
        <w:t>C</w:t>
      </w:r>
      <w:r>
        <w:rPr>
          <w:b/>
          <w:bCs/>
          <w:szCs w:val="24"/>
        </w:rPr>
        <w:t>omparative experiments</w:t>
      </w:r>
      <w:r>
        <w:rPr>
          <w:b/>
          <w:bCs/>
          <w:szCs w:val="24"/>
          <w:lang w:eastAsia="zh-CN"/>
        </w:rPr>
        <w:t>:</w:t>
      </w:r>
      <w:r>
        <w:rPr>
          <w:szCs w:val="24"/>
        </w:rPr>
        <w:t xml:space="preserve"> Based on theoretical and experimental research, we propose that the working mechanism of the single-molecule synaptic transistor arises from the electrostatic coupling and decoupling between </w:t>
      </w:r>
      <w:r>
        <w:rPr>
          <w:b/>
          <w:bCs/>
          <w:szCs w:val="24"/>
        </w:rPr>
        <w:t>MeO-TBT</w:t>
      </w:r>
      <w:r>
        <w:rPr>
          <w:szCs w:val="24"/>
        </w:rPr>
        <w:t xml:space="preserve"> and cations in the electrolyte. To validate this proposed mechanism, </w:t>
      </w:r>
      <w:r>
        <w:rPr>
          <w:szCs w:val="24"/>
          <w:lang w:eastAsia="zh-CN"/>
        </w:rPr>
        <w:t>w</w:t>
      </w:r>
      <w:r>
        <w:rPr>
          <w:szCs w:val="24"/>
        </w:rPr>
        <w:t xml:space="preserve">e conducted a control experiment using </w:t>
      </w:r>
      <w:r>
        <w:rPr>
          <w:b/>
          <w:bCs/>
          <w:szCs w:val="24"/>
        </w:rPr>
        <w:t>Et-TBT</w:t>
      </w:r>
      <w:r>
        <w:rPr>
          <w:szCs w:val="24"/>
        </w:rPr>
        <w:t xml:space="preserve">, which lack intramolecular non-covalent S-O interactions, to construct the transistor. We tested the </w:t>
      </w:r>
      <w:r>
        <w:rPr>
          <w:i/>
          <w:iCs/>
          <w:szCs w:val="24"/>
        </w:rPr>
        <w:t>I</w:t>
      </w:r>
      <w:r>
        <w:rPr>
          <w:szCs w:val="24"/>
        </w:rPr>
        <w:t>-</w:t>
      </w:r>
      <w:r>
        <w:rPr>
          <w:i/>
          <w:iCs/>
          <w:szCs w:val="24"/>
        </w:rPr>
        <w:t>V</w:t>
      </w:r>
      <w:r>
        <w:rPr>
          <w:szCs w:val="24"/>
          <w:vertAlign w:val="subscript"/>
        </w:rPr>
        <w:t>G</w:t>
      </w:r>
      <w:r>
        <w:rPr>
          <w:szCs w:val="24"/>
        </w:rPr>
        <w:t xml:space="preserve"> and </w:t>
      </w:r>
      <w:r>
        <w:rPr>
          <w:i/>
          <w:iCs/>
          <w:szCs w:val="24"/>
        </w:rPr>
        <w:t>I</w:t>
      </w:r>
      <w:r>
        <w:rPr>
          <w:szCs w:val="24"/>
        </w:rPr>
        <w:t>-</w:t>
      </w:r>
      <w:r>
        <w:rPr>
          <w:i/>
          <w:iCs/>
          <w:szCs w:val="24"/>
        </w:rPr>
        <w:t>V</w:t>
      </w:r>
      <w:r>
        <w:rPr>
          <w:szCs w:val="24"/>
          <w:vertAlign w:val="subscript"/>
        </w:rPr>
        <w:t>B</w:t>
      </w:r>
      <w:r>
        <w:rPr>
          <w:szCs w:val="24"/>
        </w:rPr>
        <w:t xml:space="preserve"> curves of the device (</w:t>
      </w:r>
      <w:r>
        <w:rPr>
          <w:szCs w:val="24"/>
          <w:lang w:eastAsia="zh-CN"/>
        </w:rPr>
        <w:t>F</w:t>
      </w:r>
      <w:r>
        <w:rPr>
          <w:szCs w:val="24"/>
        </w:rPr>
        <w:t>igs. S</w:t>
      </w:r>
      <w:r>
        <w:rPr>
          <w:szCs w:val="24"/>
          <w:lang w:eastAsia="zh-CN"/>
        </w:rPr>
        <w:t>3</w:t>
      </w:r>
      <w:r>
        <w:rPr>
          <w:rFonts w:hint="eastAsia"/>
          <w:szCs w:val="24"/>
          <w:lang w:eastAsia="zh-CN"/>
        </w:rPr>
        <w:t>2</w:t>
      </w:r>
      <w:r>
        <w:rPr>
          <w:szCs w:val="24"/>
        </w:rPr>
        <w:t xml:space="preserve"> and S</w:t>
      </w:r>
      <w:r>
        <w:rPr>
          <w:szCs w:val="24"/>
          <w:lang w:eastAsia="zh-CN"/>
        </w:rPr>
        <w:t>3</w:t>
      </w:r>
      <w:r>
        <w:rPr>
          <w:rFonts w:hint="eastAsia"/>
          <w:szCs w:val="24"/>
          <w:lang w:eastAsia="zh-CN"/>
        </w:rPr>
        <w:t>3</w:t>
      </w:r>
      <w:r>
        <w:rPr>
          <w:szCs w:val="24"/>
        </w:rPr>
        <w:t xml:space="preserve">). The results showed that under the same test conditions, the transistor constructed with </w:t>
      </w:r>
      <w:r>
        <w:rPr>
          <w:b/>
          <w:bCs/>
          <w:szCs w:val="24"/>
        </w:rPr>
        <w:t>Et-TBT</w:t>
      </w:r>
      <w:r>
        <w:rPr>
          <w:szCs w:val="24"/>
        </w:rPr>
        <w:t xml:space="preserve"> exhibited less </w:t>
      </w:r>
      <w:r>
        <w:rPr>
          <w:i/>
          <w:iCs/>
          <w:szCs w:val="24"/>
        </w:rPr>
        <w:t>I</w:t>
      </w:r>
      <w:r>
        <w:rPr>
          <w:szCs w:val="24"/>
        </w:rPr>
        <w:t>-</w:t>
      </w:r>
      <w:r>
        <w:rPr>
          <w:i/>
          <w:iCs/>
          <w:szCs w:val="24"/>
        </w:rPr>
        <w:t>V</w:t>
      </w:r>
      <w:r>
        <w:rPr>
          <w:szCs w:val="24"/>
          <w:vertAlign w:val="subscript"/>
        </w:rPr>
        <w:t>G</w:t>
      </w:r>
      <w:r>
        <w:rPr>
          <w:szCs w:val="24"/>
        </w:rPr>
        <w:t xml:space="preserve"> hysteresis compared to the constructed with </w:t>
      </w:r>
      <w:r>
        <w:rPr>
          <w:b/>
          <w:bCs/>
          <w:szCs w:val="24"/>
        </w:rPr>
        <w:t>MeO-TBT</w:t>
      </w:r>
      <w:r>
        <w:rPr>
          <w:szCs w:val="24"/>
        </w:rPr>
        <w:t xml:space="preserve">, and the </w:t>
      </w:r>
      <w:r>
        <w:rPr>
          <w:i/>
          <w:iCs/>
          <w:szCs w:val="24"/>
        </w:rPr>
        <w:t>I</w:t>
      </w:r>
      <w:r>
        <w:rPr>
          <w:szCs w:val="24"/>
        </w:rPr>
        <w:t>-</w:t>
      </w:r>
      <w:r>
        <w:rPr>
          <w:i/>
          <w:iCs/>
          <w:szCs w:val="24"/>
        </w:rPr>
        <w:t>V</w:t>
      </w:r>
      <w:r>
        <w:rPr>
          <w:szCs w:val="24"/>
          <w:vertAlign w:val="subscript"/>
        </w:rPr>
        <w:t>G</w:t>
      </w:r>
      <w:r>
        <w:rPr>
          <w:szCs w:val="24"/>
        </w:rPr>
        <w:t xml:space="preserve"> curves showed no significant hysteresis.</w:t>
      </w:r>
      <w:r>
        <w:rPr>
          <w:szCs w:val="24"/>
          <w:lang w:eastAsia="zh-CN"/>
        </w:rPr>
        <w:t xml:space="preserve"> </w:t>
      </w:r>
      <w:r>
        <w:rPr>
          <w:szCs w:val="24"/>
        </w:rPr>
        <w:t xml:space="preserve">We </w:t>
      </w:r>
      <w:r>
        <w:rPr>
          <w:szCs w:val="24"/>
          <w:lang w:eastAsia="zh-CN"/>
        </w:rPr>
        <w:t xml:space="preserve">also </w:t>
      </w:r>
      <w:r>
        <w:rPr>
          <w:szCs w:val="24"/>
        </w:rPr>
        <w:t>measured the forward and reverse sweep curves of</w:t>
      </w:r>
      <w:r>
        <w:rPr>
          <w:i/>
          <w:iCs/>
          <w:szCs w:val="24"/>
        </w:rPr>
        <w:t xml:space="preserve"> I</w:t>
      </w:r>
      <w:r>
        <w:rPr>
          <w:szCs w:val="24"/>
        </w:rPr>
        <w:t>-</w:t>
      </w:r>
      <w:r>
        <w:rPr>
          <w:i/>
          <w:iCs/>
          <w:szCs w:val="24"/>
        </w:rPr>
        <w:t>V</w:t>
      </w:r>
      <w:r>
        <w:rPr>
          <w:szCs w:val="24"/>
          <w:vertAlign w:val="subscript"/>
        </w:rPr>
        <w:t>G</w:t>
      </w:r>
      <w:r>
        <w:rPr>
          <w:szCs w:val="24"/>
        </w:rPr>
        <w:t xml:space="preserve"> and </w:t>
      </w:r>
      <w:r>
        <w:rPr>
          <w:i/>
          <w:iCs/>
          <w:szCs w:val="24"/>
        </w:rPr>
        <w:t>I</w:t>
      </w:r>
      <w:r>
        <w:rPr>
          <w:szCs w:val="24"/>
        </w:rPr>
        <w:t>-</w:t>
      </w:r>
      <w:r>
        <w:rPr>
          <w:i/>
          <w:iCs/>
          <w:szCs w:val="24"/>
        </w:rPr>
        <w:t>V</w:t>
      </w:r>
      <w:r>
        <w:rPr>
          <w:szCs w:val="24"/>
          <w:vertAlign w:val="subscript"/>
        </w:rPr>
        <w:t>B</w:t>
      </w:r>
      <w:r>
        <w:rPr>
          <w:szCs w:val="24"/>
        </w:rPr>
        <w:t xml:space="preserve"> for tetrabutylammonium hexafluorophosphate (TBAPF</w:t>
      </w:r>
      <w:r>
        <w:rPr>
          <w:szCs w:val="24"/>
          <w:vertAlign w:val="subscript"/>
        </w:rPr>
        <w:t>6</w:t>
      </w:r>
      <w:r>
        <w:rPr>
          <w:szCs w:val="24"/>
        </w:rPr>
        <w:t>), tetrabutylammonium tetrafluoroborate (TBABF</w:t>
      </w:r>
      <w:r>
        <w:rPr>
          <w:szCs w:val="24"/>
          <w:vertAlign w:val="subscript"/>
        </w:rPr>
        <w:t>4</w:t>
      </w:r>
      <w:r>
        <w:rPr>
          <w:szCs w:val="24"/>
        </w:rPr>
        <w:t>), tetraethyl ammonium hexafluorophosphate (TEAPF</w:t>
      </w:r>
      <w:r>
        <w:rPr>
          <w:szCs w:val="24"/>
          <w:vertAlign w:val="subscript"/>
        </w:rPr>
        <w:t>6</w:t>
      </w:r>
      <w:r>
        <w:rPr>
          <w:szCs w:val="24"/>
        </w:rPr>
        <w:t>), and lithium bis(trifluoromethanesulfonyl)imide (LiTFSI).</w:t>
      </w:r>
      <w:r>
        <w:rPr>
          <w:szCs w:val="24"/>
          <w:lang w:eastAsia="zh-CN"/>
        </w:rPr>
        <w:t xml:space="preserve"> Devices based on ammonium cations exhibited pronounced hysteresis in both</w:t>
      </w:r>
      <w:r>
        <w:rPr>
          <w:i/>
          <w:iCs/>
          <w:szCs w:val="24"/>
        </w:rPr>
        <w:t xml:space="preserve"> I</w:t>
      </w:r>
      <w:r>
        <w:rPr>
          <w:szCs w:val="24"/>
        </w:rPr>
        <w:t>-</w:t>
      </w:r>
      <w:r>
        <w:rPr>
          <w:i/>
          <w:iCs/>
          <w:szCs w:val="24"/>
        </w:rPr>
        <w:t>V</w:t>
      </w:r>
      <w:r>
        <w:rPr>
          <w:szCs w:val="24"/>
          <w:vertAlign w:val="subscript"/>
        </w:rPr>
        <w:t>G</w:t>
      </w:r>
      <w:r>
        <w:rPr>
          <w:szCs w:val="24"/>
        </w:rPr>
        <w:t xml:space="preserve"> and </w:t>
      </w:r>
      <w:r>
        <w:rPr>
          <w:i/>
          <w:iCs/>
          <w:szCs w:val="24"/>
        </w:rPr>
        <w:t>I</w:t>
      </w:r>
      <w:r>
        <w:rPr>
          <w:szCs w:val="24"/>
        </w:rPr>
        <w:t>-</w:t>
      </w:r>
      <w:r>
        <w:rPr>
          <w:i/>
          <w:iCs/>
          <w:szCs w:val="24"/>
        </w:rPr>
        <w:t>V</w:t>
      </w:r>
      <w:r>
        <w:rPr>
          <w:szCs w:val="24"/>
          <w:vertAlign w:val="subscript"/>
        </w:rPr>
        <w:t>B</w:t>
      </w:r>
      <w:r>
        <w:rPr>
          <w:szCs w:val="24"/>
        </w:rPr>
        <w:t xml:space="preserve"> </w:t>
      </w:r>
      <w:r>
        <w:rPr>
          <w:szCs w:val="24"/>
          <w:lang w:eastAsia="zh-CN"/>
        </w:rPr>
        <w:t xml:space="preserve">curves, whereas devices without ammonium ions showed a smaller </w:t>
      </w:r>
      <w:r>
        <w:rPr>
          <w:i/>
          <w:iCs/>
          <w:szCs w:val="24"/>
        </w:rPr>
        <w:t>I</w:t>
      </w:r>
      <w:r>
        <w:rPr>
          <w:szCs w:val="24"/>
        </w:rPr>
        <w:t>-</w:t>
      </w:r>
      <w:r>
        <w:rPr>
          <w:i/>
          <w:iCs/>
          <w:szCs w:val="24"/>
        </w:rPr>
        <w:t>V</w:t>
      </w:r>
      <w:r>
        <w:rPr>
          <w:szCs w:val="24"/>
          <w:vertAlign w:val="subscript"/>
        </w:rPr>
        <w:t>G</w:t>
      </w:r>
      <w:r>
        <w:rPr>
          <w:szCs w:val="24"/>
          <w:lang w:eastAsia="zh-CN"/>
        </w:rPr>
        <w:t xml:space="preserve"> hysteresis area and nearly no </w:t>
      </w:r>
      <w:r>
        <w:rPr>
          <w:i/>
          <w:iCs/>
          <w:szCs w:val="24"/>
        </w:rPr>
        <w:t>I</w:t>
      </w:r>
      <w:r>
        <w:rPr>
          <w:szCs w:val="24"/>
        </w:rPr>
        <w:t>-</w:t>
      </w:r>
      <w:r>
        <w:rPr>
          <w:i/>
          <w:iCs/>
          <w:szCs w:val="24"/>
        </w:rPr>
        <w:t>V</w:t>
      </w:r>
      <w:r>
        <w:rPr>
          <w:szCs w:val="24"/>
          <w:vertAlign w:val="subscript"/>
        </w:rPr>
        <w:t>B</w:t>
      </w:r>
      <w:r>
        <w:rPr>
          <w:szCs w:val="24"/>
          <w:lang w:eastAsia="zh-CN"/>
        </w:rPr>
        <w:t xml:space="preserve"> hysteresis (Figs. S3</w:t>
      </w:r>
      <w:r>
        <w:rPr>
          <w:rFonts w:hint="eastAsia"/>
          <w:szCs w:val="24"/>
          <w:lang w:eastAsia="zh-CN"/>
        </w:rPr>
        <w:t>4</w:t>
      </w:r>
      <w:r>
        <w:rPr>
          <w:szCs w:val="24"/>
          <w:lang w:eastAsia="zh-CN"/>
        </w:rPr>
        <w:t>-3</w:t>
      </w:r>
      <w:r>
        <w:rPr>
          <w:rFonts w:hint="eastAsia"/>
          <w:szCs w:val="24"/>
          <w:lang w:eastAsia="zh-CN"/>
        </w:rPr>
        <w:t>6</w:t>
      </w:r>
      <w:r>
        <w:rPr>
          <w:szCs w:val="24"/>
          <w:lang w:eastAsia="zh-CN"/>
        </w:rPr>
        <w:t>). This further confirms the crucial role of ammonium ions in the generation of memory functions in the devices.</w:t>
      </w:r>
    </w:p>
    <w:p w14:paraId="2E16778D">
      <w:pPr>
        <w:spacing w:before="120"/>
        <w:ind w:firstLine="240" w:firstLineChars="100"/>
        <w:jc w:val="both"/>
        <w:rPr>
          <w:color w:val="000000" w:themeColor="text1"/>
          <w:szCs w:val="24"/>
          <w:lang w:eastAsia="zh-CN"/>
          <w14:textFill>
            <w14:solidFill>
              <w14:schemeClr w14:val="tx1"/>
            </w14:solidFill>
          </w14:textFill>
        </w:rPr>
      </w:pPr>
      <w:bookmarkStart w:id="17" w:name="OLE_LINK12"/>
      <w:r>
        <w:rPr>
          <w:szCs w:val="24"/>
        </w:rPr>
        <w:t>To compare the migration rates of different cations in propylene carbonate, we conducted conductivity tests (</w:t>
      </w:r>
      <w:r>
        <w:rPr>
          <w:szCs w:val="24"/>
          <w:lang w:eastAsia="zh-CN"/>
        </w:rPr>
        <w:t>T</w:t>
      </w:r>
      <w:r>
        <w:rPr>
          <w:szCs w:val="24"/>
        </w:rPr>
        <w:t xml:space="preserve">able S5). </w:t>
      </w:r>
      <w:r>
        <w:rPr>
          <w:szCs w:val="24"/>
          <w:lang w:eastAsia="zh-CN"/>
        </w:rPr>
        <w:t>I</w:t>
      </w:r>
      <w:r>
        <w:rPr>
          <w:szCs w:val="24"/>
        </w:rPr>
        <w:t>t can be observed that the conductivity of TEAPF</w:t>
      </w:r>
      <w:r>
        <w:rPr>
          <w:szCs w:val="24"/>
          <w:vertAlign w:val="subscript"/>
        </w:rPr>
        <w:t>6</w:t>
      </w:r>
      <w:r>
        <w:rPr>
          <w:szCs w:val="24"/>
        </w:rPr>
        <w:t xml:space="preserve"> is higher than that of TBAPF</w:t>
      </w:r>
      <w:r>
        <w:rPr>
          <w:szCs w:val="24"/>
          <w:vertAlign w:val="subscript"/>
        </w:rPr>
        <w:t>6</w:t>
      </w:r>
      <w:r>
        <w:rPr>
          <w:szCs w:val="24"/>
        </w:rPr>
        <w:t>. Since their anions are the same, we can infer that the cation in TEAPF</w:t>
      </w:r>
      <w:r>
        <w:rPr>
          <w:szCs w:val="24"/>
          <w:vertAlign w:val="subscript"/>
        </w:rPr>
        <w:t>6</w:t>
      </w:r>
      <w:r>
        <w:rPr>
          <w:szCs w:val="24"/>
        </w:rPr>
        <w:t xml:space="preserve"> has a higher migration rate in PC compared to the cation in TBAPF</w:t>
      </w:r>
      <w:r>
        <w:rPr>
          <w:szCs w:val="24"/>
          <w:vertAlign w:val="subscript"/>
        </w:rPr>
        <w:t>6</w:t>
      </w:r>
      <w:r>
        <w:rPr>
          <w:szCs w:val="24"/>
        </w:rPr>
        <w:t>. On the other hand, TBABF</w:t>
      </w:r>
      <w:r>
        <w:rPr>
          <w:szCs w:val="24"/>
          <w:vertAlign w:val="subscript"/>
        </w:rPr>
        <w:t>4</w:t>
      </w:r>
      <w:r>
        <w:rPr>
          <w:szCs w:val="24"/>
        </w:rPr>
        <w:t xml:space="preserve"> exhibits a higher conductivity than TBAPF</w:t>
      </w:r>
      <w:r>
        <w:rPr>
          <w:szCs w:val="24"/>
          <w:vertAlign w:val="subscript"/>
        </w:rPr>
        <w:t>6</w:t>
      </w:r>
      <w:r>
        <w:rPr>
          <w:szCs w:val="24"/>
        </w:rPr>
        <w:t>. Given that their cations are the same, we conclude that the anion in TBABF</w:t>
      </w:r>
      <w:r>
        <w:rPr>
          <w:szCs w:val="24"/>
          <w:vertAlign w:val="subscript"/>
        </w:rPr>
        <w:t>4</w:t>
      </w:r>
      <w:r>
        <w:rPr>
          <w:szCs w:val="24"/>
        </w:rPr>
        <w:t xml:space="preserve"> has a higher migration rate than the anion in TBAPF</w:t>
      </w:r>
      <w:r>
        <w:rPr>
          <w:szCs w:val="24"/>
          <w:vertAlign w:val="subscript"/>
        </w:rPr>
        <w:t>6</w:t>
      </w:r>
      <w:r>
        <w:rPr>
          <w:szCs w:val="24"/>
        </w:rPr>
        <w:t xml:space="preserve">. </w:t>
      </w:r>
      <w:r>
        <w:rPr>
          <w:color w:val="000000" w:themeColor="text1"/>
          <w:szCs w:val="24"/>
          <w:lang w:eastAsia="zh-CN"/>
          <w14:textFill>
            <w14:solidFill>
              <w14:schemeClr w14:val="tx1"/>
            </w14:solidFill>
          </w14:textFill>
        </w:rPr>
        <w:t>The experimental results demonstrate that the tetrabutylammonium ion (TBA</w:t>
      </w:r>
      <w:r>
        <w:rPr>
          <w:color w:val="000000" w:themeColor="text1"/>
          <w:szCs w:val="24"/>
          <w:vertAlign w:val="superscript"/>
          <w:lang w:eastAsia="zh-CN"/>
          <w14:textFill>
            <w14:solidFill>
              <w14:schemeClr w14:val="tx1"/>
            </w14:solidFill>
          </w14:textFill>
        </w:rPr>
        <w:t>+</w:t>
      </w:r>
      <w:r>
        <w:rPr>
          <w:color w:val="000000" w:themeColor="text1"/>
          <w:szCs w:val="24"/>
          <w:lang w:eastAsia="zh-CN"/>
          <w14:textFill>
            <w14:solidFill>
              <w14:schemeClr w14:val="tx1"/>
            </w14:solidFill>
          </w14:textFill>
        </w:rPr>
        <w:t>) exhibits lower mobility in propylene carbonate (PC) compared to the tetraethylammonium ion (TEA</w:t>
      </w:r>
      <w:r>
        <w:rPr>
          <w:color w:val="000000" w:themeColor="text1"/>
          <w:szCs w:val="24"/>
          <w:vertAlign w:val="superscript"/>
          <w:lang w:eastAsia="zh-CN"/>
          <w14:textFill>
            <w14:solidFill>
              <w14:schemeClr w14:val="tx1"/>
            </w14:solidFill>
          </w14:textFill>
        </w:rPr>
        <w:t>+</w:t>
      </w:r>
      <w:r>
        <w:rPr>
          <w:color w:val="000000" w:themeColor="text1"/>
          <w:szCs w:val="24"/>
          <w:lang w:eastAsia="zh-CN"/>
          <w14:textFill>
            <w14:solidFill>
              <w14:schemeClr w14:val="tx1"/>
            </w14:solidFill>
          </w14:textFill>
        </w:rPr>
        <w:t>). This characteristic leads to a larger</w:t>
      </w:r>
      <w:r>
        <w:rPr>
          <w:szCs w:val="24"/>
          <w:lang w:eastAsia="zh-CN"/>
        </w:rPr>
        <w:t xml:space="preserve"> </w:t>
      </w:r>
      <w:r>
        <w:rPr>
          <w:i/>
          <w:iCs/>
          <w:szCs w:val="24"/>
        </w:rPr>
        <w:t>I</w:t>
      </w:r>
      <w:r>
        <w:rPr>
          <w:szCs w:val="24"/>
        </w:rPr>
        <w:t>-</w:t>
      </w:r>
      <w:r>
        <w:rPr>
          <w:i/>
          <w:iCs/>
          <w:szCs w:val="24"/>
        </w:rPr>
        <w:t>V</w:t>
      </w:r>
      <w:r>
        <w:rPr>
          <w:szCs w:val="24"/>
          <w:vertAlign w:val="subscript"/>
        </w:rPr>
        <w:t>G</w:t>
      </w:r>
      <w:r>
        <w:rPr>
          <w:color w:val="000000" w:themeColor="text1"/>
          <w:szCs w:val="24"/>
          <w:lang w:eastAsia="zh-CN"/>
          <w14:textFill>
            <w14:solidFill>
              <w14:schemeClr w14:val="tx1"/>
            </w14:solidFill>
          </w14:textFill>
        </w:rPr>
        <w:t xml:space="preserve"> </w:t>
      </w:r>
      <w:r>
        <w:rPr>
          <w:szCs w:val="24"/>
          <w:lang w:eastAsia="zh-CN"/>
        </w:rPr>
        <w:t>hysteresis area</w:t>
      </w:r>
      <w:r>
        <w:rPr>
          <w:color w:val="000000" w:themeColor="text1"/>
          <w:szCs w:val="24"/>
          <w:lang w:eastAsia="zh-CN"/>
          <w14:textFill>
            <w14:solidFill>
              <w14:schemeClr w14:val="tx1"/>
            </w14:solidFill>
          </w14:textFill>
        </w:rPr>
        <w:t xml:space="preserve"> in TBA</w:t>
      </w:r>
      <w:r>
        <w:rPr>
          <w:color w:val="000000" w:themeColor="text1"/>
          <w:szCs w:val="24"/>
          <w:vertAlign w:val="superscript"/>
          <w:lang w:eastAsia="zh-CN"/>
          <w14:textFill>
            <w14:solidFill>
              <w14:schemeClr w14:val="tx1"/>
            </w14:solidFill>
          </w14:textFill>
        </w:rPr>
        <w:t>+</w:t>
      </w:r>
      <w:r>
        <w:rPr>
          <w:color w:val="000000" w:themeColor="text1"/>
          <w:szCs w:val="24"/>
          <w:lang w:eastAsia="zh-CN"/>
          <w14:textFill>
            <w14:solidFill>
              <w14:schemeClr w14:val="tx1"/>
            </w14:solidFill>
          </w14:textFill>
        </w:rPr>
        <w:t>-based devices, indicating that lower cation mobility is beneficial for</w:t>
      </w:r>
      <w:r>
        <w:rPr>
          <w:szCs w:val="24"/>
          <w:lang w:eastAsia="zh-CN"/>
        </w:rPr>
        <w:t xml:space="preserve"> extending the memory</w:t>
      </w:r>
      <w:r>
        <w:rPr>
          <w:color w:val="000000" w:themeColor="text1"/>
          <w:szCs w:val="24"/>
          <w:lang w:eastAsia="zh-CN"/>
          <w14:textFill>
            <w14:solidFill>
              <w14:schemeClr w14:val="tx1"/>
            </w14:solidFill>
          </w14:textFill>
        </w:rPr>
        <w:t xml:space="preserve"> time of the device. Notably, although the hexafluorophosphate ion (PF</w:t>
      </w:r>
      <w:r>
        <w:rPr>
          <w:color w:val="000000" w:themeColor="text1"/>
          <w:szCs w:val="24"/>
          <w:vertAlign w:val="subscript"/>
          <w:lang w:eastAsia="zh-CN"/>
          <w14:textFill>
            <w14:solidFill>
              <w14:schemeClr w14:val="tx1"/>
            </w14:solidFill>
          </w14:textFill>
        </w:rPr>
        <w:t>6</w:t>
      </w:r>
      <w:r>
        <w:rPr>
          <w:rFonts w:eastAsia="宋体"/>
          <w:szCs w:val="24"/>
        </w:rPr>
        <w:t>⁻</w:t>
      </w:r>
      <w:r>
        <w:rPr>
          <w:color w:val="000000" w:themeColor="text1"/>
          <w:szCs w:val="24"/>
          <w:lang w:eastAsia="zh-CN"/>
          <w14:textFill>
            <w14:solidFill>
              <w14:schemeClr w14:val="tx1"/>
            </w14:solidFill>
          </w14:textFill>
        </w:rPr>
        <w:t>) shows higher mobility than the tetrafluoroborate ion (BF</w:t>
      </w:r>
      <w:r>
        <w:rPr>
          <w:color w:val="000000" w:themeColor="text1"/>
          <w:szCs w:val="24"/>
          <w:vertAlign w:val="subscript"/>
          <w:lang w:eastAsia="zh-CN"/>
          <w14:textFill>
            <w14:solidFill>
              <w14:schemeClr w14:val="tx1"/>
            </w14:solidFill>
          </w14:textFill>
        </w:rPr>
        <w:t>4</w:t>
      </w:r>
      <w:r>
        <w:rPr>
          <w:color w:val="000000" w:themeColor="text1"/>
          <w:szCs w:val="24"/>
          <w:vertAlign w:val="superscript"/>
          <w:lang w:eastAsia="zh-CN"/>
          <w14:textFill>
            <w14:solidFill>
              <w14:schemeClr w14:val="tx1"/>
            </w14:solidFill>
          </w14:textFill>
        </w:rPr>
        <w:t>-</w:t>
      </w:r>
      <w:r>
        <w:rPr>
          <w:color w:val="000000" w:themeColor="text1"/>
          <w:szCs w:val="24"/>
          <w:lang w:eastAsia="zh-CN"/>
          <w14:textFill>
            <w14:solidFill>
              <w14:schemeClr w14:val="tx1"/>
            </w14:solidFill>
          </w14:textFill>
        </w:rPr>
        <w:t>), devices employing PF</w:t>
      </w:r>
      <w:r>
        <w:rPr>
          <w:color w:val="000000" w:themeColor="text1"/>
          <w:szCs w:val="24"/>
          <w:vertAlign w:val="subscript"/>
          <w:lang w:eastAsia="zh-CN"/>
          <w14:textFill>
            <w14:solidFill>
              <w14:schemeClr w14:val="tx1"/>
            </w14:solidFill>
          </w14:textFill>
        </w:rPr>
        <w:t>6</w:t>
      </w:r>
      <w:r>
        <w:rPr>
          <w:rFonts w:eastAsia="宋体"/>
          <w:szCs w:val="24"/>
        </w:rPr>
        <w:t>⁻</w:t>
      </w:r>
      <w:r>
        <w:rPr>
          <w:color w:val="000000" w:themeColor="text1"/>
          <w:szCs w:val="24"/>
          <w:lang w:eastAsia="zh-CN"/>
          <w14:textFill>
            <w14:solidFill>
              <w14:schemeClr w14:val="tx1"/>
            </w14:solidFill>
          </w14:textFill>
        </w:rPr>
        <w:t xml:space="preserve"> still maintain a substantial hysteresis </w:t>
      </w:r>
      <w:r>
        <w:rPr>
          <w:szCs w:val="24"/>
          <w:lang w:eastAsia="zh-CN"/>
        </w:rPr>
        <w:t>area</w:t>
      </w:r>
      <w:r>
        <w:rPr>
          <w:color w:val="000000" w:themeColor="text1"/>
          <w:szCs w:val="24"/>
          <w:lang w:eastAsia="zh-CN"/>
          <w14:textFill>
            <w14:solidFill>
              <w14:schemeClr w14:val="tx1"/>
            </w14:solidFill>
          </w14:textFill>
        </w:rPr>
        <w:t>. This observation suggests that anion mobility characteristics have relatively limited influence on the memory functionality of the devices.</w:t>
      </w:r>
    </w:p>
    <w:bookmarkEnd w:id="17"/>
    <w:p w14:paraId="2EF5189E">
      <w:pPr>
        <w:spacing w:before="120"/>
        <w:ind w:firstLine="240" w:firstLineChars="100"/>
        <w:jc w:val="both"/>
        <w:rPr>
          <w:szCs w:val="24"/>
          <w:lang w:eastAsia="zh-CN"/>
        </w:rPr>
      </w:pPr>
      <w:r>
        <w:rPr>
          <w:szCs w:val="24"/>
          <w:lang w:eastAsia="zh-CN"/>
        </w:rPr>
        <w:t xml:space="preserve">The conductivity of the electrolyte solution containing propylene carbonate was measured using the DDS-11A conductivity meter produced by the Shanghai Institute of Scientific Instrumentation, Chinese Academy of Sciences. Before measurements, it is essential to calibrate the electrode constant of the instrument. We used a commercially available 0.01 mol/L potassium chloride solution as the standard conductivity solution, with a conductivity value of 1408 μS/cm. First, the conductivity electrode is thoroughly cleaned with distilled water and then carefully dried with filter paper. Next, the electrode is rinsed with the standard solution before being immersed in the standard solution. The instrument will display the conductivity value, and once the reading stabilizes, the current conductivity value </w:t>
      </w:r>
      <w:r>
        <w:rPr>
          <w:i/>
          <w:iCs/>
          <w:szCs w:val="24"/>
          <w:lang w:eastAsia="zh-CN"/>
        </w:rPr>
        <w:t>C</w:t>
      </w:r>
      <w:r>
        <w:rPr>
          <w:szCs w:val="24"/>
          <w:vertAlign w:val="subscript"/>
          <w:lang w:eastAsia="zh-CN"/>
        </w:rPr>
        <w:t>t</w:t>
      </w:r>
      <w:r>
        <w:rPr>
          <w:szCs w:val="24"/>
          <w:lang w:eastAsia="zh-CN"/>
        </w:rPr>
        <w:t xml:space="preserve"> is recorded. Based on the current ambient temperature (25.0 ℃), the nominal conductivity </w:t>
      </w:r>
      <w:r>
        <w:rPr>
          <w:i/>
          <w:iCs/>
          <w:szCs w:val="24"/>
          <w:lang w:eastAsia="zh-CN"/>
        </w:rPr>
        <w:t>C</w:t>
      </w:r>
      <w:r>
        <w:rPr>
          <w:szCs w:val="24"/>
          <w:vertAlign w:val="subscript"/>
          <w:lang w:eastAsia="zh-CN"/>
        </w:rPr>
        <w:t>s</w:t>
      </w:r>
      <w:r>
        <w:rPr>
          <w:szCs w:val="24"/>
          <w:lang w:eastAsia="zh-CN"/>
        </w:rPr>
        <w:t xml:space="preserve"> of the standard solution at this temperature is referenced. The electrode constant is then calculated as </w:t>
      </w:r>
      <w:r>
        <w:rPr>
          <w:i/>
          <w:iCs/>
          <w:szCs w:val="24"/>
          <w:lang w:eastAsia="zh-CN"/>
        </w:rPr>
        <w:t>k</w:t>
      </w:r>
      <w:r>
        <w:rPr>
          <w:szCs w:val="24"/>
          <w:lang w:eastAsia="zh-CN"/>
        </w:rPr>
        <w:t xml:space="preserve"> = </w:t>
      </w:r>
      <w:r>
        <w:rPr>
          <w:i/>
          <w:iCs/>
          <w:szCs w:val="24"/>
          <w:lang w:eastAsia="zh-CN"/>
        </w:rPr>
        <w:t>C</w:t>
      </w:r>
      <w:r>
        <w:rPr>
          <w:szCs w:val="24"/>
          <w:vertAlign w:val="subscript"/>
          <w:lang w:eastAsia="zh-CN"/>
        </w:rPr>
        <w:t>s</w:t>
      </w:r>
      <w:r>
        <w:rPr>
          <w:szCs w:val="24"/>
          <w:lang w:eastAsia="zh-CN"/>
        </w:rPr>
        <w:t>/</w:t>
      </w:r>
      <w:r>
        <w:rPr>
          <w:i/>
          <w:iCs/>
          <w:szCs w:val="24"/>
          <w:lang w:eastAsia="zh-CN"/>
        </w:rPr>
        <w:t>C</w:t>
      </w:r>
      <w:r>
        <w:rPr>
          <w:szCs w:val="24"/>
          <w:vertAlign w:val="subscript"/>
          <w:lang w:eastAsia="zh-CN"/>
        </w:rPr>
        <w:t>t</w:t>
      </w:r>
      <w:r>
        <w:rPr>
          <w:szCs w:val="24"/>
          <w:lang w:eastAsia="zh-CN"/>
        </w:rPr>
        <w:t xml:space="preserve">. Before measuring the conductivity of the target electrolyte, the electrode constant on the instrument is adjusted to </w:t>
      </w:r>
      <w:r>
        <w:rPr>
          <w:i/>
          <w:iCs/>
          <w:szCs w:val="24"/>
          <w:lang w:eastAsia="zh-CN"/>
        </w:rPr>
        <w:t>k</w:t>
      </w:r>
      <w:r>
        <w:rPr>
          <w:szCs w:val="24"/>
          <w:lang w:eastAsia="zh-CN"/>
        </w:rPr>
        <w:t>. Prior to actual measurements, the electrode should be rinsed with the solution to be tested, followed by immersing the electrode of the conductivity meter into the target solution. After the reading stabilizes, the conductivity value can be recorded.</w:t>
      </w:r>
    </w:p>
    <w:p w14:paraId="0BBE2850">
      <w:pPr>
        <w:spacing w:line="360" w:lineRule="auto"/>
        <w:jc w:val="center"/>
        <w:rPr>
          <w:szCs w:val="24"/>
        </w:rPr>
      </w:pPr>
      <w:r>
        <w:drawing>
          <wp:inline distT="0" distB="0" distL="0" distR="0">
            <wp:extent cx="3599815" cy="3260725"/>
            <wp:effectExtent l="0" t="0" r="635" b="0"/>
            <wp:docPr id="1985075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07527" name="图片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600000" cy="3261279"/>
                    </a:xfrm>
                    <a:prstGeom prst="rect">
                      <a:avLst/>
                    </a:prstGeom>
                    <a:noFill/>
                    <a:ln>
                      <a:noFill/>
                    </a:ln>
                  </pic:spPr>
                </pic:pic>
              </a:graphicData>
            </a:graphic>
          </wp:inline>
        </w:drawing>
      </w:r>
    </w:p>
    <w:p w14:paraId="191D4069">
      <w:pPr>
        <w:spacing w:before="120"/>
        <w:jc w:val="both"/>
        <w:rPr>
          <w:szCs w:val="24"/>
        </w:rPr>
      </w:pPr>
      <w:r>
        <w:rPr>
          <w:b/>
          <w:bCs/>
          <w:szCs w:val="24"/>
        </w:rPr>
        <w:t>Fig.</w:t>
      </w:r>
      <w:r>
        <w:rPr>
          <w:b/>
          <w:bCs/>
          <w:color w:val="000000" w:themeColor="text1"/>
          <w:szCs w:val="24"/>
          <w14:textFill>
            <w14:solidFill>
              <w14:schemeClr w14:val="tx1"/>
            </w14:solidFill>
          </w14:textFill>
        </w:rPr>
        <w:t xml:space="preserve"> S</w:t>
      </w:r>
      <w:r>
        <w:rPr>
          <w:b/>
          <w:bCs/>
          <w:color w:val="000000" w:themeColor="text1"/>
          <w:szCs w:val="24"/>
          <w:lang w:eastAsia="zh-CN"/>
          <w14:textFill>
            <w14:solidFill>
              <w14:schemeClr w14:val="tx1"/>
            </w14:solidFill>
          </w14:textFill>
        </w:rPr>
        <w:t>3</w:t>
      </w:r>
      <w:r>
        <w:rPr>
          <w:rFonts w:hint="eastAsia"/>
          <w:b/>
          <w:bCs/>
          <w:color w:val="000000" w:themeColor="text1"/>
          <w:szCs w:val="24"/>
          <w:lang w:eastAsia="zh-CN"/>
          <w14:textFill>
            <w14:solidFill>
              <w14:schemeClr w14:val="tx1"/>
            </w14:solidFill>
          </w14:textFill>
        </w:rPr>
        <w:t>2</w:t>
      </w:r>
      <w:r>
        <w:rPr>
          <w:b/>
          <w:bCs/>
          <w:color w:val="000000" w:themeColor="text1"/>
          <w:szCs w:val="24"/>
          <w14:textFill>
            <w14:solidFill>
              <w14:schemeClr w14:val="tx1"/>
            </w14:solidFill>
          </w14:textFill>
        </w:rPr>
        <w:t xml:space="preserve"> S</w:t>
      </w:r>
      <w:r>
        <w:rPr>
          <w:b/>
          <w:bCs/>
          <w:szCs w:val="24"/>
        </w:rPr>
        <w:t>ingle-molecule electrochemical transistor based on 0.5 mM Et-TBT in PC solution of 0.1 M TBAPF</w:t>
      </w:r>
      <w:r>
        <w:rPr>
          <w:b/>
          <w:bCs/>
          <w:szCs w:val="24"/>
          <w:vertAlign w:val="subscript"/>
        </w:rPr>
        <w:t>6</w:t>
      </w:r>
      <w:r>
        <w:rPr>
          <w:b/>
          <w:bCs/>
          <w:szCs w:val="24"/>
        </w:rPr>
        <w:t xml:space="preserve"> without intramolecular S-O noncovalent interaction. </w:t>
      </w:r>
      <w:r>
        <w:rPr>
          <w:rFonts w:hint="eastAsia"/>
          <w:b/>
          <w:bCs/>
          <w:szCs w:val="24"/>
          <w:lang w:eastAsia="zh-CN"/>
        </w:rPr>
        <w:t>a</w:t>
      </w:r>
      <w:r>
        <w:rPr>
          <w:b/>
          <w:bCs/>
          <w:szCs w:val="24"/>
        </w:rPr>
        <w:t xml:space="preserve">, </w:t>
      </w:r>
      <w:r>
        <w:rPr>
          <w:rFonts w:hint="eastAsia"/>
          <w:b/>
          <w:bCs/>
          <w:szCs w:val="24"/>
          <w:lang w:eastAsia="zh-CN"/>
        </w:rPr>
        <w:t>b</w:t>
      </w:r>
      <w:r>
        <w:rPr>
          <w:b/>
          <w:bCs/>
          <w:szCs w:val="24"/>
        </w:rPr>
        <w:t xml:space="preserve">, </w:t>
      </w:r>
      <w:r>
        <w:rPr>
          <w:rFonts w:hint="eastAsia"/>
          <w:b/>
          <w:bCs/>
          <w:szCs w:val="24"/>
          <w:lang w:eastAsia="zh-CN"/>
        </w:rPr>
        <w:t>c</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G</w:t>
      </w:r>
      <w:r>
        <w:rPr>
          <w:szCs w:val="24"/>
        </w:rPr>
        <w:t xml:space="preserve"> curves (over 400 </w:t>
      </w:r>
      <w:r>
        <w:rPr>
          <w:color w:val="222222"/>
          <w:szCs w:val="24"/>
          <w:shd w:val="clear" w:color="auto" w:fill="FFFFFF"/>
        </w:rPr>
        <w:t>traces</w:t>
      </w:r>
      <w:r>
        <w:rPr>
          <w:szCs w:val="24"/>
        </w:rPr>
        <w:t xml:space="preserve">) illustrate both forward and reverse scans for single-molecule transistors utilizing </w:t>
      </w:r>
      <w:r>
        <w:rPr>
          <w:b/>
          <w:bCs/>
          <w:szCs w:val="24"/>
        </w:rPr>
        <w:t xml:space="preserve">Et-TBT </w:t>
      </w:r>
      <w:r>
        <w:rPr>
          <w:szCs w:val="24"/>
        </w:rPr>
        <w:t xml:space="preserve">under 0.1 V bias and fitting curves (depicted in the inset). The orange curve represents the forward scan data, while the blue curve corresponds to the reverse scan data. </w:t>
      </w:r>
      <w:r>
        <w:rPr>
          <w:rFonts w:hint="eastAsia"/>
          <w:b/>
          <w:bCs/>
          <w:szCs w:val="24"/>
          <w:lang w:eastAsia="zh-CN"/>
        </w:rPr>
        <w:t>d</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B</w:t>
      </w:r>
      <w:r>
        <w:rPr>
          <w:szCs w:val="24"/>
        </w:rPr>
        <w:t xml:space="preserve"> characteristic curves (over 2000 </w:t>
      </w:r>
      <w:r>
        <w:rPr>
          <w:color w:val="222222"/>
          <w:szCs w:val="24"/>
          <w:shd w:val="clear" w:color="auto" w:fill="FFFFFF"/>
        </w:rPr>
        <w:t>traces</w:t>
      </w:r>
      <w:r>
        <w:rPr>
          <w:szCs w:val="24"/>
        </w:rPr>
        <w:t xml:space="preserve">) and fitting curves (depicted in the inset) represent both forward and reverse scans at the electrode potential of </w:t>
      </w:r>
      <w:r>
        <w:rPr>
          <w:color w:val="000000"/>
          <w:szCs w:val="24"/>
          <w:lang w:eastAsia="zh-CN"/>
        </w:rPr>
        <w:t>–</w:t>
      </w:r>
      <w:r>
        <w:rPr>
          <w:szCs w:val="24"/>
        </w:rPr>
        <w:t xml:space="preserve">0.4 V for single-molecule transistors utilizing </w:t>
      </w:r>
      <w:r>
        <w:rPr>
          <w:b/>
          <w:bCs/>
          <w:szCs w:val="24"/>
        </w:rPr>
        <w:t>Et-TBT</w:t>
      </w:r>
      <w:r>
        <w:rPr>
          <w:szCs w:val="24"/>
        </w:rPr>
        <w:t>. The orange curve represents the forward scan data, while the blue curve corresponds to the reverse scan data.</w:t>
      </w:r>
    </w:p>
    <w:p w14:paraId="123CAA3B">
      <w:pPr>
        <w:rPr>
          <w:szCs w:val="24"/>
        </w:rPr>
      </w:pPr>
    </w:p>
    <w:p w14:paraId="3C5B41BF">
      <w:pPr>
        <w:spacing w:line="360" w:lineRule="auto"/>
        <w:jc w:val="center"/>
        <w:rPr>
          <w:szCs w:val="24"/>
        </w:rPr>
      </w:pPr>
      <w:r>
        <w:rPr>
          <w:szCs w:val="24"/>
        </w:rPr>
        <w:drawing>
          <wp:inline distT="0" distB="0" distL="0" distR="0">
            <wp:extent cx="3394710" cy="2551430"/>
            <wp:effectExtent l="0" t="0" r="5715" b="1270"/>
            <wp:docPr id="73881031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10313" name="图片 70"/>
                    <pic:cNvPicPr>
                      <a:picLocks noChangeAspect="1" noChangeArrowheads="1"/>
                    </pic:cNvPicPr>
                  </pic:nvPicPr>
                  <pic:blipFill>
                    <a:blip r:embed="rId77">
                      <a:extLst>
                        <a:ext uri="{28A0092B-C50C-407E-A947-70E740481C1C}">
                          <a14:useLocalDpi xmlns:a14="http://schemas.microsoft.com/office/drawing/2010/main" val="0"/>
                        </a:ext>
                      </a:extLst>
                    </a:blip>
                    <a:srcRect l="3391" t="9840" r="7965" b="3036"/>
                    <a:stretch>
                      <a:fillRect/>
                    </a:stretch>
                  </pic:blipFill>
                  <pic:spPr>
                    <a:xfrm>
                      <a:off x="0" y="0"/>
                      <a:ext cx="3394710" cy="2551430"/>
                    </a:xfrm>
                    <a:prstGeom prst="rect">
                      <a:avLst/>
                    </a:prstGeom>
                    <a:noFill/>
                    <a:ln>
                      <a:noFill/>
                    </a:ln>
                  </pic:spPr>
                </pic:pic>
              </a:graphicData>
            </a:graphic>
          </wp:inline>
        </w:drawing>
      </w:r>
    </w:p>
    <w:p w14:paraId="13F60B97">
      <w:pPr>
        <w:jc w:val="both"/>
        <w:rPr>
          <w:b/>
          <w:bCs/>
          <w:szCs w:val="24"/>
        </w:rPr>
      </w:pPr>
      <w:r>
        <w:rPr>
          <w:b/>
          <w:bCs/>
          <w:szCs w:val="24"/>
        </w:rPr>
        <w:t>Fig. S3</w:t>
      </w:r>
      <w:r>
        <w:rPr>
          <w:rFonts w:hint="eastAsia"/>
          <w:b/>
          <w:bCs/>
          <w:szCs w:val="24"/>
          <w:lang w:eastAsia="zh-CN"/>
        </w:rPr>
        <w:t>3</w:t>
      </w:r>
      <w:r>
        <w:rPr>
          <w:b/>
          <w:bCs/>
          <w:szCs w:val="24"/>
        </w:rPr>
        <w:t xml:space="preserve"> Cyclic voltammetry curve of 0.5 mM Et-TBT without intramolecular S-O noncovalent interaction</w:t>
      </w:r>
      <w:r>
        <w:rPr>
          <w:b/>
          <w:bCs/>
          <w:szCs w:val="24"/>
          <w:lang w:eastAsia="zh-CN"/>
        </w:rPr>
        <w:t xml:space="preserve"> </w:t>
      </w:r>
      <w:r>
        <w:rPr>
          <w:b/>
          <w:bCs/>
          <w:szCs w:val="24"/>
        </w:rPr>
        <w:t>in PC of 0.1 M TBAPF</w:t>
      </w:r>
      <w:r>
        <w:rPr>
          <w:b/>
          <w:bCs/>
          <w:szCs w:val="24"/>
          <w:vertAlign w:val="subscript"/>
        </w:rPr>
        <w:t>6</w:t>
      </w:r>
      <w:r>
        <w:rPr>
          <w:b/>
          <w:bCs/>
          <w:szCs w:val="24"/>
        </w:rPr>
        <w:t xml:space="preserve"> at the electrode potentials in non-Farada</w:t>
      </w:r>
      <w:r>
        <w:rPr>
          <w:b/>
          <w:bCs/>
          <w:szCs w:val="24"/>
          <w:lang w:eastAsia="zh-CN"/>
        </w:rPr>
        <w:t>ic</w:t>
      </w:r>
      <w:r>
        <w:rPr>
          <w:b/>
          <w:bCs/>
          <w:szCs w:val="24"/>
        </w:rPr>
        <w:t xml:space="preserve"> region (gate voltage </w:t>
      </w:r>
      <w:r>
        <w:rPr>
          <w:b/>
          <w:bCs/>
          <w:i/>
          <w:iCs/>
          <w:szCs w:val="24"/>
        </w:rPr>
        <w:t>V</w:t>
      </w:r>
      <w:r>
        <w:rPr>
          <w:b/>
          <w:bCs/>
          <w:szCs w:val="24"/>
          <w:vertAlign w:val="subscript"/>
        </w:rPr>
        <w:t>G</w:t>
      </w:r>
      <w:r>
        <w:rPr>
          <w:b/>
          <w:bCs/>
          <w:szCs w:val="24"/>
        </w:rPr>
        <w:t xml:space="preserve"> = </w:t>
      </w:r>
      <w:r>
        <w:rPr>
          <w:b/>
          <w:bCs/>
          <w:color w:val="000000"/>
          <w:szCs w:val="24"/>
          <w:lang w:eastAsia="zh-CN"/>
        </w:rPr>
        <w:t>–</w:t>
      </w:r>
      <w:r>
        <w:rPr>
          <w:b/>
          <w:bCs/>
          <w:szCs w:val="24"/>
        </w:rPr>
        <w:t>0.4~0.5 V).</w:t>
      </w:r>
    </w:p>
    <w:p w14:paraId="6127531B">
      <w:pPr>
        <w:rPr>
          <w:b/>
          <w:bCs/>
          <w:szCs w:val="24"/>
        </w:rPr>
      </w:pPr>
    </w:p>
    <w:p w14:paraId="3CAC15F0">
      <w:pPr>
        <w:spacing w:line="360" w:lineRule="auto"/>
        <w:jc w:val="center"/>
        <w:rPr>
          <w:szCs w:val="24"/>
        </w:rPr>
      </w:pPr>
      <w:r>
        <w:drawing>
          <wp:inline distT="0" distB="0" distL="0" distR="0">
            <wp:extent cx="3959860" cy="3539490"/>
            <wp:effectExtent l="0" t="0" r="2540" b="3810"/>
            <wp:docPr id="11863264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26444" name="图片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3960000" cy="3540000"/>
                    </a:xfrm>
                    <a:prstGeom prst="rect">
                      <a:avLst/>
                    </a:prstGeom>
                    <a:noFill/>
                    <a:ln>
                      <a:noFill/>
                    </a:ln>
                  </pic:spPr>
                </pic:pic>
              </a:graphicData>
            </a:graphic>
          </wp:inline>
        </w:drawing>
      </w:r>
    </w:p>
    <w:p w14:paraId="30D27DF1">
      <w:pPr>
        <w:spacing w:before="120"/>
        <w:jc w:val="both"/>
        <w:rPr>
          <w:szCs w:val="24"/>
        </w:rPr>
      </w:pPr>
      <w:r>
        <w:rPr>
          <w:b/>
          <w:bCs/>
          <w:szCs w:val="24"/>
        </w:rPr>
        <w:t>Fig. S3</w:t>
      </w:r>
      <w:r>
        <w:rPr>
          <w:rFonts w:hint="eastAsia"/>
          <w:b/>
          <w:bCs/>
          <w:szCs w:val="24"/>
          <w:lang w:eastAsia="zh-CN"/>
        </w:rPr>
        <w:t>4</w:t>
      </w:r>
      <w:r>
        <w:rPr>
          <w:b/>
          <w:bCs/>
          <w:szCs w:val="24"/>
        </w:rPr>
        <w:t xml:space="preserve"> Single-molecule electrochemical transistor based on 0.5 mM MeO-TBT in PC solution of 0.2 M TBABF</w:t>
      </w:r>
      <w:r>
        <w:rPr>
          <w:b/>
          <w:bCs/>
          <w:szCs w:val="24"/>
          <w:vertAlign w:val="subscript"/>
        </w:rPr>
        <w:t>4</w:t>
      </w:r>
      <w:r>
        <w:rPr>
          <w:b/>
          <w:bCs/>
          <w:szCs w:val="24"/>
        </w:rPr>
        <w:t xml:space="preserve">. </w:t>
      </w:r>
      <w:r>
        <w:rPr>
          <w:rFonts w:hint="eastAsia"/>
          <w:b/>
          <w:bCs/>
          <w:szCs w:val="24"/>
          <w:lang w:eastAsia="zh-CN"/>
        </w:rPr>
        <w:t>a</w:t>
      </w:r>
      <w:r>
        <w:rPr>
          <w:b/>
          <w:bCs/>
          <w:szCs w:val="24"/>
        </w:rPr>
        <w:t xml:space="preserve">, </w:t>
      </w:r>
      <w:r>
        <w:rPr>
          <w:rFonts w:hint="eastAsia"/>
          <w:b/>
          <w:bCs/>
          <w:szCs w:val="24"/>
          <w:lang w:eastAsia="zh-CN"/>
        </w:rPr>
        <w:t>b</w:t>
      </w:r>
      <w:r>
        <w:rPr>
          <w:b/>
          <w:bCs/>
          <w:szCs w:val="24"/>
        </w:rPr>
        <w:t xml:space="preserve">, </w:t>
      </w:r>
      <w:r>
        <w:rPr>
          <w:rFonts w:hint="eastAsia"/>
          <w:b/>
          <w:bCs/>
          <w:szCs w:val="24"/>
          <w:lang w:eastAsia="zh-CN"/>
        </w:rPr>
        <w:t>c</w:t>
      </w:r>
      <w:r>
        <w:rPr>
          <w:b/>
          <w:bCs/>
          <w:szCs w:val="24"/>
        </w:rPr>
        <w:t xml:space="preserve">, </w:t>
      </w:r>
      <w:r>
        <w:rPr>
          <w:szCs w:val="24"/>
        </w:rPr>
        <w:t>Statistical transfer characteristic (</w:t>
      </w:r>
      <w:r>
        <w:rPr>
          <w:i/>
          <w:iCs/>
          <w:szCs w:val="24"/>
        </w:rPr>
        <w:t>I</w:t>
      </w:r>
      <w:r>
        <w:rPr>
          <w:szCs w:val="24"/>
        </w:rPr>
        <w:t>-</w:t>
      </w:r>
      <w:r>
        <w:rPr>
          <w:i/>
          <w:iCs/>
          <w:szCs w:val="24"/>
        </w:rPr>
        <w:t>V</w:t>
      </w:r>
      <w:r>
        <w:rPr>
          <w:szCs w:val="24"/>
          <w:vertAlign w:val="subscript"/>
        </w:rPr>
        <w:t>G</w:t>
      </w:r>
      <w:r>
        <w:rPr>
          <w:szCs w:val="24"/>
        </w:rPr>
        <w:t xml:space="preserve">) curves (over 400 </w:t>
      </w:r>
      <w:r>
        <w:rPr>
          <w:color w:val="222222"/>
          <w:szCs w:val="24"/>
          <w:shd w:val="clear" w:color="auto" w:fill="FFFFFF"/>
        </w:rPr>
        <w:t>traces</w:t>
      </w:r>
      <w:r>
        <w:rPr>
          <w:szCs w:val="24"/>
        </w:rPr>
        <w:t xml:space="preserve">) illustrate both forward and reverse scans, and fitting curves (depicted in the inset) for single-molecule transistors under 0.1 V bias. </w:t>
      </w:r>
      <w:r>
        <w:rPr>
          <w:rFonts w:hint="eastAsia"/>
          <w:b/>
          <w:bCs/>
          <w:szCs w:val="24"/>
          <w:lang w:eastAsia="zh-CN"/>
        </w:rPr>
        <w:t>d</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B</w:t>
      </w:r>
      <w:r>
        <w:rPr>
          <w:szCs w:val="24"/>
        </w:rPr>
        <w:t xml:space="preserve"> characteristic curves (over 2000 </w:t>
      </w:r>
      <w:r>
        <w:rPr>
          <w:color w:val="222222"/>
          <w:szCs w:val="24"/>
          <w:shd w:val="clear" w:color="auto" w:fill="FFFFFF"/>
        </w:rPr>
        <w:t>traces</w:t>
      </w:r>
      <w:r>
        <w:rPr>
          <w:szCs w:val="24"/>
        </w:rPr>
        <w:t xml:space="preserve">) and fitting curves (depicted in the inset) represent both forward and reverse scans at the electrode potential of </w:t>
      </w:r>
      <w:r>
        <w:rPr>
          <w:color w:val="000000"/>
          <w:szCs w:val="24"/>
          <w:lang w:eastAsia="zh-CN"/>
        </w:rPr>
        <w:t>–</w:t>
      </w:r>
      <w:r>
        <w:rPr>
          <w:szCs w:val="24"/>
        </w:rPr>
        <w:t xml:space="preserve">0.4 V for the single-molecule transistor utilizing </w:t>
      </w:r>
      <w:r>
        <w:rPr>
          <w:b/>
          <w:bCs/>
          <w:szCs w:val="24"/>
        </w:rPr>
        <w:t>MeO-TBT</w:t>
      </w:r>
      <w:r>
        <w:rPr>
          <w:szCs w:val="24"/>
        </w:rPr>
        <w:t xml:space="preserve">. The orange curve represents the forward scan data, while the blue curve corresponds to the reverse scan data. </w:t>
      </w:r>
    </w:p>
    <w:p w14:paraId="163653A8">
      <w:pPr>
        <w:rPr>
          <w:szCs w:val="24"/>
          <w:lang w:eastAsia="zh-CN"/>
        </w:rPr>
      </w:pPr>
    </w:p>
    <w:p w14:paraId="3D3403FC">
      <w:pPr>
        <w:spacing w:before="120"/>
        <w:jc w:val="center"/>
        <w:rPr>
          <w:szCs w:val="24"/>
        </w:rPr>
      </w:pPr>
      <w:r>
        <w:drawing>
          <wp:inline distT="0" distB="0" distL="0" distR="0">
            <wp:extent cx="3599815" cy="3314700"/>
            <wp:effectExtent l="0" t="0" r="635" b="0"/>
            <wp:docPr id="10048220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22027" name="图片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3600000" cy="3314894"/>
                    </a:xfrm>
                    <a:prstGeom prst="rect">
                      <a:avLst/>
                    </a:prstGeom>
                    <a:noFill/>
                    <a:ln>
                      <a:noFill/>
                    </a:ln>
                  </pic:spPr>
                </pic:pic>
              </a:graphicData>
            </a:graphic>
          </wp:inline>
        </w:drawing>
      </w:r>
    </w:p>
    <w:p w14:paraId="0F89BDFB">
      <w:pPr>
        <w:spacing w:before="120"/>
        <w:jc w:val="both"/>
        <w:rPr>
          <w:szCs w:val="24"/>
        </w:rPr>
      </w:pPr>
      <w:r>
        <w:rPr>
          <w:b/>
          <w:bCs/>
          <w:szCs w:val="24"/>
        </w:rPr>
        <w:t>Fig. S3</w:t>
      </w:r>
      <w:r>
        <w:rPr>
          <w:rFonts w:hint="eastAsia"/>
          <w:b/>
          <w:bCs/>
          <w:szCs w:val="24"/>
          <w:lang w:eastAsia="zh-CN"/>
        </w:rPr>
        <w:t>5</w:t>
      </w:r>
      <w:r>
        <w:rPr>
          <w:b/>
          <w:bCs/>
          <w:szCs w:val="24"/>
        </w:rPr>
        <w:t xml:space="preserve"> Single-molecule electrochemical transistor based on 0.5 mM MeO-TBT in PC solution of 0.2 M LiTFSI. </w:t>
      </w:r>
      <w:r>
        <w:rPr>
          <w:rFonts w:hint="eastAsia"/>
          <w:b/>
          <w:bCs/>
          <w:szCs w:val="24"/>
          <w:lang w:eastAsia="zh-CN"/>
        </w:rPr>
        <w:t>a</w:t>
      </w:r>
      <w:r>
        <w:rPr>
          <w:b/>
          <w:bCs/>
          <w:szCs w:val="24"/>
        </w:rPr>
        <w:t xml:space="preserve">, </w:t>
      </w:r>
      <w:r>
        <w:rPr>
          <w:rFonts w:hint="eastAsia"/>
          <w:b/>
          <w:bCs/>
          <w:szCs w:val="24"/>
          <w:lang w:eastAsia="zh-CN"/>
        </w:rPr>
        <w:t>b</w:t>
      </w:r>
      <w:r>
        <w:rPr>
          <w:b/>
          <w:bCs/>
          <w:szCs w:val="24"/>
        </w:rPr>
        <w:t>,</w:t>
      </w:r>
      <w:r>
        <w:rPr>
          <w:szCs w:val="24"/>
        </w:rPr>
        <w:t xml:space="preserve"> </w:t>
      </w:r>
      <w:r>
        <w:rPr>
          <w:rFonts w:hint="eastAsia"/>
          <w:b/>
          <w:bCs/>
          <w:szCs w:val="24"/>
          <w:lang w:eastAsia="zh-CN"/>
        </w:rPr>
        <w:t>c</w:t>
      </w:r>
      <w:r>
        <w:rPr>
          <w:b/>
          <w:bCs/>
          <w:szCs w:val="24"/>
        </w:rPr>
        <w:t>,</w:t>
      </w:r>
      <w:r>
        <w:rPr>
          <w:szCs w:val="24"/>
        </w:rPr>
        <w:t xml:space="preserve"> Statistical transfer characteristic (</w:t>
      </w:r>
      <w:r>
        <w:rPr>
          <w:i/>
          <w:iCs/>
          <w:szCs w:val="24"/>
        </w:rPr>
        <w:t>I</w:t>
      </w:r>
      <w:r>
        <w:rPr>
          <w:szCs w:val="24"/>
        </w:rPr>
        <w:t>-</w:t>
      </w:r>
      <w:r>
        <w:rPr>
          <w:i/>
          <w:iCs/>
          <w:szCs w:val="24"/>
        </w:rPr>
        <w:t>V</w:t>
      </w:r>
      <w:r>
        <w:rPr>
          <w:szCs w:val="24"/>
          <w:vertAlign w:val="subscript"/>
        </w:rPr>
        <w:t>G</w:t>
      </w:r>
      <w:r>
        <w:rPr>
          <w:szCs w:val="24"/>
        </w:rPr>
        <w:t xml:space="preserve">) curves (over 400 </w:t>
      </w:r>
      <w:r>
        <w:rPr>
          <w:color w:val="222222"/>
          <w:szCs w:val="24"/>
          <w:shd w:val="clear" w:color="auto" w:fill="FFFFFF"/>
        </w:rPr>
        <w:t>traces</w:t>
      </w:r>
      <w:r>
        <w:rPr>
          <w:szCs w:val="24"/>
        </w:rPr>
        <w:t xml:space="preserve">) illustrate both forward and reverse scans, and fitting curves (depicted in the inset) for single-molecule transistors under 0.1 V bias. </w:t>
      </w:r>
      <w:r>
        <w:rPr>
          <w:rFonts w:hint="eastAsia"/>
          <w:b/>
          <w:bCs/>
          <w:szCs w:val="24"/>
          <w:lang w:eastAsia="zh-CN"/>
        </w:rPr>
        <w:t>d</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B</w:t>
      </w:r>
      <w:r>
        <w:rPr>
          <w:szCs w:val="24"/>
        </w:rPr>
        <w:t xml:space="preserve"> characteristic curves (over 2000 </w:t>
      </w:r>
      <w:r>
        <w:rPr>
          <w:color w:val="222222"/>
          <w:szCs w:val="24"/>
          <w:shd w:val="clear" w:color="auto" w:fill="FFFFFF"/>
        </w:rPr>
        <w:t>traces</w:t>
      </w:r>
      <w:r>
        <w:rPr>
          <w:szCs w:val="24"/>
        </w:rPr>
        <w:t xml:space="preserve">) and fitting curves (depicted in the inset) represent both forward and reverse scans at the electrode potential of </w:t>
      </w:r>
      <w:r>
        <w:rPr>
          <w:color w:val="000000"/>
          <w:szCs w:val="24"/>
          <w:lang w:eastAsia="zh-CN"/>
        </w:rPr>
        <w:t>–</w:t>
      </w:r>
      <w:r>
        <w:rPr>
          <w:szCs w:val="24"/>
        </w:rPr>
        <w:t xml:space="preserve">0.4 V for the single-molecule transistor utilizing </w:t>
      </w:r>
      <w:r>
        <w:rPr>
          <w:b/>
          <w:bCs/>
          <w:szCs w:val="24"/>
        </w:rPr>
        <w:t>MeO-TBT</w:t>
      </w:r>
      <w:r>
        <w:rPr>
          <w:szCs w:val="24"/>
        </w:rPr>
        <w:t xml:space="preserve">. The orange curve represents the forward scan data, while the blue curve corresponds to the reverse scan data. </w:t>
      </w:r>
    </w:p>
    <w:p w14:paraId="3249FB16">
      <w:pPr>
        <w:rPr>
          <w:szCs w:val="24"/>
          <w:lang w:eastAsia="zh-CN"/>
        </w:rPr>
      </w:pPr>
    </w:p>
    <w:p w14:paraId="5B32379C">
      <w:pPr>
        <w:spacing w:after="120" w:line="360" w:lineRule="auto"/>
        <w:jc w:val="center"/>
        <w:rPr>
          <w:szCs w:val="24"/>
        </w:rPr>
      </w:pPr>
      <w:r>
        <w:drawing>
          <wp:inline distT="0" distB="0" distL="0" distR="0">
            <wp:extent cx="3599815" cy="3392170"/>
            <wp:effectExtent l="0" t="0" r="635" b="0"/>
            <wp:docPr id="14051425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42534" name="图片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3600000" cy="3392308"/>
                    </a:xfrm>
                    <a:prstGeom prst="rect">
                      <a:avLst/>
                    </a:prstGeom>
                    <a:noFill/>
                    <a:ln>
                      <a:noFill/>
                    </a:ln>
                  </pic:spPr>
                </pic:pic>
              </a:graphicData>
            </a:graphic>
          </wp:inline>
        </w:drawing>
      </w:r>
    </w:p>
    <w:p w14:paraId="308C337D">
      <w:pPr>
        <w:spacing w:before="120"/>
        <w:jc w:val="both"/>
        <w:rPr>
          <w:szCs w:val="24"/>
        </w:rPr>
      </w:pPr>
      <w:r>
        <w:rPr>
          <w:b/>
          <w:bCs/>
          <w:szCs w:val="24"/>
        </w:rPr>
        <w:t>Fig. S3</w:t>
      </w:r>
      <w:r>
        <w:rPr>
          <w:rFonts w:hint="eastAsia"/>
          <w:b/>
          <w:bCs/>
          <w:szCs w:val="24"/>
          <w:lang w:eastAsia="zh-CN"/>
        </w:rPr>
        <w:t>6</w:t>
      </w:r>
      <w:r>
        <w:rPr>
          <w:b/>
          <w:bCs/>
          <w:szCs w:val="24"/>
        </w:rPr>
        <w:t xml:space="preserve"> Single-molecule electrochemical transistor based on 0.5 mM MeO-TBT in PC solution of 0.05 M TEAPF</w:t>
      </w:r>
      <w:r>
        <w:rPr>
          <w:b/>
          <w:bCs/>
          <w:szCs w:val="24"/>
          <w:vertAlign w:val="subscript"/>
        </w:rPr>
        <w:t>6</w:t>
      </w:r>
      <w:r>
        <w:rPr>
          <w:b/>
          <w:bCs/>
          <w:szCs w:val="24"/>
        </w:rPr>
        <w:t xml:space="preserve">. </w:t>
      </w:r>
      <w:r>
        <w:rPr>
          <w:rFonts w:hint="eastAsia"/>
          <w:b/>
          <w:bCs/>
          <w:szCs w:val="24"/>
          <w:lang w:eastAsia="zh-CN"/>
        </w:rPr>
        <w:t>a</w:t>
      </w:r>
      <w:r>
        <w:rPr>
          <w:b/>
          <w:bCs/>
          <w:szCs w:val="24"/>
        </w:rPr>
        <w:t xml:space="preserve">, </w:t>
      </w:r>
      <w:r>
        <w:rPr>
          <w:rFonts w:hint="eastAsia"/>
          <w:b/>
          <w:bCs/>
          <w:szCs w:val="24"/>
          <w:lang w:eastAsia="zh-CN"/>
        </w:rPr>
        <w:t>b</w:t>
      </w:r>
      <w:r>
        <w:rPr>
          <w:b/>
          <w:bCs/>
          <w:szCs w:val="24"/>
        </w:rPr>
        <w:t>,</w:t>
      </w:r>
      <w:r>
        <w:rPr>
          <w:szCs w:val="24"/>
        </w:rPr>
        <w:t xml:space="preserve"> </w:t>
      </w:r>
      <w:r>
        <w:rPr>
          <w:rFonts w:hint="eastAsia"/>
          <w:b/>
          <w:bCs/>
          <w:szCs w:val="24"/>
          <w:lang w:eastAsia="zh-CN"/>
        </w:rPr>
        <w:t>c</w:t>
      </w:r>
      <w:r>
        <w:rPr>
          <w:b/>
          <w:bCs/>
          <w:szCs w:val="24"/>
        </w:rPr>
        <w:t>,</w:t>
      </w:r>
      <w:r>
        <w:rPr>
          <w:szCs w:val="24"/>
        </w:rPr>
        <w:t xml:space="preserve"> Statistical transfer characteristic (</w:t>
      </w:r>
      <w:r>
        <w:rPr>
          <w:i/>
          <w:iCs/>
          <w:szCs w:val="24"/>
        </w:rPr>
        <w:t>I</w:t>
      </w:r>
      <w:r>
        <w:rPr>
          <w:szCs w:val="24"/>
        </w:rPr>
        <w:t>-</w:t>
      </w:r>
      <w:r>
        <w:rPr>
          <w:i/>
          <w:iCs/>
          <w:szCs w:val="24"/>
        </w:rPr>
        <w:t>V</w:t>
      </w:r>
      <w:r>
        <w:rPr>
          <w:szCs w:val="24"/>
          <w:vertAlign w:val="subscript"/>
        </w:rPr>
        <w:t>G</w:t>
      </w:r>
      <w:r>
        <w:rPr>
          <w:szCs w:val="24"/>
        </w:rPr>
        <w:t xml:space="preserve">) curves (over 400 </w:t>
      </w:r>
      <w:r>
        <w:rPr>
          <w:color w:val="222222"/>
          <w:szCs w:val="24"/>
          <w:shd w:val="clear" w:color="auto" w:fill="FFFFFF"/>
        </w:rPr>
        <w:t>traces</w:t>
      </w:r>
      <w:r>
        <w:rPr>
          <w:szCs w:val="24"/>
        </w:rPr>
        <w:t xml:space="preserve">) illustrate both forward and reverse scans, and fitting curves (depicted in the inset) for single-molecule transistors under 0.1 V bias. </w:t>
      </w:r>
      <w:r>
        <w:rPr>
          <w:rFonts w:hint="eastAsia"/>
          <w:b/>
          <w:bCs/>
          <w:szCs w:val="24"/>
          <w:lang w:eastAsia="zh-CN"/>
        </w:rPr>
        <w:t>d</w:t>
      </w:r>
      <w:r>
        <w:rPr>
          <w:b/>
          <w:bCs/>
          <w:szCs w:val="24"/>
        </w:rPr>
        <w:t xml:space="preserve">, </w:t>
      </w:r>
      <w:r>
        <w:rPr>
          <w:szCs w:val="24"/>
        </w:rPr>
        <w:t xml:space="preserve">Statistical </w:t>
      </w:r>
      <w:r>
        <w:rPr>
          <w:i/>
          <w:iCs/>
          <w:szCs w:val="24"/>
        </w:rPr>
        <w:t>I</w:t>
      </w:r>
      <w:r>
        <w:rPr>
          <w:szCs w:val="24"/>
        </w:rPr>
        <w:t>-</w:t>
      </w:r>
      <w:r>
        <w:rPr>
          <w:i/>
          <w:iCs/>
          <w:szCs w:val="24"/>
        </w:rPr>
        <w:t>V</w:t>
      </w:r>
      <w:r>
        <w:rPr>
          <w:szCs w:val="24"/>
          <w:vertAlign w:val="subscript"/>
        </w:rPr>
        <w:t>B</w:t>
      </w:r>
      <w:r>
        <w:rPr>
          <w:szCs w:val="24"/>
        </w:rPr>
        <w:t xml:space="preserve"> characteristic curves (over 2000 </w:t>
      </w:r>
      <w:r>
        <w:rPr>
          <w:color w:val="222222"/>
          <w:szCs w:val="24"/>
          <w:shd w:val="clear" w:color="auto" w:fill="FFFFFF"/>
        </w:rPr>
        <w:t>traces</w:t>
      </w:r>
      <w:r>
        <w:rPr>
          <w:szCs w:val="24"/>
        </w:rPr>
        <w:t xml:space="preserve">) and fitting curves (depicted in the inset) represent both forward and reverse scans at the electrode potential of </w:t>
      </w:r>
      <w:r>
        <w:rPr>
          <w:color w:val="000000"/>
          <w:szCs w:val="24"/>
          <w:lang w:eastAsia="zh-CN"/>
        </w:rPr>
        <w:t>–</w:t>
      </w:r>
      <w:r>
        <w:rPr>
          <w:szCs w:val="24"/>
        </w:rPr>
        <w:t xml:space="preserve">0.4 V for the single-molecule transistor utilizing </w:t>
      </w:r>
      <w:r>
        <w:rPr>
          <w:b/>
          <w:bCs/>
          <w:szCs w:val="24"/>
        </w:rPr>
        <w:t>MeO-TBT</w:t>
      </w:r>
      <w:r>
        <w:rPr>
          <w:szCs w:val="24"/>
        </w:rPr>
        <w:t xml:space="preserve">. The orange curve represents the forward scan data, while the blue curve corresponds to the reverse scan data. </w:t>
      </w:r>
    </w:p>
    <w:p w14:paraId="0DA017C2">
      <w:pPr>
        <w:spacing w:before="120" w:after="120"/>
        <w:jc w:val="both"/>
        <w:rPr>
          <w:szCs w:val="24"/>
        </w:rPr>
      </w:pPr>
      <w:bookmarkStart w:id="23" w:name="_GoBack"/>
      <w:bookmarkEnd w:id="23"/>
    </w:p>
    <w:p w14:paraId="51BC1CAE">
      <w:pPr>
        <w:spacing w:line="360" w:lineRule="auto"/>
        <w:jc w:val="center"/>
        <w:rPr>
          <w:b/>
          <w:bCs/>
          <w:szCs w:val="24"/>
        </w:rPr>
      </w:pPr>
      <w:r>
        <w:rPr>
          <w:b/>
          <w:bCs/>
          <w:szCs w:val="24"/>
        </w:rPr>
        <w:t>Table S5 Conductivity of different electrolytes</w:t>
      </w:r>
    </w:p>
    <w:tbl>
      <w:tblPr>
        <w:tblStyle w:val="88"/>
        <w:tblW w:w="877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757"/>
        <w:gridCol w:w="2339"/>
        <w:gridCol w:w="2339"/>
        <w:gridCol w:w="2339"/>
      </w:tblGrid>
      <w:tr w14:paraId="6BCCC13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37" w:hRule="exact"/>
          <w:jc w:val="center"/>
        </w:trPr>
        <w:tc>
          <w:tcPr>
            <w:tcW w:w="1757" w:type="dxa"/>
            <w:tcBorders>
              <w:top w:val="single" w:color="auto" w:sz="4" w:space="0"/>
              <w:left w:val="nil"/>
              <w:bottom w:val="single" w:color="auto" w:sz="4" w:space="0"/>
            </w:tcBorders>
            <w:vAlign w:val="center"/>
          </w:tcPr>
          <w:p w14:paraId="38A529AF">
            <w:pPr>
              <w:jc w:val="center"/>
              <w:rPr>
                <w:b/>
                <w:bCs/>
                <w:szCs w:val="24"/>
              </w:rPr>
            </w:pPr>
            <w:r>
              <w:rPr>
                <w:b/>
                <w:bCs/>
                <w:szCs w:val="24"/>
              </w:rPr>
              <w:t>Concentration / M</w:t>
            </w:r>
          </w:p>
        </w:tc>
        <w:tc>
          <w:tcPr>
            <w:tcW w:w="2339" w:type="dxa"/>
            <w:tcBorders>
              <w:top w:val="single" w:color="auto" w:sz="4" w:space="0"/>
              <w:bottom w:val="single" w:color="auto" w:sz="4" w:space="0"/>
            </w:tcBorders>
            <w:vAlign w:val="center"/>
          </w:tcPr>
          <w:p w14:paraId="333CFCAF">
            <w:pPr>
              <w:jc w:val="center"/>
              <w:rPr>
                <w:b/>
                <w:bCs/>
                <w:szCs w:val="24"/>
              </w:rPr>
            </w:pPr>
            <w:r>
              <w:rPr>
                <w:b/>
                <w:bCs/>
                <w:szCs w:val="24"/>
              </w:rPr>
              <w:t>Conductivity of TBAPF</w:t>
            </w:r>
            <w:r>
              <w:rPr>
                <w:b/>
                <w:bCs/>
                <w:szCs w:val="24"/>
                <w:vertAlign w:val="subscript"/>
              </w:rPr>
              <w:t>6</w:t>
            </w:r>
            <w:r>
              <w:rPr>
                <w:b/>
                <w:bCs/>
                <w:szCs w:val="24"/>
              </w:rPr>
              <w:t xml:space="preserve"> / (μS</w:t>
            </w:r>
            <w:r>
              <w:rPr>
                <w:rFonts w:hint="eastAsia"/>
                <w:b/>
                <w:bCs/>
                <w:szCs w:val="24"/>
                <w:lang w:eastAsia="zh-CN"/>
              </w:rPr>
              <w:t xml:space="preserve"> </w:t>
            </w:r>
            <w:r>
              <w:rPr>
                <w:b/>
                <w:bCs/>
                <w:szCs w:val="24"/>
              </w:rPr>
              <w:t>cm</w:t>
            </w:r>
            <w:r>
              <w:rPr>
                <w:b/>
                <w:bCs/>
                <w:szCs w:val="24"/>
                <w:vertAlign w:val="superscript"/>
              </w:rPr>
              <w:t>-1</w:t>
            </w:r>
            <w:r>
              <w:rPr>
                <w:b/>
                <w:bCs/>
                <w:szCs w:val="24"/>
              </w:rPr>
              <w:t>)</w:t>
            </w:r>
          </w:p>
        </w:tc>
        <w:tc>
          <w:tcPr>
            <w:tcW w:w="2339" w:type="dxa"/>
            <w:tcBorders>
              <w:top w:val="single" w:color="auto" w:sz="4" w:space="0"/>
              <w:bottom w:val="single" w:color="auto" w:sz="4" w:space="0"/>
            </w:tcBorders>
            <w:vAlign w:val="center"/>
          </w:tcPr>
          <w:p w14:paraId="45B6A4CF">
            <w:pPr>
              <w:jc w:val="center"/>
              <w:rPr>
                <w:b/>
                <w:bCs/>
                <w:szCs w:val="24"/>
              </w:rPr>
            </w:pPr>
            <w:r>
              <w:rPr>
                <w:b/>
                <w:bCs/>
                <w:szCs w:val="24"/>
              </w:rPr>
              <w:t>Conductivity of TEAPF</w:t>
            </w:r>
            <w:r>
              <w:rPr>
                <w:b/>
                <w:bCs/>
                <w:szCs w:val="24"/>
                <w:vertAlign w:val="subscript"/>
              </w:rPr>
              <w:t>6</w:t>
            </w:r>
            <w:r>
              <w:rPr>
                <w:b/>
                <w:bCs/>
                <w:szCs w:val="24"/>
              </w:rPr>
              <w:t xml:space="preserve"> / (μS</w:t>
            </w:r>
            <w:r>
              <w:rPr>
                <w:rFonts w:hint="eastAsia"/>
                <w:b/>
                <w:bCs/>
                <w:szCs w:val="24"/>
                <w:lang w:eastAsia="zh-CN"/>
              </w:rPr>
              <w:t xml:space="preserve"> </w:t>
            </w:r>
            <w:r>
              <w:rPr>
                <w:b/>
                <w:bCs/>
                <w:szCs w:val="24"/>
              </w:rPr>
              <w:t>cm</w:t>
            </w:r>
            <w:r>
              <w:rPr>
                <w:b/>
                <w:bCs/>
                <w:szCs w:val="24"/>
                <w:vertAlign w:val="superscript"/>
              </w:rPr>
              <w:t>-1</w:t>
            </w:r>
            <w:r>
              <w:rPr>
                <w:b/>
                <w:bCs/>
                <w:szCs w:val="24"/>
              </w:rPr>
              <w:t>)</w:t>
            </w:r>
          </w:p>
        </w:tc>
        <w:tc>
          <w:tcPr>
            <w:tcW w:w="2339" w:type="dxa"/>
            <w:tcBorders>
              <w:top w:val="single" w:color="auto" w:sz="4" w:space="0"/>
              <w:bottom w:val="single" w:color="auto" w:sz="4" w:space="0"/>
              <w:right w:val="nil"/>
            </w:tcBorders>
            <w:vAlign w:val="center"/>
          </w:tcPr>
          <w:p w14:paraId="0ADD6DDF">
            <w:pPr>
              <w:jc w:val="center"/>
              <w:rPr>
                <w:b/>
                <w:bCs/>
                <w:szCs w:val="24"/>
              </w:rPr>
            </w:pPr>
            <w:r>
              <w:rPr>
                <w:b/>
                <w:bCs/>
                <w:szCs w:val="24"/>
              </w:rPr>
              <w:t>Conductivity of TBABF</w:t>
            </w:r>
            <w:r>
              <w:rPr>
                <w:b/>
                <w:bCs/>
                <w:szCs w:val="24"/>
                <w:vertAlign w:val="subscript"/>
              </w:rPr>
              <w:t>4</w:t>
            </w:r>
            <w:r>
              <w:rPr>
                <w:b/>
                <w:bCs/>
                <w:szCs w:val="24"/>
              </w:rPr>
              <w:t xml:space="preserve"> / (μS</w:t>
            </w:r>
            <w:r>
              <w:rPr>
                <w:rFonts w:hint="eastAsia"/>
                <w:b/>
                <w:bCs/>
                <w:szCs w:val="24"/>
                <w:lang w:eastAsia="zh-CN"/>
              </w:rPr>
              <w:t xml:space="preserve"> </w:t>
            </w:r>
            <w:r>
              <w:rPr>
                <w:b/>
                <w:bCs/>
                <w:szCs w:val="24"/>
              </w:rPr>
              <w:t>cm</w:t>
            </w:r>
            <w:r>
              <w:rPr>
                <w:b/>
                <w:bCs/>
                <w:szCs w:val="24"/>
                <w:vertAlign w:val="superscript"/>
              </w:rPr>
              <w:t>-1</w:t>
            </w:r>
            <w:r>
              <w:rPr>
                <w:b/>
                <w:bCs/>
                <w:szCs w:val="24"/>
              </w:rPr>
              <w:t>)</w:t>
            </w:r>
          </w:p>
        </w:tc>
      </w:tr>
      <w:tr w14:paraId="388B594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exact"/>
          <w:jc w:val="center"/>
        </w:trPr>
        <w:tc>
          <w:tcPr>
            <w:tcW w:w="1757" w:type="dxa"/>
            <w:tcBorders>
              <w:top w:val="single" w:color="auto" w:sz="4" w:space="0"/>
              <w:left w:val="nil"/>
            </w:tcBorders>
            <w:vAlign w:val="center"/>
          </w:tcPr>
          <w:p w14:paraId="291DB745">
            <w:pPr>
              <w:jc w:val="center"/>
              <w:rPr>
                <w:szCs w:val="24"/>
              </w:rPr>
            </w:pPr>
            <w:r>
              <w:rPr>
                <w:szCs w:val="24"/>
              </w:rPr>
              <w:t>0.01</w:t>
            </w:r>
          </w:p>
        </w:tc>
        <w:tc>
          <w:tcPr>
            <w:tcW w:w="2339" w:type="dxa"/>
            <w:tcBorders>
              <w:top w:val="single" w:color="auto" w:sz="4" w:space="0"/>
            </w:tcBorders>
            <w:vAlign w:val="center"/>
          </w:tcPr>
          <w:p w14:paraId="740CACCD">
            <w:pPr>
              <w:jc w:val="center"/>
              <w:rPr>
                <w:szCs w:val="24"/>
              </w:rPr>
            </w:pPr>
            <w:r>
              <w:rPr>
                <w:color w:val="000000"/>
                <w:szCs w:val="24"/>
              </w:rPr>
              <w:t>223</w:t>
            </w:r>
          </w:p>
        </w:tc>
        <w:tc>
          <w:tcPr>
            <w:tcW w:w="2339" w:type="dxa"/>
            <w:tcBorders>
              <w:top w:val="single" w:color="auto" w:sz="4" w:space="0"/>
            </w:tcBorders>
            <w:vAlign w:val="center"/>
          </w:tcPr>
          <w:p w14:paraId="254E3367">
            <w:pPr>
              <w:jc w:val="center"/>
              <w:rPr>
                <w:szCs w:val="24"/>
              </w:rPr>
            </w:pPr>
            <w:r>
              <w:rPr>
                <w:color w:val="000000"/>
                <w:szCs w:val="24"/>
              </w:rPr>
              <w:t>278</w:t>
            </w:r>
          </w:p>
        </w:tc>
        <w:tc>
          <w:tcPr>
            <w:tcW w:w="2339" w:type="dxa"/>
            <w:tcBorders>
              <w:top w:val="single" w:color="auto" w:sz="4" w:space="0"/>
              <w:right w:val="nil"/>
            </w:tcBorders>
            <w:vAlign w:val="center"/>
          </w:tcPr>
          <w:p w14:paraId="4416C4DE">
            <w:pPr>
              <w:jc w:val="center"/>
              <w:rPr>
                <w:szCs w:val="24"/>
              </w:rPr>
            </w:pPr>
            <w:r>
              <w:rPr>
                <w:color w:val="000000"/>
                <w:szCs w:val="24"/>
              </w:rPr>
              <w:t>251</w:t>
            </w:r>
          </w:p>
        </w:tc>
      </w:tr>
      <w:tr w14:paraId="113AE73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exact"/>
          <w:jc w:val="center"/>
        </w:trPr>
        <w:tc>
          <w:tcPr>
            <w:tcW w:w="1757" w:type="dxa"/>
            <w:tcBorders>
              <w:left w:val="nil"/>
            </w:tcBorders>
            <w:vAlign w:val="center"/>
          </w:tcPr>
          <w:p w14:paraId="54EDEB50">
            <w:pPr>
              <w:jc w:val="center"/>
              <w:rPr>
                <w:szCs w:val="24"/>
              </w:rPr>
            </w:pPr>
            <w:r>
              <w:rPr>
                <w:szCs w:val="24"/>
              </w:rPr>
              <w:t>0.02</w:t>
            </w:r>
          </w:p>
        </w:tc>
        <w:tc>
          <w:tcPr>
            <w:tcW w:w="2339" w:type="dxa"/>
            <w:vAlign w:val="center"/>
          </w:tcPr>
          <w:p w14:paraId="46693E12">
            <w:pPr>
              <w:jc w:val="center"/>
              <w:rPr>
                <w:szCs w:val="24"/>
              </w:rPr>
            </w:pPr>
            <w:r>
              <w:rPr>
                <w:color w:val="000000"/>
                <w:szCs w:val="24"/>
              </w:rPr>
              <w:t>420</w:t>
            </w:r>
          </w:p>
        </w:tc>
        <w:tc>
          <w:tcPr>
            <w:tcW w:w="2339" w:type="dxa"/>
            <w:vAlign w:val="center"/>
          </w:tcPr>
          <w:p w14:paraId="4E7F027E">
            <w:pPr>
              <w:jc w:val="center"/>
              <w:rPr>
                <w:szCs w:val="24"/>
              </w:rPr>
            </w:pPr>
            <w:r>
              <w:rPr>
                <w:color w:val="000000"/>
                <w:szCs w:val="24"/>
              </w:rPr>
              <w:t>530</w:t>
            </w:r>
          </w:p>
        </w:tc>
        <w:tc>
          <w:tcPr>
            <w:tcW w:w="2339" w:type="dxa"/>
            <w:tcBorders>
              <w:right w:val="nil"/>
            </w:tcBorders>
            <w:vAlign w:val="center"/>
          </w:tcPr>
          <w:p w14:paraId="798F8053">
            <w:pPr>
              <w:jc w:val="center"/>
              <w:rPr>
                <w:szCs w:val="24"/>
              </w:rPr>
            </w:pPr>
            <w:r>
              <w:rPr>
                <w:color w:val="000000"/>
                <w:szCs w:val="24"/>
              </w:rPr>
              <w:t>482</w:t>
            </w:r>
          </w:p>
        </w:tc>
      </w:tr>
      <w:tr w14:paraId="183121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exact"/>
          <w:jc w:val="center"/>
        </w:trPr>
        <w:tc>
          <w:tcPr>
            <w:tcW w:w="1757" w:type="dxa"/>
            <w:tcBorders>
              <w:left w:val="nil"/>
            </w:tcBorders>
            <w:vAlign w:val="center"/>
          </w:tcPr>
          <w:p w14:paraId="1BC4F496">
            <w:pPr>
              <w:jc w:val="center"/>
              <w:rPr>
                <w:szCs w:val="24"/>
              </w:rPr>
            </w:pPr>
            <w:r>
              <w:rPr>
                <w:szCs w:val="24"/>
              </w:rPr>
              <w:t>0.03</w:t>
            </w:r>
          </w:p>
        </w:tc>
        <w:tc>
          <w:tcPr>
            <w:tcW w:w="2339" w:type="dxa"/>
            <w:vAlign w:val="center"/>
          </w:tcPr>
          <w:p w14:paraId="6DE7DC88">
            <w:pPr>
              <w:jc w:val="center"/>
              <w:rPr>
                <w:szCs w:val="24"/>
              </w:rPr>
            </w:pPr>
            <w:r>
              <w:rPr>
                <w:color w:val="000000"/>
                <w:szCs w:val="24"/>
              </w:rPr>
              <w:t>620</w:t>
            </w:r>
          </w:p>
        </w:tc>
        <w:tc>
          <w:tcPr>
            <w:tcW w:w="2339" w:type="dxa"/>
            <w:vAlign w:val="center"/>
          </w:tcPr>
          <w:p w14:paraId="73043687">
            <w:pPr>
              <w:jc w:val="center"/>
              <w:rPr>
                <w:szCs w:val="24"/>
              </w:rPr>
            </w:pPr>
            <w:r>
              <w:rPr>
                <w:color w:val="000000"/>
                <w:szCs w:val="24"/>
              </w:rPr>
              <w:t>780</w:t>
            </w:r>
          </w:p>
        </w:tc>
        <w:tc>
          <w:tcPr>
            <w:tcW w:w="2339" w:type="dxa"/>
            <w:tcBorders>
              <w:right w:val="nil"/>
            </w:tcBorders>
            <w:vAlign w:val="center"/>
          </w:tcPr>
          <w:p w14:paraId="03ACD341">
            <w:pPr>
              <w:jc w:val="center"/>
              <w:rPr>
                <w:szCs w:val="24"/>
              </w:rPr>
            </w:pPr>
            <w:r>
              <w:rPr>
                <w:color w:val="000000"/>
                <w:szCs w:val="24"/>
              </w:rPr>
              <w:t>714</w:t>
            </w:r>
          </w:p>
        </w:tc>
      </w:tr>
      <w:tr w14:paraId="5BDCA5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exact"/>
          <w:jc w:val="center"/>
        </w:trPr>
        <w:tc>
          <w:tcPr>
            <w:tcW w:w="1757" w:type="dxa"/>
            <w:tcBorders>
              <w:left w:val="nil"/>
            </w:tcBorders>
            <w:vAlign w:val="center"/>
          </w:tcPr>
          <w:p w14:paraId="2FF16AF5">
            <w:pPr>
              <w:jc w:val="center"/>
              <w:rPr>
                <w:szCs w:val="24"/>
              </w:rPr>
            </w:pPr>
            <w:r>
              <w:rPr>
                <w:szCs w:val="24"/>
              </w:rPr>
              <w:t>0.04</w:t>
            </w:r>
          </w:p>
        </w:tc>
        <w:tc>
          <w:tcPr>
            <w:tcW w:w="2339" w:type="dxa"/>
            <w:vAlign w:val="center"/>
          </w:tcPr>
          <w:p w14:paraId="5BA10B80">
            <w:pPr>
              <w:jc w:val="center"/>
              <w:rPr>
                <w:szCs w:val="24"/>
              </w:rPr>
            </w:pPr>
            <w:r>
              <w:rPr>
                <w:color w:val="000000"/>
                <w:szCs w:val="24"/>
              </w:rPr>
              <w:t>832</w:t>
            </w:r>
          </w:p>
        </w:tc>
        <w:tc>
          <w:tcPr>
            <w:tcW w:w="2339" w:type="dxa"/>
            <w:vAlign w:val="center"/>
          </w:tcPr>
          <w:p w14:paraId="4C4306D0">
            <w:pPr>
              <w:jc w:val="center"/>
              <w:rPr>
                <w:szCs w:val="24"/>
              </w:rPr>
            </w:pPr>
            <w:r>
              <w:rPr>
                <w:color w:val="000000"/>
                <w:szCs w:val="24"/>
              </w:rPr>
              <w:t>1031</w:t>
            </w:r>
          </w:p>
        </w:tc>
        <w:tc>
          <w:tcPr>
            <w:tcW w:w="2339" w:type="dxa"/>
            <w:tcBorders>
              <w:right w:val="nil"/>
            </w:tcBorders>
            <w:vAlign w:val="center"/>
          </w:tcPr>
          <w:p w14:paraId="4269472F">
            <w:pPr>
              <w:jc w:val="center"/>
              <w:rPr>
                <w:szCs w:val="24"/>
              </w:rPr>
            </w:pPr>
            <w:r>
              <w:rPr>
                <w:color w:val="000000"/>
                <w:szCs w:val="24"/>
              </w:rPr>
              <w:t>950</w:t>
            </w:r>
          </w:p>
        </w:tc>
      </w:tr>
      <w:tr w14:paraId="57C8C5F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exact"/>
          <w:jc w:val="center"/>
        </w:trPr>
        <w:tc>
          <w:tcPr>
            <w:tcW w:w="1757" w:type="dxa"/>
            <w:tcBorders>
              <w:left w:val="nil"/>
              <w:bottom w:val="single" w:color="auto" w:sz="4" w:space="0"/>
            </w:tcBorders>
            <w:vAlign w:val="center"/>
          </w:tcPr>
          <w:p w14:paraId="3AD726E1">
            <w:pPr>
              <w:jc w:val="center"/>
              <w:rPr>
                <w:szCs w:val="24"/>
              </w:rPr>
            </w:pPr>
            <w:r>
              <w:rPr>
                <w:szCs w:val="24"/>
              </w:rPr>
              <w:t>0.05</w:t>
            </w:r>
          </w:p>
        </w:tc>
        <w:tc>
          <w:tcPr>
            <w:tcW w:w="2339" w:type="dxa"/>
            <w:tcBorders>
              <w:bottom w:val="single" w:color="auto" w:sz="4" w:space="0"/>
            </w:tcBorders>
            <w:vAlign w:val="center"/>
          </w:tcPr>
          <w:p w14:paraId="6AFB6A24">
            <w:pPr>
              <w:jc w:val="center"/>
              <w:rPr>
                <w:szCs w:val="24"/>
              </w:rPr>
            </w:pPr>
            <w:r>
              <w:rPr>
                <w:color w:val="000000"/>
                <w:szCs w:val="24"/>
              </w:rPr>
              <w:t>1030</w:t>
            </w:r>
          </w:p>
        </w:tc>
        <w:tc>
          <w:tcPr>
            <w:tcW w:w="2339" w:type="dxa"/>
            <w:tcBorders>
              <w:bottom w:val="single" w:color="auto" w:sz="4" w:space="0"/>
            </w:tcBorders>
            <w:vAlign w:val="center"/>
          </w:tcPr>
          <w:p w14:paraId="4A23D034">
            <w:pPr>
              <w:jc w:val="center"/>
              <w:rPr>
                <w:szCs w:val="24"/>
              </w:rPr>
            </w:pPr>
            <w:r>
              <w:rPr>
                <w:color w:val="000000"/>
                <w:szCs w:val="24"/>
              </w:rPr>
              <w:t>1283</w:t>
            </w:r>
          </w:p>
        </w:tc>
        <w:tc>
          <w:tcPr>
            <w:tcW w:w="2339" w:type="dxa"/>
            <w:tcBorders>
              <w:bottom w:val="single" w:color="auto" w:sz="4" w:space="0"/>
              <w:right w:val="nil"/>
            </w:tcBorders>
            <w:vAlign w:val="center"/>
          </w:tcPr>
          <w:p w14:paraId="5AF72EBC">
            <w:pPr>
              <w:jc w:val="center"/>
              <w:rPr>
                <w:szCs w:val="24"/>
              </w:rPr>
            </w:pPr>
            <w:r>
              <w:rPr>
                <w:color w:val="000000"/>
                <w:szCs w:val="24"/>
              </w:rPr>
              <w:t>1185</w:t>
            </w:r>
          </w:p>
        </w:tc>
      </w:tr>
    </w:tbl>
    <w:p w14:paraId="4C5EEB72">
      <w:pPr>
        <w:rPr>
          <w:rFonts w:eastAsia="楷体"/>
          <w:b/>
          <w:bCs/>
          <w:szCs w:val="24"/>
        </w:rPr>
      </w:pPr>
    </w:p>
    <w:p w14:paraId="707B4B07">
      <w:pPr>
        <w:pStyle w:val="150"/>
        <w:spacing w:before="120"/>
        <w:rPr>
          <w:rFonts w:ascii="Times New Roman" w:hAnsi="Times New Roman"/>
          <w:sz w:val="24"/>
          <w:szCs w:val="24"/>
        </w:rPr>
      </w:pPr>
    </w:p>
    <w:p w14:paraId="44FA4AD9">
      <w:pPr>
        <w:pStyle w:val="106"/>
        <w:jc w:val="both"/>
        <w:rPr>
          <w:b/>
          <w:bCs/>
          <w:lang w:eastAsia="zh-CN"/>
        </w:rPr>
      </w:pPr>
      <w:r>
        <w:rPr>
          <w:rFonts w:hint="eastAsia"/>
          <w:b/>
          <w:bCs/>
          <w:lang w:eastAsia="zh-CN"/>
        </w:rPr>
        <w:t>S5 Movie S1:</w:t>
      </w:r>
      <w:r>
        <w:rPr>
          <w:rFonts w:hint="eastAsia"/>
          <w:lang w:eastAsia="zh-CN"/>
        </w:rPr>
        <w:t xml:space="preserve"> </w:t>
      </w:r>
      <w:r>
        <w:rPr>
          <w:b/>
          <w:bCs/>
        </w:rPr>
        <w:t>Ion migration under bidirectional electric fields (</w:t>
      </w:r>
      <w:r>
        <w:rPr>
          <w:b/>
          <w:bCs/>
          <w:i/>
          <w:iCs/>
        </w:rPr>
        <w:t>X</w:t>
      </w:r>
      <w:r>
        <w:rPr>
          <w:b/>
          <w:bCs/>
        </w:rPr>
        <w:t>/</w:t>
      </w:r>
      <w:r>
        <w:rPr>
          <w:b/>
          <w:bCs/>
          <w:i/>
          <w:iCs/>
        </w:rPr>
        <w:t>Y</w:t>
      </w:r>
      <w:r>
        <w:rPr>
          <w:b/>
          <w:bCs/>
        </w:rPr>
        <w:t>-axes) simulated via non-equilibrium molecular dynamics</w:t>
      </w:r>
    </w:p>
    <w:p w14:paraId="511631AF">
      <w:pPr>
        <w:rPr>
          <w:rFonts w:eastAsia="楷体"/>
          <w:szCs w:val="24"/>
          <w:lang w:eastAsia="zh-CN"/>
        </w:rPr>
      </w:pPr>
    </w:p>
    <w:p w14:paraId="5B7CF205">
      <w:pPr>
        <w:rPr>
          <w:rFonts w:eastAsia="楷体"/>
          <w:b/>
          <w:bCs/>
          <w:szCs w:val="24"/>
          <w:lang w:eastAsia="zh-CN"/>
        </w:rPr>
      </w:pPr>
    </w:p>
    <w:p w14:paraId="635D95C9">
      <w:pPr>
        <w:rPr>
          <w:rFonts w:eastAsia="楷体"/>
          <w:b/>
          <w:bCs/>
          <w:szCs w:val="24"/>
        </w:rPr>
      </w:pPr>
    </w:p>
    <w:p w14:paraId="18483669">
      <w:pPr>
        <w:rPr>
          <w:rFonts w:eastAsia="楷体"/>
          <w:b/>
          <w:bCs/>
          <w:szCs w:val="24"/>
        </w:rPr>
      </w:pPr>
      <w:r>
        <w:rPr>
          <w:rFonts w:eastAsia="楷体"/>
          <w:b/>
          <w:bCs/>
          <w:szCs w:val="24"/>
        </w:rPr>
        <w:t>References</w:t>
      </w:r>
    </w:p>
    <w:bookmarkEnd w:id="4"/>
    <w:p w14:paraId="255C0D53">
      <w:pPr>
        <w:pStyle w:val="150"/>
        <w:spacing w:before="12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Pr>
          <w:rFonts w:ascii="Times New Roman" w:hAnsi="Times New Roman"/>
          <w:sz w:val="24"/>
          <w:szCs w:val="24"/>
        </w:rPr>
        <w:t>Wang, Y.</w:t>
      </w:r>
      <w:r>
        <w:rPr>
          <w:rFonts w:ascii="Times New Roman" w:hAnsi="Times New Roman"/>
          <w:i/>
          <w:sz w:val="24"/>
          <w:szCs w:val="24"/>
        </w:rPr>
        <w:t xml:space="preserve"> et al.</w:t>
      </w:r>
      <w:r>
        <w:rPr>
          <w:rFonts w:ascii="Times New Roman" w:hAnsi="Times New Roman"/>
          <w:sz w:val="24"/>
          <w:szCs w:val="24"/>
        </w:rPr>
        <w:t xml:space="preserve"> Dynamic molecular switches with hysteretic negative differential conductance emulating synaptic behaviour. </w:t>
      </w:r>
      <w:r>
        <w:rPr>
          <w:rFonts w:ascii="Times New Roman" w:hAnsi="Times New Roman"/>
          <w:i/>
          <w:sz w:val="24"/>
          <w:szCs w:val="24"/>
        </w:rPr>
        <w:t>Nat</w:t>
      </w:r>
      <w:r>
        <w:rPr>
          <w:rFonts w:hint="eastAsia" w:ascii="Times New Roman" w:hAnsi="Times New Roman"/>
          <w:i/>
          <w:sz w:val="24"/>
          <w:szCs w:val="24"/>
        </w:rPr>
        <w:t>.</w:t>
      </w:r>
      <w:r>
        <w:rPr>
          <w:rFonts w:ascii="Times New Roman" w:hAnsi="Times New Roman"/>
          <w:i/>
          <w:sz w:val="24"/>
          <w:szCs w:val="24"/>
        </w:rPr>
        <w:t xml:space="preserve"> Mater</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21</w:t>
      </w:r>
      <w:r>
        <w:rPr>
          <w:rFonts w:ascii="Times New Roman" w:hAnsi="Times New Roman"/>
          <w:sz w:val="24"/>
          <w:szCs w:val="24"/>
        </w:rPr>
        <w:t>, 1403-1411 (2022).</w:t>
      </w:r>
    </w:p>
    <w:p w14:paraId="5777DEF3">
      <w:pPr>
        <w:pStyle w:val="150"/>
        <w:spacing w:before="12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Pr>
          <w:rFonts w:ascii="Times New Roman" w:hAnsi="Times New Roman"/>
          <w:sz w:val="24"/>
          <w:szCs w:val="24"/>
        </w:rPr>
        <w:t>Xiong, T.</w:t>
      </w:r>
      <w:r>
        <w:rPr>
          <w:rFonts w:ascii="Times New Roman" w:hAnsi="Times New Roman"/>
          <w:i/>
          <w:sz w:val="24"/>
          <w:szCs w:val="24"/>
        </w:rPr>
        <w:t xml:space="preserve"> et al.</w:t>
      </w:r>
      <w:r>
        <w:rPr>
          <w:rFonts w:ascii="Times New Roman" w:hAnsi="Times New Roman"/>
          <w:sz w:val="24"/>
          <w:szCs w:val="24"/>
        </w:rPr>
        <w:t xml:space="preserve"> Neuromorphic functions with a polyelectrolyte-confined fluidic memristor. </w:t>
      </w:r>
      <w:r>
        <w:rPr>
          <w:rFonts w:ascii="Times New Roman" w:hAnsi="Times New Roman"/>
          <w:i/>
          <w:sz w:val="24"/>
          <w:szCs w:val="24"/>
        </w:rPr>
        <w:t>Science</w:t>
      </w:r>
      <w:r>
        <w:rPr>
          <w:rFonts w:ascii="Times New Roman" w:hAnsi="Times New Roman"/>
          <w:sz w:val="24"/>
          <w:szCs w:val="24"/>
        </w:rPr>
        <w:t xml:space="preserve"> </w:t>
      </w:r>
      <w:r>
        <w:rPr>
          <w:rFonts w:ascii="Times New Roman" w:hAnsi="Times New Roman"/>
          <w:b/>
          <w:sz w:val="24"/>
          <w:szCs w:val="24"/>
        </w:rPr>
        <w:t>379</w:t>
      </w:r>
      <w:r>
        <w:rPr>
          <w:rFonts w:ascii="Times New Roman" w:hAnsi="Times New Roman"/>
          <w:sz w:val="24"/>
          <w:szCs w:val="24"/>
        </w:rPr>
        <w:t>, 156-161 (2023).</w:t>
      </w:r>
    </w:p>
    <w:p w14:paraId="2CB0FA27">
      <w:pPr>
        <w:pStyle w:val="150"/>
        <w:spacing w:before="120"/>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r>
      <w:r>
        <w:rPr>
          <w:rFonts w:ascii="Times New Roman" w:hAnsi="Times New Roman"/>
          <w:sz w:val="24"/>
          <w:szCs w:val="24"/>
        </w:rPr>
        <w:t xml:space="preserve">Xu, W., Min, S.-Y., Hwang, H. &amp; Lee, T.-W. Organic core-sheath nanowire artificial synapses with femtojoule energy consumption. </w:t>
      </w:r>
      <w:r>
        <w:rPr>
          <w:rFonts w:ascii="Times New Roman" w:hAnsi="Times New Roman"/>
          <w:i/>
          <w:sz w:val="24"/>
          <w:szCs w:val="24"/>
        </w:rPr>
        <w:t>Sci</w:t>
      </w:r>
      <w:r>
        <w:rPr>
          <w:rFonts w:hint="eastAsia" w:ascii="Times New Roman" w:hAnsi="Times New Roman"/>
          <w:i/>
          <w:sz w:val="24"/>
          <w:szCs w:val="24"/>
        </w:rPr>
        <w:t>.</w:t>
      </w:r>
      <w:r>
        <w:rPr>
          <w:rFonts w:ascii="Times New Roman" w:hAnsi="Times New Roman"/>
          <w:i/>
          <w:sz w:val="24"/>
          <w:szCs w:val="24"/>
        </w:rPr>
        <w:t xml:space="preserve"> Adv</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2</w:t>
      </w:r>
      <w:r>
        <w:rPr>
          <w:rFonts w:ascii="Times New Roman" w:hAnsi="Times New Roman"/>
          <w:sz w:val="24"/>
          <w:szCs w:val="24"/>
        </w:rPr>
        <w:t>, e1501326</w:t>
      </w:r>
      <w:r>
        <w:rPr>
          <w:rFonts w:hint="eastAsia" w:ascii="Times New Roman" w:hAnsi="Times New Roman"/>
          <w:sz w:val="24"/>
          <w:szCs w:val="24"/>
        </w:rPr>
        <w:t xml:space="preserve"> </w:t>
      </w:r>
      <w:r>
        <w:rPr>
          <w:rFonts w:ascii="Times New Roman" w:hAnsi="Times New Roman"/>
          <w:sz w:val="24"/>
          <w:szCs w:val="24"/>
        </w:rPr>
        <w:t>(2016).</w:t>
      </w:r>
    </w:p>
    <w:p w14:paraId="1C7976E6">
      <w:pPr>
        <w:pStyle w:val="150"/>
        <w:spacing w:before="12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Pr>
          <w:rFonts w:ascii="Times New Roman" w:hAnsi="Times New Roman"/>
          <w:sz w:val="24"/>
          <w:szCs w:val="24"/>
        </w:rPr>
        <w:t>Liu, D.</w:t>
      </w:r>
      <w:r>
        <w:rPr>
          <w:rFonts w:ascii="Times New Roman" w:hAnsi="Times New Roman"/>
          <w:i/>
          <w:sz w:val="24"/>
          <w:szCs w:val="24"/>
        </w:rPr>
        <w:t xml:space="preserve"> et al.</w:t>
      </w:r>
      <w:r>
        <w:rPr>
          <w:rFonts w:ascii="Times New Roman" w:hAnsi="Times New Roman"/>
          <w:sz w:val="24"/>
          <w:szCs w:val="24"/>
        </w:rPr>
        <w:t xml:space="preserve"> A wearable in-sensor computing platform based on stretchable organic electrochemical transistors. </w:t>
      </w:r>
      <w:r>
        <w:rPr>
          <w:rFonts w:ascii="Times New Roman" w:hAnsi="Times New Roman"/>
          <w:i/>
          <w:sz w:val="24"/>
          <w:szCs w:val="24"/>
        </w:rPr>
        <w:t>Nat. Electron.</w:t>
      </w:r>
      <w:r>
        <w:rPr>
          <w:rFonts w:ascii="Times New Roman" w:hAnsi="Times New Roman"/>
          <w:sz w:val="24"/>
          <w:szCs w:val="24"/>
        </w:rPr>
        <w:t xml:space="preserve"> </w:t>
      </w:r>
      <w:r>
        <w:rPr>
          <w:rFonts w:ascii="Times New Roman" w:hAnsi="Times New Roman"/>
          <w:b/>
          <w:sz w:val="24"/>
          <w:szCs w:val="24"/>
        </w:rPr>
        <w:t>7</w:t>
      </w:r>
      <w:r>
        <w:rPr>
          <w:rFonts w:ascii="Times New Roman" w:hAnsi="Times New Roman"/>
          <w:sz w:val="24"/>
          <w:szCs w:val="24"/>
        </w:rPr>
        <w:t>, 1176-1185 (2024).</w:t>
      </w:r>
    </w:p>
    <w:p w14:paraId="7AD30907">
      <w:pPr>
        <w:pStyle w:val="150"/>
        <w:spacing w:before="120"/>
        <w:rPr>
          <w:rFonts w:ascii="Times New Roman" w:hAnsi="Times New Roman"/>
          <w:sz w:val="24"/>
          <w:szCs w:val="24"/>
        </w:rPr>
      </w:pPr>
      <w:r>
        <w:rPr>
          <w:rFonts w:ascii="Times New Roman" w:hAnsi="Times New Roman"/>
          <w:sz w:val="24"/>
          <w:szCs w:val="24"/>
        </w:rPr>
        <w:t>5</w:t>
      </w:r>
      <w:r>
        <w:rPr>
          <w:rFonts w:ascii="Times New Roman" w:hAnsi="Times New Roman"/>
          <w:sz w:val="24"/>
          <w:szCs w:val="24"/>
        </w:rPr>
        <w:tab/>
      </w:r>
      <w:r>
        <w:rPr>
          <w:rFonts w:ascii="Times New Roman" w:hAnsi="Times New Roman"/>
          <w:sz w:val="24"/>
          <w:szCs w:val="24"/>
        </w:rPr>
        <w:t xml:space="preserve">Xu, Z., Chen, G., Chen, S. &amp; Xu, H. Mimicking </w:t>
      </w:r>
      <w:r>
        <w:rPr>
          <w:rFonts w:hint="eastAsia" w:ascii="Times New Roman" w:hAnsi="Times New Roman"/>
          <w:sz w:val="24"/>
          <w:szCs w:val="24"/>
        </w:rPr>
        <w:t>p</w:t>
      </w:r>
      <w:r>
        <w:rPr>
          <w:rFonts w:ascii="Times New Roman" w:hAnsi="Times New Roman"/>
          <w:sz w:val="24"/>
          <w:szCs w:val="24"/>
        </w:rPr>
        <w:t xml:space="preserve">ain </w:t>
      </w:r>
      <w:r>
        <w:rPr>
          <w:rFonts w:hint="eastAsia" w:ascii="Times New Roman" w:hAnsi="Times New Roman"/>
          <w:sz w:val="24"/>
          <w:szCs w:val="24"/>
        </w:rPr>
        <w:t>c</w:t>
      </w:r>
      <w:r>
        <w:rPr>
          <w:rFonts w:ascii="Times New Roman" w:hAnsi="Times New Roman"/>
          <w:sz w:val="24"/>
          <w:szCs w:val="24"/>
        </w:rPr>
        <w:t xml:space="preserve">onditioning </w:t>
      </w:r>
      <w:r>
        <w:rPr>
          <w:rFonts w:hint="eastAsia" w:ascii="Times New Roman" w:hAnsi="Times New Roman"/>
          <w:sz w:val="24"/>
          <w:szCs w:val="24"/>
        </w:rPr>
        <w:t>u</w:t>
      </w:r>
      <w:r>
        <w:rPr>
          <w:rFonts w:ascii="Times New Roman" w:hAnsi="Times New Roman"/>
          <w:sz w:val="24"/>
          <w:szCs w:val="24"/>
        </w:rPr>
        <w:t xml:space="preserve">sing an </w:t>
      </w:r>
      <w:r>
        <w:rPr>
          <w:rFonts w:hint="eastAsia" w:ascii="Times New Roman" w:hAnsi="Times New Roman"/>
          <w:sz w:val="24"/>
          <w:szCs w:val="24"/>
        </w:rPr>
        <w:t>e</w:t>
      </w:r>
      <w:r>
        <w:rPr>
          <w:rFonts w:ascii="Times New Roman" w:hAnsi="Times New Roman"/>
          <w:sz w:val="24"/>
          <w:szCs w:val="24"/>
        </w:rPr>
        <w:t>lectrolyte-</w:t>
      </w:r>
      <w:r>
        <w:rPr>
          <w:rFonts w:hint="eastAsia" w:ascii="Times New Roman" w:hAnsi="Times New Roman"/>
          <w:sz w:val="24"/>
          <w:szCs w:val="24"/>
        </w:rPr>
        <w:t>g</w:t>
      </w:r>
      <w:r>
        <w:rPr>
          <w:rFonts w:ascii="Times New Roman" w:hAnsi="Times New Roman"/>
          <w:sz w:val="24"/>
          <w:szCs w:val="24"/>
        </w:rPr>
        <w:t xml:space="preserve">ated </w:t>
      </w:r>
      <w:r>
        <w:rPr>
          <w:rFonts w:hint="eastAsia" w:ascii="Times New Roman" w:hAnsi="Times New Roman"/>
          <w:sz w:val="24"/>
          <w:szCs w:val="24"/>
        </w:rPr>
        <w:t>o</w:t>
      </w:r>
      <w:r>
        <w:rPr>
          <w:rFonts w:ascii="Times New Roman" w:hAnsi="Times New Roman"/>
          <w:sz w:val="24"/>
          <w:szCs w:val="24"/>
        </w:rPr>
        <w:t xml:space="preserve">rganic </w:t>
      </w:r>
      <w:r>
        <w:rPr>
          <w:rFonts w:hint="eastAsia" w:ascii="Times New Roman" w:hAnsi="Times New Roman"/>
          <w:sz w:val="24"/>
          <w:szCs w:val="24"/>
        </w:rPr>
        <w:t>s</w:t>
      </w:r>
      <w:r>
        <w:rPr>
          <w:rFonts w:ascii="Times New Roman" w:hAnsi="Times New Roman"/>
          <w:sz w:val="24"/>
          <w:szCs w:val="24"/>
        </w:rPr>
        <w:t xml:space="preserve">ynaptic </w:t>
      </w:r>
      <w:r>
        <w:rPr>
          <w:rFonts w:hint="eastAsia" w:ascii="Times New Roman" w:hAnsi="Times New Roman"/>
          <w:sz w:val="24"/>
          <w:szCs w:val="24"/>
        </w:rPr>
        <w:t>t</w:t>
      </w:r>
      <w:r>
        <w:rPr>
          <w:rFonts w:ascii="Times New Roman" w:hAnsi="Times New Roman"/>
          <w:sz w:val="24"/>
          <w:szCs w:val="24"/>
        </w:rPr>
        <w:t xml:space="preserve">ransistor. </w:t>
      </w:r>
      <w:r>
        <w:rPr>
          <w:rFonts w:ascii="Times New Roman" w:hAnsi="Times New Roman"/>
          <w:i/>
          <w:sz w:val="24"/>
          <w:szCs w:val="24"/>
        </w:rPr>
        <w:t>Adv. Mater. Technol.</w:t>
      </w:r>
      <w:r>
        <w:rPr>
          <w:rFonts w:ascii="Times New Roman" w:hAnsi="Times New Roman"/>
          <w:sz w:val="24"/>
          <w:szCs w:val="24"/>
        </w:rPr>
        <w:t xml:space="preserve"> </w:t>
      </w:r>
      <w:r>
        <w:rPr>
          <w:rFonts w:ascii="Times New Roman" w:hAnsi="Times New Roman"/>
          <w:b/>
          <w:sz w:val="24"/>
          <w:szCs w:val="24"/>
        </w:rPr>
        <w:t>9</w:t>
      </w:r>
      <w:r>
        <w:rPr>
          <w:rFonts w:ascii="Times New Roman" w:hAnsi="Times New Roman"/>
          <w:sz w:val="24"/>
          <w:szCs w:val="24"/>
        </w:rPr>
        <w:t>, 2302047 (2024).</w:t>
      </w:r>
    </w:p>
    <w:p w14:paraId="0D0E4995">
      <w:pPr>
        <w:pStyle w:val="150"/>
        <w:spacing w:before="120"/>
        <w:rPr>
          <w:rFonts w:ascii="Times New Roman" w:hAnsi="Times New Roman"/>
          <w:sz w:val="24"/>
          <w:szCs w:val="24"/>
        </w:rPr>
      </w:pPr>
      <w:r>
        <w:rPr>
          <w:rFonts w:ascii="Times New Roman" w:hAnsi="Times New Roman"/>
          <w:sz w:val="24"/>
          <w:szCs w:val="24"/>
        </w:rPr>
        <w:t>6</w:t>
      </w:r>
      <w:r>
        <w:rPr>
          <w:rFonts w:ascii="Times New Roman" w:hAnsi="Times New Roman"/>
          <w:sz w:val="24"/>
          <w:szCs w:val="24"/>
        </w:rPr>
        <w:tab/>
      </w:r>
      <w:r>
        <w:rPr>
          <w:rFonts w:ascii="Times New Roman" w:hAnsi="Times New Roman"/>
          <w:sz w:val="24"/>
          <w:szCs w:val="24"/>
        </w:rPr>
        <w:t>Bai, J.</w:t>
      </w:r>
      <w:r>
        <w:rPr>
          <w:rFonts w:ascii="Times New Roman" w:hAnsi="Times New Roman"/>
          <w:i/>
          <w:sz w:val="24"/>
          <w:szCs w:val="24"/>
        </w:rPr>
        <w:t xml:space="preserve"> et al.</w:t>
      </w:r>
      <w:r>
        <w:rPr>
          <w:rFonts w:ascii="Times New Roman" w:hAnsi="Times New Roman"/>
          <w:sz w:val="24"/>
          <w:szCs w:val="24"/>
        </w:rPr>
        <w:t xml:space="preserve"> Full van der Waals </w:t>
      </w:r>
      <w:r>
        <w:rPr>
          <w:rFonts w:hint="eastAsia" w:ascii="Times New Roman" w:hAnsi="Times New Roman"/>
          <w:sz w:val="24"/>
          <w:szCs w:val="24"/>
        </w:rPr>
        <w:t>a</w:t>
      </w:r>
      <w:r>
        <w:rPr>
          <w:rFonts w:ascii="Times New Roman" w:hAnsi="Times New Roman"/>
          <w:sz w:val="24"/>
          <w:szCs w:val="24"/>
        </w:rPr>
        <w:t xml:space="preserve">mbipolar </w:t>
      </w:r>
      <w:r>
        <w:rPr>
          <w:rFonts w:hint="eastAsia" w:ascii="Times New Roman" w:hAnsi="Times New Roman"/>
          <w:sz w:val="24"/>
          <w:szCs w:val="24"/>
        </w:rPr>
        <w:t>f</w:t>
      </w:r>
      <w:r>
        <w:rPr>
          <w:rFonts w:ascii="Times New Roman" w:hAnsi="Times New Roman"/>
          <w:sz w:val="24"/>
          <w:szCs w:val="24"/>
        </w:rPr>
        <w:t xml:space="preserve">erroelectric </w:t>
      </w:r>
      <w:r>
        <w:rPr>
          <w:rFonts w:hint="eastAsia" w:ascii="Times New Roman" w:hAnsi="Times New Roman"/>
          <w:sz w:val="24"/>
          <w:szCs w:val="24"/>
        </w:rPr>
        <w:t>c</w:t>
      </w:r>
      <w:r>
        <w:rPr>
          <w:rFonts w:ascii="Times New Roman" w:hAnsi="Times New Roman"/>
          <w:sz w:val="24"/>
          <w:szCs w:val="24"/>
        </w:rPr>
        <w:t xml:space="preserve">onfigurable </w:t>
      </w:r>
      <w:r>
        <w:rPr>
          <w:rFonts w:hint="eastAsia" w:ascii="Times New Roman" w:hAnsi="Times New Roman"/>
          <w:sz w:val="24"/>
          <w:szCs w:val="24"/>
        </w:rPr>
        <w:t>o</w:t>
      </w:r>
      <w:r>
        <w:rPr>
          <w:rFonts w:ascii="Times New Roman" w:hAnsi="Times New Roman"/>
          <w:sz w:val="24"/>
          <w:szCs w:val="24"/>
        </w:rPr>
        <w:t xml:space="preserve">ptical </w:t>
      </w:r>
      <w:r>
        <w:rPr>
          <w:rFonts w:hint="eastAsia" w:ascii="Times New Roman" w:hAnsi="Times New Roman"/>
          <w:sz w:val="24"/>
          <w:szCs w:val="24"/>
        </w:rPr>
        <w:t>h</w:t>
      </w:r>
      <w:r>
        <w:rPr>
          <w:rFonts w:ascii="Times New Roman" w:hAnsi="Times New Roman"/>
          <w:sz w:val="24"/>
          <w:szCs w:val="24"/>
        </w:rPr>
        <w:t>etero-</w:t>
      </w:r>
      <w:r>
        <w:rPr>
          <w:rFonts w:hint="eastAsia" w:ascii="Times New Roman" w:hAnsi="Times New Roman"/>
          <w:sz w:val="24"/>
          <w:szCs w:val="24"/>
        </w:rPr>
        <w:t>s</w:t>
      </w:r>
      <w:r>
        <w:rPr>
          <w:rFonts w:ascii="Times New Roman" w:hAnsi="Times New Roman"/>
          <w:sz w:val="24"/>
          <w:szCs w:val="24"/>
        </w:rPr>
        <w:t xml:space="preserve">ynapses for </w:t>
      </w:r>
      <w:r>
        <w:rPr>
          <w:rFonts w:hint="eastAsia" w:ascii="Times New Roman" w:hAnsi="Times New Roman"/>
          <w:sz w:val="24"/>
          <w:szCs w:val="24"/>
        </w:rPr>
        <w:t>i</w:t>
      </w:r>
      <w:r>
        <w:rPr>
          <w:rFonts w:ascii="Times New Roman" w:hAnsi="Times New Roman"/>
          <w:sz w:val="24"/>
          <w:szCs w:val="24"/>
        </w:rPr>
        <w:t>n-</w:t>
      </w:r>
      <w:r>
        <w:rPr>
          <w:rFonts w:hint="eastAsia" w:ascii="Times New Roman" w:hAnsi="Times New Roman"/>
          <w:sz w:val="24"/>
          <w:szCs w:val="24"/>
        </w:rPr>
        <w:t>s</w:t>
      </w:r>
      <w:r>
        <w:rPr>
          <w:rFonts w:ascii="Times New Roman" w:hAnsi="Times New Roman"/>
          <w:sz w:val="24"/>
          <w:szCs w:val="24"/>
        </w:rPr>
        <w:t xml:space="preserve">ensor </w:t>
      </w:r>
      <w:r>
        <w:rPr>
          <w:rFonts w:hint="eastAsia" w:ascii="Times New Roman" w:hAnsi="Times New Roman"/>
          <w:sz w:val="24"/>
          <w:szCs w:val="24"/>
        </w:rPr>
        <w:t>c</w:t>
      </w:r>
      <w:r>
        <w:rPr>
          <w:rFonts w:ascii="Times New Roman" w:hAnsi="Times New Roman"/>
          <w:sz w:val="24"/>
          <w:szCs w:val="24"/>
        </w:rPr>
        <w:t xml:space="preserve">omputing. </w:t>
      </w:r>
      <w:r>
        <w:rPr>
          <w:rFonts w:ascii="Times New Roman" w:hAnsi="Times New Roman"/>
          <w:i/>
          <w:sz w:val="24"/>
          <w:szCs w:val="24"/>
        </w:rPr>
        <w:t>Adv. Mater.</w:t>
      </w:r>
      <w:r>
        <w:rPr>
          <w:rFonts w:ascii="Times New Roman" w:hAnsi="Times New Roman"/>
          <w:sz w:val="24"/>
          <w:szCs w:val="24"/>
        </w:rPr>
        <w:t xml:space="preserve"> </w:t>
      </w:r>
      <w:r>
        <w:rPr>
          <w:rFonts w:ascii="Times New Roman" w:hAnsi="Times New Roman"/>
          <w:b/>
          <w:sz w:val="24"/>
          <w:szCs w:val="24"/>
        </w:rPr>
        <w:t>36</w:t>
      </w:r>
      <w:r>
        <w:rPr>
          <w:rFonts w:ascii="Times New Roman" w:hAnsi="Times New Roman"/>
          <w:sz w:val="24"/>
          <w:szCs w:val="24"/>
        </w:rPr>
        <w:t>, 2401060</w:t>
      </w:r>
      <w:r>
        <w:rPr>
          <w:rFonts w:hint="eastAsia" w:ascii="Times New Roman" w:hAnsi="Times New Roman"/>
          <w:sz w:val="24"/>
          <w:szCs w:val="24"/>
        </w:rPr>
        <w:t xml:space="preserve"> </w:t>
      </w:r>
      <w:r>
        <w:rPr>
          <w:rFonts w:ascii="Times New Roman" w:hAnsi="Times New Roman"/>
          <w:sz w:val="24"/>
          <w:szCs w:val="24"/>
        </w:rPr>
        <w:t>(2024).</w:t>
      </w:r>
    </w:p>
    <w:p w14:paraId="78298C4D">
      <w:pPr>
        <w:pStyle w:val="150"/>
        <w:spacing w:before="120"/>
        <w:rPr>
          <w:rFonts w:ascii="Times New Roman" w:hAnsi="Times New Roman"/>
          <w:sz w:val="24"/>
          <w:szCs w:val="24"/>
        </w:rPr>
      </w:pPr>
      <w:r>
        <w:rPr>
          <w:rFonts w:ascii="Times New Roman" w:hAnsi="Times New Roman"/>
          <w:sz w:val="24"/>
          <w:szCs w:val="24"/>
        </w:rPr>
        <w:t>7</w:t>
      </w:r>
      <w:r>
        <w:rPr>
          <w:rFonts w:ascii="Times New Roman" w:hAnsi="Times New Roman"/>
          <w:sz w:val="24"/>
          <w:szCs w:val="24"/>
        </w:rPr>
        <w:tab/>
      </w:r>
      <w:r>
        <w:rPr>
          <w:rFonts w:ascii="Times New Roman" w:hAnsi="Times New Roman"/>
          <w:sz w:val="24"/>
          <w:szCs w:val="24"/>
        </w:rPr>
        <w:t>Liu, L.</w:t>
      </w:r>
      <w:r>
        <w:rPr>
          <w:rFonts w:ascii="Times New Roman" w:hAnsi="Times New Roman"/>
          <w:i/>
          <w:sz w:val="24"/>
          <w:szCs w:val="24"/>
        </w:rPr>
        <w:t xml:space="preserve"> et al.</w:t>
      </w:r>
      <w:r>
        <w:rPr>
          <w:rFonts w:ascii="Times New Roman" w:hAnsi="Times New Roman"/>
          <w:sz w:val="24"/>
          <w:szCs w:val="24"/>
        </w:rPr>
        <w:t xml:space="preserve"> Rational </w:t>
      </w:r>
      <w:r>
        <w:rPr>
          <w:rFonts w:hint="eastAsia" w:ascii="Times New Roman" w:hAnsi="Times New Roman"/>
          <w:sz w:val="24"/>
          <w:szCs w:val="24"/>
        </w:rPr>
        <w:t>d</w:t>
      </w:r>
      <w:r>
        <w:rPr>
          <w:rFonts w:ascii="Times New Roman" w:hAnsi="Times New Roman"/>
          <w:sz w:val="24"/>
          <w:szCs w:val="24"/>
        </w:rPr>
        <w:t xml:space="preserve">esign of </w:t>
      </w:r>
      <w:r>
        <w:rPr>
          <w:rFonts w:hint="eastAsia" w:ascii="Times New Roman" w:hAnsi="Times New Roman"/>
          <w:sz w:val="24"/>
          <w:szCs w:val="24"/>
        </w:rPr>
        <w:t>f</w:t>
      </w:r>
      <w:r>
        <w:rPr>
          <w:rFonts w:ascii="Times New Roman" w:hAnsi="Times New Roman"/>
          <w:sz w:val="24"/>
          <w:szCs w:val="24"/>
        </w:rPr>
        <w:t xml:space="preserve">luorinated 2D </w:t>
      </w:r>
      <w:r>
        <w:rPr>
          <w:rFonts w:hint="eastAsia" w:ascii="Times New Roman" w:hAnsi="Times New Roman"/>
          <w:sz w:val="24"/>
          <w:szCs w:val="24"/>
        </w:rPr>
        <w:t>p</w:t>
      </w:r>
      <w:r>
        <w:rPr>
          <w:rFonts w:ascii="Times New Roman" w:hAnsi="Times New Roman"/>
          <w:sz w:val="24"/>
          <w:szCs w:val="24"/>
        </w:rPr>
        <w:t xml:space="preserve">olymer </w:t>
      </w:r>
      <w:r>
        <w:rPr>
          <w:rFonts w:hint="eastAsia" w:ascii="Times New Roman" w:hAnsi="Times New Roman"/>
          <w:sz w:val="24"/>
          <w:szCs w:val="24"/>
        </w:rPr>
        <w:t>f</w:t>
      </w:r>
      <w:r>
        <w:rPr>
          <w:rFonts w:ascii="Times New Roman" w:hAnsi="Times New Roman"/>
          <w:sz w:val="24"/>
          <w:szCs w:val="24"/>
        </w:rPr>
        <w:t xml:space="preserve">ilm </w:t>
      </w:r>
      <w:r>
        <w:rPr>
          <w:rFonts w:hint="eastAsia" w:ascii="Times New Roman" w:hAnsi="Times New Roman"/>
          <w:sz w:val="24"/>
          <w:szCs w:val="24"/>
        </w:rPr>
        <w:t>b</w:t>
      </w:r>
      <w:r>
        <w:rPr>
          <w:rFonts w:ascii="Times New Roman" w:hAnsi="Times New Roman"/>
          <w:sz w:val="24"/>
          <w:szCs w:val="24"/>
        </w:rPr>
        <w:t xml:space="preserve">ased on </w:t>
      </w:r>
      <w:r>
        <w:rPr>
          <w:rFonts w:hint="eastAsia" w:ascii="Times New Roman" w:hAnsi="Times New Roman"/>
          <w:sz w:val="24"/>
          <w:szCs w:val="24"/>
        </w:rPr>
        <w:t>d</w:t>
      </w:r>
      <w:r>
        <w:rPr>
          <w:rFonts w:ascii="Times New Roman" w:hAnsi="Times New Roman"/>
          <w:sz w:val="24"/>
          <w:szCs w:val="24"/>
        </w:rPr>
        <w:t>onor–</w:t>
      </w:r>
      <w:r>
        <w:rPr>
          <w:rFonts w:hint="eastAsia" w:ascii="Times New Roman" w:hAnsi="Times New Roman"/>
          <w:sz w:val="24"/>
          <w:szCs w:val="24"/>
        </w:rPr>
        <w:t>a</w:t>
      </w:r>
      <w:r>
        <w:rPr>
          <w:rFonts w:ascii="Times New Roman" w:hAnsi="Times New Roman"/>
          <w:sz w:val="24"/>
          <w:szCs w:val="24"/>
        </w:rPr>
        <w:t xml:space="preserve">ccepter </w:t>
      </w:r>
      <w:r>
        <w:rPr>
          <w:rFonts w:hint="eastAsia" w:ascii="Times New Roman" w:hAnsi="Times New Roman"/>
          <w:sz w:val="24"/>
          <w:szCs w:val="24"/>
        </w:rPr>
        <w:t>a</w:t>
      </w:r>
      <w:r>
        <w:rPr>
          <w:rFonts w:ascii="Times New Roman" w:hAnsi="Times New Roman"/>
          <w:sz w:val="24"/>
          <w:szCs w:val="24"/>
        </w:rPr>
        <w:t xml:space="preserve">rchitecture toward </w:t>
      </w:r>
      <w:r>
        <w:rPr>
          <w:rFonts w:hint="eastAsia" w:ascii="Times New Roman" w:hAnsi="Times New Roman"/>
          <w:sz w:val="24"/>
          <w:szCs w:val="24"/>
        </w:rPr>
        <w:t>m</w:t>
      </w:r>
      <w:r>
        <w:rPr>
          <w:rFonts w:ascii="Times New Roman" w:hAnsi="Times New Roman"/>
          <w:sz w:val="24"/>
          <w:szCs w:val="24"/>
        </w:rPr>
        <w:t xml:space="preserve">ultilevel </w:t>
      </w:r>
      <w:r>
        <w:rPr>
          <w:rFonts w:hint="eastAsia" w:ascii="Times New Roman" w:hAnsi="Times New Roman"/>
          <w:sz w:val="24"/>
          <w:szCs w:val="24"/>
        </w:rPr>
        <w:t>m</w:t>
      </w:r>
      <w:r>
        <w:rPr>
          <w:rFonts w:ascii="Times New Roman" w:hAnsi="Times New Roman"/>
          <w:sz w:val="24"/>
          <w:szCs w:val="24"/>
        </w:rPr>
        <w:t xml:space="preserve">emory </w:t>
      </w:r>
      <w:r>
        <w:rPr>
          <w:rFonts w:hint="eastAsia" w:ascii="Times New Roman" w:hAnsi="Times New Roman"/>
          <w:sz w:val="24"/>
          <w:szCs w:val="24"/>
        </w:rPr>
        <w:t>d</w:t>
      </w:r>
      <w:r>
        <w:rPr>
          <w:rFonts w:ascii="Times New Roman" w:hAnsi="Times New Roman"/>
          <w:sz w:val="24"/>
          <w:szCs w:val="24"/>
        </w:rPr>
        <w:t xml:space="preserve">evice for </w:t>
      </w:r>
      <w:r>
        <w:rPr>
          <w:rFonts w:hint="eastAsia" w:ascii="Times New Roman" w:hAnsi="Times New Roman"/>
          <w:sz w:val="24"/>
          <w:szCs w:val="24"/>
        </w:rPr>
        <w:t>n</w:t>
      </w:r>
      <w:r>
        <w:rPr>
          <w:rFonts w:ascii="Times New Roman" w:hAnsi="Times New Roman"/>
          <w:sz w:val="24"/>
          <w:szCs w:val="24"/>
        </w:rPr>
        <w:t xml:space="preserve">euromorphic </w:t>
      </w:r>
      <w:r>
        <w:rPr>
          <w:rFonts w:hint="eastAsia" w:ascii="Times New Roman" w:hAnsi="Times New Roman"/>
          <w:sz w:val="24"/>
          <w:szCs w:val="24"/>
        </w:rPr>
        <w:t>c</w:t>
      </w:r>
      <w:r>
        <w:rPr>
          <w:rFonts w:ascii="Times New Roman" w:hAnsi="Times New Roman"/>
          <w:sz w:val="24"/>
          <w:szCs w:val="24"/>
        </w:rPr>
        <w:t xml:space="preserve">omputing. </w:t>
      </w:r>
      <w:r>
        <w:rPr>
          <w:rFonts w:ascii="Times New Roman" w:hAnsi="Times New Roman"/>
          <w:i/>
          <w:sz w:val="24"/>
          <w:szCs w:val="24"/>
        </w:rPr>
        <w:t>Adv. Mater.</w:t>
      </w:r>
      <w:r>
        <w:rPr>
          <w:rFonts w:ascii="Times New Roman" w:hAnsi="Times New Roman"/>
          <w:sz w:val="24"/>
          <w:szCs w:val="24"/>
        </w:rPr>
        <w:t xml:space="preserve"> </w:t>
      </w:r>
      <w:r>
        <w:rPr>
          <w:rFonts w:ascii="Times New Roman" w:hAnsi="Times New Roman"/>
          <w:b/>
          <w:sz w:val="24"/>
          <w:szCs w:val="24"/>
        </w:rPr>
        <w:t>36</w:t>
      </w:r>
      <w:r>
        <w:rPr>
          <w:rFonts w:ascii="Times New Roman" w:hAnsi="Times New Roman"/>
          <w:sz w:val="24"/>
          <w:szCs w:val="24"/>
        </w:rPr>
        <w:t>, 2405328 (2024).</w:t>
      </w:r>
    </w:p>
    <w:p w14:paraId="6CF8687F">
      <w:pPr>
        <w:pStyle w:val="150"/>
        <w:spacing w:before="120"/>
        <w:rPr>
          <w:rFonts w:ascii="Times New Roman" w:hAnsi="Times New Roman"/>
          <w:sz w:val="24"/>
          <w:szCs w:val="24"/>
        </w:rPr>
      </w:pPr>
      <w:r>
        <w:rPr>
          <w:rFonts w:ascii="Times New Roman" w:hAnsi="Times New Roman"/>
          <w:sz w:val="24"/>
          <w:szCs w:val="24"/>
        </w:rPr>
        <w:t>8</w:t>
      </w:r>
      <w:r>
        <w:rPr>
          <w:rFonts w:ascii="Times New Roman" w:hAnsi="Times New Roman"/>
          <w:sz w:val="24"/>
          <w:szCs w:val="24"/>
        </w:rPr>
        <w:tab/>
      </w:r>
      <w:r>
        <w:rPr>
          <w:rFonts w:ascii="Times New Roman" w:hAnsi="Times New Roman"/>
          <w:sz w:val="24"/>
          <w:szCs w:val="24"/>
        </w:rPr>
        <w:t>Liu, R.</w:t>
      </w:r>
      <w:r>
        <w:rPr>
          <w:rFonts w:ascii="Times New Roman" w:hAnsi="Times New Roman"/>
          <w:i/>
          <w:sz w:val="24"/>
          <w:szCs w:val="24"/>
        </w:rPr>
        <w:t xml:space="preserve"> et al.</w:t>
      </w:r>
      <w:r>
        <w:rPr>
          <w:rFonts w:ascii="Times New Roman" w:hAnsi="Times New Roman"/>
          <w:sz w:val="24"/>
          <w:szCs w:val="24"/>
        </w:rPr>
        <w:t xml:space="preserve"> Versatile </w:t>
      </w:r>
      <w:r>
        <w:rPr>
          <w:rFonts w:hint="eastAsia" w:ascii="Times New Roman" w:hAnsi="Times New Roman"/>
          <w:sz w:val="24"/>
          <w:szCs w:val="24"/>
        </w:rPr>
        <w:t>n</w:t>
      </w:r>
      <w:r>
        <w:rPr>
          <w:rFonts w:ascii="Times New Roman" w:hAnsi="Times New Roman"/>
          <w:sz w:val="24"/>
          <w:szCs w:val="24"/>
        </w:rPr>
        <w:t xml:space="preserve">euromorphic </w:t>
      </w:r>
      <w:r>
        <w:rPr>
          <w:rFonts w:hint="eastAsia" w:ascii="Times New Roman" w:hAnsi="Times New Roman"/>
          <w:sz w:val="24"/>
          <w:szCs w:val="24"/>
        </w:rPr>
        <w:t>m</w:t>
      </w:r>
      <w:r>
        <w:rPr>
          <w:rFonts w:ascii="Times New Roman" w:hAnsi="Times New Roman"/>
          <w:sz w:val="24"/>
          <w:szCs w:val="24"/>
        </w:rPr>
        <w:t xml:space="preserve">odulation and </w:t>
      </w:r>
      <w:r>
        <w:rPr>
          <w:rFonts w:hint="eastAsia" w:ascii="Times New Roman" w:hAnsi="Times New Roman"/>
          <w:sz w:val="24"/>
          <w:szCs w:val="24"/>
        </w:rPr>
        <w:t>b</w:t>
      </w:r>
      <w:r>
        <w:rPr>
          <w:rFonts w:ascii="Times New Roman" w:hAnsi="Times New Roman"/>
          <w:sz w:val="24"/>
          <w:szCs w:val="24"/>
        </w:rPr>
        <w:t xml:space="preserve">iosensing based on </w:t>
      </w:r>
      <w:r>
        <w:rPr>
          <w:rFonts w:hint="eastAsia" w:ascii="Times New Roman" w:hAnsi="Times New Roman"/>
          <w:sz w:val="24"/>
          <w:szCs w:val="24"/>
        </w:rPr>
        <w:t>n</w:t>
      </w:r>
      <w:r>
        <w:rPr>
          <w:rFonts w:ascii="Times New Roman" w:hAnsi="Times New Roman"/>
          <w:sz w:val="24"/>
          <w:szCs w:val="24"/>
        </w:rPr>
        <w:t xml:space="preserve">-type </w:t>
      </w:r>
      <w:r>
        <w:rPr>
          <w:rFonts w:hint="eastAsia" w:ascii="Times New Roman" w:hAnsi="Times New Roman"/>
          <w:sz w:val="24"/>
          <w:szCs w:val="24"/>
        </w:rPr>
        <w:t>s</w:t>
      </w:r>
      <w:r>
        <w:rPr>
          <w:rFonts w:ascii="Times New Roman" w:hAnsi="Times New Roman"/>
          <w:sz w:val="24"/>
          <w:szCs w:val="24"/>
        </w:rPr>
        <w:t xml:space="preserve">mall-molecule </w:t>
      </w:r>
      <w:r>
        <w:rPr>
          <w:rFonts w:hint="eastAsia" w:ascii="Times New Roman" w:hAnsi="Times New Roman"/>
          <w:sz w:val="24"/>
          <w:szCs w:val="24"/>
        </w:rPr>
        <w:t>o</w:t>
      </w:r>
      <w:r>
        <w:rPr>
          <w:rFonts w:ascii="Times New Roman" w:hAnsi="Times New Roman"/>
          <w:sz w:val="24"/>
          <w:szCs w:val="24"/>
        </w:rPr>
        <w:t xml:space="preserve">rganic </w:t>
      </w:r>
      <w:r>
        <w:rPr>
          <w:rFonts w:hint="eastAsia" w:ascii="Times New Roman" w:hAnsi="Times New Roman"/>
          <w:sz w:val="24"/>
          <w:szCs w:val="24"/>
        </w:rPr>
        <w:t>m</w:t>
      </w:r>
      <w:r>
        <w:rPr>
          <w:rFonts w:ascii="Times New Roman" w:hAnsi="Times New Roman"/>
          <w:sz w:val="24"/>
          <w:szCs w:val="24"/>
        </w:rPr>
        <w:t xml:space="preserve">ixed </w:t>
      </w:r>
      <w:r>
        <w:rPr>
          <w:rFonts w:hint="eastAsia" w:ascii="Times New Roman" w:hAnsi="Times New Roman"/>
          <w:sz w:val="24"/>
          <w:szCs w:val="24"/>
        </w:rPr>
        <w:t>i</w:t>
      </w:r>
      <w:r>
        <w:rPr>
          <w:rFonts w:ascii="Times New Roman" w:hAnsi="Times New Roman"/>
          <w:sz w:val="24"/>
          <w:szCs w:val="24"/>
        </w:rPr>
        <w:t>onic-</w:t>
      </w:r>
      <w:r>
        <w:rPr>
          <w:rFonts w:hint="eastAsia" w:ascii="Times New Roman" w:hAnsi="Times New Roman"/>
          <w:sz w:val="24"/>
          <w:szCs w:val="24"/>
        </w:rPr>
        <w:t>e</w:t>
      </w:r>
      <w:r>
        <w:rPr>
          <w:rFonts w:ascii="Times New Roman" w:hAnsi="Times New Roman"/>
          <w:sz w:val="24"/>
          <w:szCs w:val="24"/>
        </w:rPr>
        <w:t xml:space="preserve">lectronic </w:t>
      </w:r>
      <w:r>
        <w:rPr>
          <w:rFonts w:hint="eastAsia" w:ascii="Times New Roman" w:hAnsi="Times New Roman"/>
          <w:sz w:val="24"/>
          <w:szCs w:val="24"/>
        </w:rPr>
        <w:t>c</w:t>
      </w:r>
      <w:r>
        <w:rPr>
          <w:rFonts w:ascii="Times New Roman" w:hAnsi="Times New Roman"/>
          <w:sz w:val="24"/>
          <w:szCs w:val="24"/>
        </w:rPr>
        <w:t xml:space="preserve">onductors. </w:t>
      </w:r>
      <w:r>
        <w:rPr>
          <w:rFonts w:ascii="Times New Roman" w:hAnsi="Times New Roman"/>
          <w:i/>
          <w:sz w:val="24"/>
          <w:szCs w:val="24"/>
        </w:rPr>
        <w:t>Angew</w:t>
      </w:r>
      <w:r>
        <w:rPr>
          <w:rFonts w:hint="eastAsia" w:ascii="Times New Roman" w:hAnsi="Times New Roman"/>
          <w:i/>
          <w:sz w:val="24"/>
          <w:szCs w:val="24"/>
        </w:rPr>
        <w:t>.</w:t>
      </w:r>
      <w:r>
        <w:rPr>
          <w:rFonts w:ascii="Times New Roman" w:hAnsi="Times New Roman"/>
          <w:i/>
          <w:sz w:val="24"/>
          <w:szCs w:val="24"/>
        </w:rPr>
        <w:t xml:space="preserve"> Chem</w:t>
      </w:r>
      <w:r>
        <w:rPr>
          <w:rFonts w:hint="eastAsia" w:ascii="Times New Roman" w:hAnsi="Times New Roman"/>
          <w:i/>
          <w:sz w:val="24"/>
          <w:szCs w:val="24"/>
        </w:rPr>
        <w:t>.</w:t>
      </w:r>
      <w:r>
        <w:rPr>
          <w:rFonts w:ascii="Times New Roman" w:hAnsi="Times New Roman"/>
          <w:i/>
          <w:sz w:val="24"/>
          <w:szCs w:val="24"/>
        </w:rPr>
        <w:t xml:space="preserve"> Int</w:t>
      </w:r>
      <w:r>
        <w:rPr>
          <w:rFonts w:hint="eastAsia" w:ascii="Times New Roman" w:hAnsi="Times New Roman"/>
          <w:i/>
          <w:sz w:val="24"/>
          <w:szCs w:val="24"/>
        </w:rPr>
        <w:t>.</w:t>
      </w:r>
      <w:r>
        <w:rPr>
          <w:rFonts w:ascii="Times New Roman" w:hAnsi="Times New Roman"/>
          <w:i/>
          <w:sz w:val="24"/>
          <w:szCs w:val="24"/>
        </w:rPr>
        <w:t xml:space="preserve"> Ed</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63</w:t>
      </w:r>
      <w:r>
        <w:rPr>
          <w:rFonts w:ascii="Times New Roman" w:hAnsi="Times New Roman"/>
          <w:sz w:val="24"/>
          <w:szCs w:val="24"/>
        </w:rPr>
        <w:t>, e202315537</w:t>
      </w:r>
      <w:r>
        <w:rPr>
          <w:rFonts w:hint="eastAsia" w:ascii="Times New Roman" w:hAnsi="Times New Roman"/>
          <w:sz w:val="24"/>
          <w:szCs w:val="24"/>
        </w:rPr>
        <w:t xml:space="preserve"> </w:t>
      </w:r>
      <w:r>
        <w:rPr>
          <w:rFonts w:ascii="Times New Roman" w:hAnsi="Times New Roman"/>
          <w:sz w:val="24"/>
          <w:szCs w:val="24"/>
        </w:rPr>
        <w:t>(2024).</w:t>
      </w:r>
    </w:p>
    <w:p w14:paraId="10CDBA2A">
      <w:pPr>
        <w:pStyle w:val="150"/>
        <w:spacing w:before="120"/>
        <w:rPr>
          <w:rFonts w:ascii="Times New Roman" w:hAnsi="Times New Roman"/>
          <w:sz w:val="24"/>
          <w:szCs w:val="24"/>
        </w:rPr>
      </w:pPr>
      <w:r>
        <w:rPr>
          <w:rFonts w:ascii="Times New Roman" w:hAnsi="Times New Roman"/>
          <w:sz w:val="24"/>
          <w:szCs w:val="24"/>
        </w:rPr>
        <w:t>9</w:t>
      </w:r>
      <w:r>
        <w:rPr>
          <w:rFonts w:ascii="Times New Roman" w:hAnsi="Times New Roman"/>
          <w:sz w:val="24"/>
          <w:szCs w:val="24"/>
        </w:rPr>
        <w:tab/>
      </w:r>
      <w:r>
        <w:rPr>
          <w:rFonts w:ascii="Times New Roman" w:hAnsi="Times New Roman"/>
          <w:sz w:val="24"/>
          <w:szCs w:val="24"/>
        </w:rPr>
        <w:t>Xu, H.</w:t>
      </w:r>
      <w:r>
        <w:rPr>
          <w:rFonts w:ascii="Times New Roman" w:hAnsi="Times New Roman"/>
          <w:i/>
          <w:sz w:val="24"/>
          <w:szCs w:val="24"/>
        </w:rPr>
        <w:t xml:space="preserve"> et al.</w:t>
      </w:r>
      <w:r>
        <w:rPr>
          <w:rFonts w:ascii="Times New Roman" w:hAnsi="Times New Roman"/>
          <w:sz w:val="24"/>
          <w:szCs w:val="24"/>
        </w:rPr>
        <w:t xml:space="preserve"> A low-power vertical dual-gate neurotransistor with short-term memory for high energy-efficient neuromorphic computing. </w:t>
      </w:r>
      <w:r>
        <w:rPr>
          <w:rFonts w:ascii="Times New Roman" w:hAnsi="Times New Roman"/>
          <w:i/>
          <w:sz w:val="24"/>
          <w:szCs w:val="24"/>
        </w:rPr>
        <w:t>Nat</w:t>
      </w:r>
      <w:r>
        <w:rPr>
          <w:rFonts w:hint="eastAsia" w:ascii="Times New Roman" w:hAnsi="Times New Roman"/>
          <w:i/>
          <w:sz w:val="24"/>
          <w:szCs w:val="24"/>
        </w:rPr>
        <w:t>.</w:t>
      </w:r>
      <w:r>
        <w:rPr>
          <w:rFonts w:ascii="Times New Roman" w:hAnsi="Times New Roman"/>
          <w:i/>
          <w:sz w:val="24"/>
          <w:szCs w:val="24"/>
        </w:rPr>
        <w:t xml:space="preserve"> Commun</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14</w:t>
      </w:r>
      <w:r>
        <w:rPr>
          <w:rFonts w:ascii="Times New Roman" w:hAnsi="Times New Roman"/>
          <w:sz w:val="24"/>
          <w:szCs w:val="24"/>
        </w:rPr>
        <w:t>, 6385 (2023).</w:t>
      </w:r>
    </w:p>
    <w:p w14:paraId="3F6B91A2">
      <w:pPr>
        <w:pStyle w:val="150"/>
        <w:spacing w:before="120"/>
        <w:rPr>
          <w:rFonts w:ascii="Times New Roman" w:hAnsi="Times New Roman"/>
          <w:sz w:val="24"/>
          <w:szCs w:val="24"/>
        </w:rPr>
      </w:pPr>
      <w:r>
        <w:rPr>
          <w:rFonts w:ascii="Times New Roman" w:hAnsi="Times New Roman"/>
          <w:sz w:val="24"/>
          <w:szCs w:val="24"/>
        </w:rPr>
        <w:t>10</w:t>
      </w:r>
      <w:r>
        <w:rPr>
          <w:rFonts w:ascii="Times New Roman" w:hAnsi="Times New Roman"/>
          <w:sz w:val="24"/>
          <w:szCs w:val="24"/>
        </w:rPr>
        <w:tab/>
      </w:r>
      <w:r>
        <w:rPr>
          <w:rFonts w:ascii="Times New Roman" w:hAnsi="Times New Roman"/>
          <w:sz w:val="24"/>
          <w:szCs w:val="24"/>
        </w:rPr>
        <w:t>Li, Z.</w:t>
      </w:r>
      <w:r>
        <w:rPr>
          <w:rFonts w:ascii="Times New Roman" w:hAnsi="Times New Roman"/>
          <w:i/>
          <w:sz w:val="24"/>
          <w:szCs w:val="24"/>
        </w:rPr>
        <w:t xml:space="preserve"> et al.</w:t>
      </w:r>
      <w:r>
        <w:rPr>
          <w:rFonts w:ascii="Times New Roman" w:hAnsi="Times New Roman"/>
          <w:sz w:val="24"/>
          <w:szCs w:val="24"/>
        </w:rPr>
        <w:t xml:space="preserve"> Crossmodal sensory neurons based on high-performance flexible memristors for human-machine in-sensor computing system. </w:t>
      </w:r>
      <w:r>
        <w:rPr>
          <w:rFonts w:ascii="Times New Roman" w:hAnsi="Times New Roman"/>
          <w:i/>
          <w:sz w:val="24"/>
          <w:szCs w:val="24"/>
        </w:rPr>
        <w:t>Nat</w:t>
      </w:r>
      <w:r>
        <w:rPr>
          <w:rFonts w:hint="eastAsia" w:ascii="Times New Roman" w:hAnsi="Times New Roman"/>
          <w:i/>
          <w:sz w:val="24"/>
          <w:szCs w:val="24"/>
        </w:rPr>
        <w:t>.</w:t>
      </w:r>
      <w:r>
        <w:rPr>
          <w:rFonts w:ascii="Times New Roman" w:hAnsi="Times New Roman"/>
          <w:i/>
          <w:sz w:val="24"/>
          <w:szCs w:val="24"/>
        </w:rPr>
        <w:t xml:space="preserve"> Commun</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15</w:t>
      </w:r>
      <w:r>
        <w:rPr>
          <w:rFonts w:ascii="Times New Roman" w:hAnsi="Times New Roman"/>
          <w:sz w:val="24"/>
          <w:szCs w:val="24"/>
        </w:rPr>
        <w:t>, 7275 (2024).</w:t>
      </w:r>
    </w:p>
    <w:p w14:paraId="1CBECC6B">
      <w:pPr>
        <w:pStyle w:val="150"/>
        <w:spacing w:before="120"/>
        <w:rPr>
          <w:rFonts w:ascii="Times New Roman" w:hAnsi="Times New Roman"/>
          <w:sz w:val="24"/>
          <w:szCs w:val="24"/>
        </w:rPr>
      </w:pPr>
      <w:r>
        <w:rPr>
          <w:rFonts w:ascii="Times New Roman" w:hAnsi="Times New Roman"/>
          <w:sz w:val="24"/>
          <w:szCs w:val="24"/>
        </w:rPr>
        <w:t>11</w:t>
      </w:r>
      <w:r>
        <w:rPr>
          <w:rFonts w:ascii="Times New Roman" w:hAnsi="Times New Roman"/>
          <w:sz w:val="24"/>
          <w:szCs w:val="24"/>
        </w:rPr>
        <w:tab/>
      </w:r>
      <w:r>
        <w:rPr>
          <w:rFonts w:ascii="Times New Roman" w:hAnsi="Times New Roman"/>
          <w:sz w:val="24"/>
          <w:szCs w:val="24"/>
        </w:rPr>
        <w:t>Zhang, H.-T.</w:t>
      </w:r>
      <w:r>
        <w:rPr>
          <w:rFonts w:ascii="Times New Roman" w:hAnsi="Times New Roman"/>
          <w:i/>
          <w:sz w:val="24"/>
          <w:szCs w:val="24"/>
        </w:rPr>
        <w:t xml:space="preserve"> et al.</w:t>
      </w:r>
      <w:r>
        <w:rPr>
          <w:rFonts w:ascii="Times New Roman" w:hAnsi="Times New Roman"/>
          <w:sz w:val="24"/>
          <w:szCs w:val="24"/>
        </w:rPr>
        <w:t xml:space="preserve"> Reconfigurable perovskite nickelate electronics for artificial intelligence. </w:t>
      </w:r>
      <w:r>
        <w:rPr>
          <w:rFonts w:ascii="Times New Roman" w:hAnsi="Times New Roman"/>
          <w:i/>
          <w:sz w:val="24"/>
          <w:szCs w:val="24"/>
        </w:rPr>
        <w:t>Science</w:t>
      </w:r>
      <w:r>
        <w:rPr>
          <w:rFonts w:ascii="Times New Roman" w:hAnsi="Times New Roman"/>
          <w:sz w:val="24"/>
          <w:szCs w:val="24"/>
        </w:rPr>
        <w:t xml:space="preserve"> </w:t>
      </w:r>
      <w:r>
        <w:rPr>
          <w:rFonts w:ascii="Times New Roman" w:hAnsi="Times New Roman"/>
          <w:b/>
          <w:sz w:val="24"/>
          <w:szCs w:val="24"/>
        </w:rPr>
        <w:t>375</w:t>
      </w:r>
      <w:r>
        <w:rPr>
          <w:rFonts w:ascii="Times New Roman" w:hAnsi="Times New Roman"/>
          <w:sz w:val="24"/>
          <w:szCs w:val="24"/>
        </w:rPr>
        <w:t>, 533-539 (2022).</w:t>
      </w:r>
    </w:p>
    <w:p w14:paraId="5EB4F32B">
      <w:pPr>
        <w:pStyle w:val="150"/>
        <w:spacing w:before="120"/>
        <w:rPr>
          <w:rFonts w:ascii="Times New Roman" w:hAnsi="Times New Roman"/>
          <w:sz w:val="24"/>
          <w:szCs w:val="24"/>
        </w:rPr>
      </w:pPr>
      <w:r>
        <w:rPr>
          <w:rFonts w:ascii="Times New Roman" w:hAnsi="Times New Roman"/>
          <w:sz w:val="24"/>
          <w:szCs w:val="24"/>
        </w:rPr>
        <w:t>12</w:t>
      </w:r>
      <w:r>
        <w:rPr>
          <w:rFonts w:ascii="Times New Roman" w:hAnsi="Times New Roman"/>
          <w:sz w:val="24"/>
          <w:szCs w:val="24"/>
        </w:rPr>
        <w:tab/>
      </w:r>
      <w:r>
        <w:rPr>
          <w:rFonts w:ascii="Times New Roman" w:hAnsi="Times New Roman"/>
          <w:sz w:val="24"/>
          <w:szCs w:val="24"/>
        </w:rPr>
        <w:t>Harikesh, P. C.</w:t>
      </w:r>
      <w:r>
        <w:rPr>
          <w:rFonts w:ascii="Times New Roman" w:hAnsi="Times New Roman"/>
          <w:i/>
          <w:sz w:val="24"/>
          <w:szCs w:val="24"/>
        </w:rPr>
        <w:t xml:space="preserve"> et al.</w:t>
      </w:r>
      <w:r>
        <w:rPr>
          <w:rFonts w:ascii="Times New Roman" w:hAnsi="Times New Roman"/>
          <w:sz w:val="24"/>
          <w:szCs w:val="24"/>
        </w:rPr>
        <w:t xml:space="preserve"> Ion-tunable antiambipolarity in mixed ion–electron conducting polymers enables biorealistic organic electrochemical neurons. </w:t>
      </w:r>
      <w:r>
        <w:rPr>
          <w:rFonts w:ascii="Times New Roman" w:hAnsi="Times New Roman"/>
          <w:i/>
          <w:sz w:val="24"/>
          <w:szCs w:val="24"/>
        </w:rPr>
        <w:t>Nat</w:t>
      </w:r>
      <w:r>
        <w:rPr>
          <w:rFonts w:hint="eastAsia" w:ascii="Times New Roman" w:hAnsi="Times New Roman"/>
          <w:i/>
          <w:sz w:val="24"/>
          <w:szCs w:val="24"/>
        </w:rPr>
        <w:t>.</w:t>
      </w:r>
      <w:r>
        <w:rPr>
          <w:rFonts w:ascii="Times New Roman" w:hAnsi="Times New Roman"/>
          <w:i/>
          <w:sz w:val="24"/>
          <w:szCs w:val="24"/>
        </w:rPr>
        <w:t xml:space="preserve"> Mater</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22</w:t>
      </w:r>
      <w:r>
        <w:rPr>
          <w:rFonts w:ascii="Times New Roman" w:hAnsi="Times New Roman"/>
          <w:sz w:val="24"/>
          <w:szCs w:val="24"/>
        </w:rPr>
        <w:t>, 242-248</w:t>
      </w:r>
      <w:r>
        <w:rPr>
          <w:rFonts w:hint="eastAsia" w:ascii="Times New Roman" w:hAnsi="Times New Roman"/>
          <w:sz w:val="24"/>
          <w:szCs w:val="24"/>
        </w:rPr>
        <w:t xml:space="preserve"> </w:t>
      </w:r>
      <w:r>
        <w:rPr>
          <w:rFonts w:ascii="Times New Roman" w:hAnsi="Times New Roman"/>
          <w:sz w:val="24"/>
          <w:szCs w:val="24"/>
        </w:rPr>
        <w:t>(2023).</w:t>
      </w:r>
    </w:p>
    <w:p w14:paraId="5EE1B1B4">
      <w:pPr>
        <w:pStyle w:val="150"/>
        <w:spacing w:before="120"/>
        <w:rPr>
          <w:rFonts w:ascii="Times New Roman" w:hAnsi="Times New Roman"/>
          <w:sz w:val="24"/>
          <w:szCs w:val="24"/>
        </w:rPr>
      </w:pPr>
      <w:r>
        <w:rPr>
          <w:rFonts w:ascii="Times New Roman" w:hAnsi="Times New Roman"/>
          <w:sz w:val="24"/>
          <w:szCs w:val="24"/>
        </w:rPr>
        <w:t>13</w:t>
      </w:r>
      <w:r>
        <w:rPr>
          <w:rFonts w:ascii="Times New Roman" w:hAnsi="Times New Roman"/>
          <w:sz w:val="24"/>
          <w:szCs w:val="24"/>
        </w:rPr>
        <w:tab/>
      </w:r>
      <w:r>
        <w:rPr>
          <w:rFonts w:ascii="Times New Roman" w:hAnsi="Times New Roman"/>
          <w:sz w:val="24"/>
          <w:szCs w:val="24"/>
        </w:rPr>
        <w:t>Sarkar, T.</w:t>
      </w:r>
      <w:r>
        <w:rPr>
          <w:rFonts w:ascii="Times New Roman" w:hAnsi="Times New Roman"/>
          <w:i/>
          <w:sz w:val="24"/>
          <w:szCs w:val="24"/>
        </w:rPr>
        <w:t xml:space="preserve"> et al.</w:t>
      </w:r>
      <w:r>
        <w:rPr>
          <w:rFonts w:ascii="Times New Roman" w:hAnsi="Times New Roman"/>
          <w:sz w:val="24"/>
          <w:szCs w:val="24"/>
        </w:rPr>
        <w:t xml:space="preserve"> An organic artificial spiking neuron for in situ neuromorphic sensing and biointerfacing. </w:t>
      </w:r>
      <w:r>
        <w:rPr>
          <w:rFonts w:ascii="Times New Roman" w:hAnsi="Times New Roman"/>
          <w:i/>
          <w:sz w:val="24"/>
          <w:szCs w:val="24"/>
        </w:rPr>
        <w:t>Nat. Electron.</w:t>
      </w:r>
      <w:r>
        <w:rPr>
          <w:rFonts w:ascii="Times New Roman" w:hAnsi="Times New Roman"/>
          <w:sz w:val="24"/>
          <w:szCs w:val="24"/>
        </w:rPr>
        <w:t xml:space="preserve"> </w:t>
      </w:r>
      <w:r>
        <w:rPr>
          <w:rFonts w:ascii="Times New Roman" w:hAnsi="Times New Roman"/>
          <w:b/>
          <w:sz w:val="24"/>
          <w:szCs w:val="24"/>
        </w:rPr>
        <w:t>5</w:t>
      </w:r>
      <w:r>
        <w:rPr>
          <w:rFonts w:ascii="Times New Roman" w:hAnsi="Times New Roman"/>
          <w:sz w:val="24"/>
          <w:szCs w:val="24"/>
        </w:rPr>
        <w:t>, 774-783 (2022).</w:t>
      </w:r>
    </w:p>
    <w:p w14:paraId="136B349D">
      <w:pPr>
        <w:pStyle w:val="150"/>
        <w:spacing w:before="120"/>
        <w:rPr>
          <w:rFonts w:ascii="Times New Roman" w:hAnsi="Times New Roman"/>
          <w:sz w:val="24"/>
          <w:szCs w:val="24"/>
        </w:rPr>
      </w:pPr>
      <w:r>
        <w:rPr>
          <w:rFonts w:ascii="Times New Roman" w:hAnsi="Times New Roman"/>
          <w:sz w:val="24"/>
          <w:szCs w:val="24"/>
        </w:rPr>
        <w:t>14</w:t>
      </w:r>
      <w:r>
        <w:rPr>
          <w:rFonts w:ascii="Times New Roman" w:hAnsi="Times New Roman"/>
          <w:sz w:val="24"/>
          <w:szCs w:val="24"/>
        </w:rPr>
        <w:tab/>
      </w:r>
      <w:r>
        <w:rPr>
          <w:rFonts w:ascii="Times New Roman" w:hAnsi="Times New Roman"/>
          <w:sz w:val="24"/>
          <w:szCs w:val="24"/>
        </w:rPr>
        <w:t>Liu, G.</w:t>
      </w:r>
      <w:r>
        <w:rPr>
          <w:rFonts w:ascii="Times New Roman" w:hAnsi="Times New Roman"/>
          <w:i/>
          <w:sz w:val="24"/>
          <w:szCs w:val="24"/>
        </w:rPr>
        <w:t xml:space="preserve"> et al.</w:t>
      </w:r>
      <w:r>
        <w:rPr>
          <w:rFonts w:ascii="Times New Roman" w:hAnsi="Times New Roman"/>
          <w:sz w:val="24"/>
          <w:szCs w:val="24"/>
        </w:rPr>
        <w:t xml:space="preserve"> Ultralow-</w:t>
      </w:r>
      <w:r>
        <w:rPr>
          <w:rFonts w:hint="eastAsia" w:ascii="Times New Roman" w:hAnsi="Times New Roman"/>
          <w:sz w:val="24"/>
          <w:szCs w:val="24"/>
        </w:rPr>
        <w:t>p</w:t>
      </w:r>
      <w:r>
        <w:rPr>
          <w:rFonts w:ascii="Times New Roman" w:hAnsi="Times New Roman"/>
          <w:sz w:val="24"/>
          <w:szCs w:val="24"/>
        </w:rPr>
        <w:t xml:space="preserve">ower and </w:t>
      </w:r>
      <w:r>
        <w:rPr>
          <w:rFonts w:hint="eastAsia" w:ascii="Times New Roman" w:hAnsi="Times New Roman"/>
          <w:sz w:val="24"/>
          <w:szCs w:val="24"/>
        </w:rPr>
        <w:t>m</w:t>
      </w:r>
      <w:r>
        <w:rPr>
          <w:rFonts w:ascii="Times New Roman" w:hAnsi="Times New Roman"/>
          <w:sz w:val="24"/>
          <w:szCs w:val="24"/>
        </w:rPr>
        <w:t xml:space="preserve">ultisensory </w:t>
      </w:r>
      <w:r>
        <w:rPr>
          <w:rFonts w:hint="eastAsia" w:ascii="Times New Roman" w:hAnsi="Times New Roman"/>
          <w:sz w:val="24"/>
          <w:szCs w:val="24"/>
        </w:rPr>
        <w:t>a</w:t>
      </w:r>
      <w:r>
        <w:rPr>
          <w:rFonts w:ascii="Times New Roman" w:hAnsi="Times New Roman"/>
          <w:sz w:val="24"/>
          <w:szCs w:val="24"/>
        </w:rPr>
        <w:t xml:space="preserve">rtificial </w:t>
      </w:r>
      <w:r>
        <w:rPr>
          <w:rFonts w:hint="eastAsia" w:ascii="Times New Roman" w:hAnsi="Times New Roman"/>
          <w:sz w:val="24"/>
          <w:szCs w:val="24"/>
        </w:rPr>
        <w:t>s</w:t>
      </w:r>
      <w:r>
        <w:rPr>
          <w:rFonts w:ascii="Times New Roman" w:hAnsi="Times New Roman"/>
          <w:sz w:val="24"/>
          <w:szCs w:val="24"/>
        </w:rPr>
        <w:t xml:space="preserve">ynapse </w:t>
      </w:r>
      <w:r>
        <w:rPr>
          <w:rFonts w:hint="eastAsia" w:ascii="Times New Roman" w:hAnsi="Times New Roman"/>
          <w:sz w:val="24"/>
          <w:szCs w:val="24"/>
        </w:rPr>
        <w:t>b</w:t>
      </w:r>
      <w:r>
        <w:rPr>
          <w:rFonts w:ascii="Times New Roman" w:hAnsi="Times New Roman"/>
          <w:sz w:val="24"/>
          <w:szCs w:val="24"/>
        </w:rPr>
        <w:t xml:space="preserve">ased on </w:t>
      </w:r>
      <w:r>
        <w:rPr>
          <w:rFonts w:hint="eastAsia" w:ascii="Times New Roman" w:hAnsi="Times New Roman"/>
          <w:sz w:val="24"/>
          <w:szCs w:val="24"/>
        </w:rPr>
        <w:t>e</w:t>
      </w:r>
      <w:r>
        <w:rPr>
          <w:rFonts w:ascii="Times New Roman" w:hAnsi="Times New Roman"/>
          <w:sz w:val="24"/>
          <w:szCs w:val="24"/>
        </w:rPr>
        <w:t>lectrolyte-</w:t>
      </w:r>
      <w:r>
        <w:rPr>
          <w:rFonts w:hint="eastAsia" w:ascii="Times New Roman" w:hAnsi="Times New Roman"/>
          <w:sz w:val="24"/>
          <w:szCs w:val="24"/>
        </w:rPr>
        <w:t>g</w:t>
      </w:r>
      <w:r>
        <w:rPr>
          <w:rFonts w:ascii="Times New Roman" w:hAnsi="Times New Roman"/>
          <w:sz w:val="24"/>
          <w:szCs w:val="24"/>
        </w:rPr>
        <w:t xml:space="preserve">ated </w:t>
      </w:r>
      <w:r>
        <w:rPr>
          <w:rFonts w:hint="eastAsia" w:ascii="Times New Roman" w:hAnsi="Times New Roman"/>
          <w:sz w:val="24"/>
          <w:szCs w:val="24"/>
        </w:rPr>
        <w:t>v</w:t>
      </w:r>
      <w:r>
        <w:rPr>
          <w:rFonts w:ascii="Times New Roman" w:hAnsi="Times New Roman"/>
          <w:sz w:val="24"/>
          <w:szCs w:val="24"/>
        </w:rPr>
        <w:t xml:space="preserve">ertical </w:t>
      </w:r>
      <w:r>
        <w:rPr>
          <w:rFonts w:hint="eastAsia" w:ascii="Times New Roman" w:hAnsi="Times New Roman"/>
          <w:sz w:val="24"/>
          <w:szCs w:val="24"/>
        </w:rPr>
        <w:t>o</w:t>
      </w:r>
      <w:r>
        <w:rPr>
          <w:rFonts w:ascii="Times New Roman" w:hAnsi="Times New Roman"/>
          <w:sz w:val="24"/>
          <w:szCs w:val="24"/>
        </w:rPr>
        <w:t xml:space="preserve">rganic </w:t>
      </w:r>
      <w:r>
        <w:rPr>
          <w:rFonts w:hint="eastAsia" w:ascii="Times New Roman" w:hAnsi="Times New Roman"/>
          <w:sz w:val="24"/>
          <w:szCs w:val="24"/>
        </w:rPr>
        <w:t>t</w:t>
      </w:r>
      <w:r>
        <w:rPr>
          <w:rFonts w:ascii="Times New Roman" w:hAnsi="Times New Roman"/>
          <w:sz w:val="24"/>
          <w:szCs w:val="24"/>
        </w:rPr>
        <w:t xml:space="preserve">ransistors. </w:t>
      </w:r>
      <w:r>
        <w:rPr>
          <w:rFonts w:ascii="Times New Roman" w:hAnsi="Times New Roman"/>
          <w:i/>
          <w:sz w:val="24"/>
          <w:szCs w:val="24"/>
        </w:rPr>
        <w:t>Adv</w:t>
      </w:r>
      <w:r>
        <w:rPr>
          <w:rFonts w:hint="eastAsia" w:ascii="Times New Roman" w:hAnsi="Times New Roman"/>
          <w:i/>
          <w:sz w:val="24"/>
          <w:szCs w:val="24"/>
        </w:rPr>
        <w:t>.</w:t>
      </w:r>
      <w:r>
        <w:rPr>
          <w:rFonts w:ascii="Times New Roman" w:hAnsi="Times New Roman"/>
          <w:i/>
          <w:sz w:val="24"/>
          <w:szCs w:val="24"/>
        </w:rPr>
        <w:t xml:space="preserve"> Funct</w:t>
      </w:r>
      <w:r>
        <w:rPr>
          <w:rFonts w:hint="eastAsia" w:ascii="Times New Roman" w:hAnsi="Times New Roman"/>
          <w:i/>
          <w:sz w:val="24"/>
          <w:szCs w:val="24"/>
        </w:rPr>
        <w:t>.</w:t>
      </w:r>
      <w:r>
        <w:rPr>
          <w:rFonts w:ascii="Times New Roman" w:hAnsi="Times New Roman"/>
          <w:i/>
          <w:sz w:val="24"/>
          <w:szCs w:val="24"/>
        </w:rPr>
        <w:t xml:space="preserve"> Mater</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32</w:t>
      </w:r>
      <w:r>
        <w:rPr>
          <w:rFonts w:ascii="Times New Roman" w:hAnsi="Times New Roman"/>
          <w:sz w:val="24"/>
          <w:szCs w:val="24"/>
        </w:rPr>
        <w:t>, 2200959 (2022).</w:t>
      </w:r>
    </w:p>
    <w:p w14:paraId="12CE25EF">
      <w:pPr>
        <w:pStyle w:val="150"/>
        <w:spacing w:before="120"/>
        <w:rPr>
          <w:rFonts w:ascii="Times New Roman" w:hAnsi="Times New Roman"/>
          <w:sz w:val="24"/>
          <w:szCs w:val="24"/>
        </w:rPr>
      </w:pPr>
      <w:r>
        <w:rPr>
          <w:rFonts w:ascii="Times New Roman" w:hAnsi="Times New Roman"/>
          <w:sz w:val="24"/>
          <w:szCs w:val="24"/>
        </w:rPr>
        <w:t>15</w:t>
      </w:r>
      <w:r>
        <w:rPr>
          <w:rFonts w:ascii="Times New Roman" w:hAnsi="Times New Roman"/>
          <w:sz w:val="24"/>
          <w:szCs w:val="24"/>
        </w:rPr>
        <w:tab/>
      </w:r>
      <w:r>
        <w:rPr>
          <w:rFonts w:ascii="Times New Roman" w:hAnsi="Times New Roman"/>
          <w:sz w:val="24"/>
          <w:szCs w:val="24"/>
        </w:rPr>
        <w:t>Zhang, Y.</w:t>
      </w:r>
      <w:r>
        <w:rPr>
          <w:rFonts w:ascii="Times New Roman" w:hAnsi="Times New Roman"/>
          <w:i/>
          <w:sz w:val="24"/>
          <w:szCs w:val="24"/>
        </w:rPr>
        <w:t xml:space="preserve"> et al.</w:t>
      </w:r>
      <w:r>
        <w:rPr>
          <w:rFonts w:ascii="Times New Roman" w:hAnsi="Times New Roman"/>
          <w:sz w:val="24"/>
          <w:szCs w:val="24"/>
        </w:rPr>
        <w:t xml:space="preserve"> High-</w:t>
      </w:r>
      <w:r>
        <w:rPr>
          <w:rFonts w:hint="eastAsia" w:ascii="Times New Roman" w:hAnsi="Times New Roman"/>
          <w:sz w:val="24"/>
          <w:szCs w:val="24"/>
        </w:rPr>
        <w:t>p</w:t>
      </w:r>
      <w:r>
        <w:rPr>
          <w:rFonts w:ascii="Times New Roman" w:hAnsi="Times New Roman"/>
          <w:sz w:val="24"/>
          <w:szCs w:val="24"/>
        </w:rPr>
        <w:t xml:space="preserve">erformance </w:t>
      </w:r>
      <w:r>
        <w:rPr>
          <w:rFonts w:hint="eastAsia" w:ascii="Times New Roman" w:hAnsi="Times New Roman"/>
          <w:sz w:val="24"/>
          <w:szCs w:val="24"/>
        </w:rPr>
        <w:t>o</w:t>
      </w:r>
      <w:r>
        <w:rPr>
          <w:rFonts w:ascii="Times New Roman" w:hAnsi="Times New Roman"/>
          <w:sz w:val="24"/>
          <w:szCs w:val="24"/>
        </w:rPr>
        <w:t xml:space="preserve">rganic </w:t>
      </w:r>
      <w:r>
        <w:rPr>
          <w:rFonts w:hint="eastAsia" w:ascii="Times New Roman" w:hAnsi="Times New Roman"/>
          <w:sz w:val="24"/>
          <w:szCs w:val="24"/>
        </w:rPr>
        <w:t>e</w:t>
      </w:r>
      <w:r>
        <w:rPr>
          <w:rFonts w:ascii="Times New Roman" w:hAnsi="Times New Roman"/>
          <w:sz w:val="24"/>
          <w:szCs w:val="24"/>
        </w:rPr>
        <w:t xml:space="preserve">lectrochemical </w:t>
      </w:r>
      <w:r>
        <w:rPr>
          <w:rFonts w:hint="eastAsia" w:ascii="Times New Roman" w:hAnsi="Times New Roman"/>
          <w:sz w:val="24"/>
          <w:szCs w:val="24"/>
        </w:rPr>
        <w:t>t</w:t>
      </w:r>
      <w:r>
        <w:rPr>
          <w:rFonts w:ascii="Times New Roman" w:hAnsi="Times New Roman"/>
          <w:sz w:val="24"/>
          <w:szCs w:val="24"/>
        </w:rPr>
        <w:t xml:space="preserve">ransistors and </w:t>
      </w:r>
      <w:r>
        <w:rPr>
          <w:rFonts w:hint="eastAsia" w:ascii="Times New Roman" w:hAnsi="Times New Roman"/>
          <w:sz w:val="24"/>
          <w:szCs w:val="24"/>
        </w:rPr>
        <w:t>n</w:t>
      </w:r>
      <w:r>
        <w:rPr>
          <w:rFonts w:ascii="Times New Roman" w:hAnsi="Times New Roman"/>
          <w:sz w:val="24"/>
          <w:szCs w:val="24"/>
        </w:rPr>
        <w:t xml:space="preserve">euromorphic </w:t>
      </w:r>
      <w:r>
        <w:rPr>
          <w:rFonts w:hint="eastAsia" w:ascii="Times New Roman" w:hAnsi="Times New Roman"/>
          <w:sz w:val="24"/>
          <w:szCs w:val="24"/>
        </w:rPr>
        <w:t>d</w:t>
      </w:r>
      <w:r>
        <w:rPr>
          <w:rFonts w:ascii="Times New Roman" w:hAnsi="Times New Roman"/>
          <w:sz w:val="24"/>
          <w:szCs w:val="24"/>
        </w:rPr>
        <w:t xml:space="preserve">evices </w:t>
      </w:r>
      <w:r>
        <w:rPr>
          <w:rFonts w:hint="eastAsia" w:ascii="Times New Roman" w:hAnsi="Times New Roman"/>
          <w:sz w:val="24"/>
          <w:szCs w:val="24"/>
        </w:rPr>
        <w:t>c</w:t>
      </w:r>
      <w:r>
        <w:rPr>
          <w:rFonts w:ascii="Times New Roman" w:hAnsi="Times New Roman"/>
          <w:sz w:val="24"/>
          <w:szCs w:val="24"/>
        </w:rPr>
        <w:t xml:space="preserve">omprising </w:t>
      </w:r>
      <w:r>
        <w:rPr>
          <w:rFonts w:hint="eastAsia" w:ascii="Times New Roman" w:hAnsi="Times New Roman"/>
          <w:sz w:val="24"/>
          <w:szCs w:val="24"/>
        </w:rPr>
        <w:t>n</w:t>
      </w:r>
      <w:r>
        <w:rPr>
          <w:rFonts w:ascii="Times New Roman" w:hAnsi="Times New Roman"/>
          <w:sz w:val="24"/>
          <w:szCs w:val="24"/>
        </w:rPr>
        <w:t>aphthalenediimide-</w:t>
      </w:r>
      <w:r>
        <w:rPr>
          <w:rFonts w:hint="eastAsia" w:ascii="Times New Roman" w:hAnsi="Times New Roman"/>
          <w:sz w:val="24"/>
          <w:szCs w:val="24"/>
        </w:rPr>
        <w:t>d</w:t>
      </w:r>
      <w:r>
        <w:rPr>
          <w:rFonts w:ascii="Times New Roman" w:hAnsi="Times New Roman"/>
          <w:sz w:val="24"/>
          <w:szCs w:val="24"/>
        </w:rPr>
        <w:t xml:space="preserve">ialkoxybithiazole </w:t>
      </w:r>
      <w:r>
        <w:rPr>
          <w:rFonts w:hint="eastAsia" w:ascii="Times New Roman" w:hAnsi="Times New Roman"/>
          <w:sz w:val="24"/>
          <w:szCs w:val="24"/>
        </w:rPr>
        <w:t>c</w:t>
      </w:r>
      <w:r>
        <w:rPr>
          <w:rFonts w:ascii="Times New Roman" w:hAnsi="Times New Roman"/>
          <w:sz w:val="24"/>
          <w:szCs w:val="24"/>
        </w:rPr>
        <w:t xml:space="preserve">opolymers </w:t>
      </w:r>
      <w:r>
        <w:rPr>
          <w:rFonts w:hint="eastAsia" w:ascii="Times New Roman" w:hAnsi="Times New Roman"/>
          <w:sz w:val="24"/>
          <w:szCs w:val="24"/>
        </w:rPr>
        <w:t>b</w:t>
      </w:r>
      <w:r>
        <w:rPr>
          <w:rFonts w:ascii="Times New Roman" w:hAnsi="Times New Roman"/>
          <w:sz w:val="24"/>
          <w:szCs w:val="24"/>
        </w:rPr>
        <w:t xml:space="preserve">earing </w:t>
      </w:r>
      <w:r>
        <w:rPr>
          <w:rFonts w:hint="eastAsia" w:ascii="Times New Roman" w:hAnsi="Times New Roman"/>
          <w:sz w:val="24"/>
          <w:szCs w:val="24"/>
        </w:rPr>
        <w:t>g</w:t>
      </w:r>
      <w:r>
        <w:rPr>
          <w:rFonts w:ascii="Times New Roman" w:hAnsi="Times New Roman"/>
          <w:sz w:val="24"/>
          <w:szCs w:val="24"/>
        </w:rPr>
        <w:t xml:space="preserve">lycol </w:t>
      </w:r>
      <w:r>
        <w:rPr>
          <w:rFonts w:hint="eastAsia" w:ascii="Times New Roman" w:hAnsi="Times New Roman"/>
          <w:sz w:val="24"/>
          <w:szCs w:val="24"/>
        </w:rPr>
        <w:t>e</w:t>
      </w:r>
      <w:r>
        <w:rPr>
          <w:rFonts w:ascii="Times New Roman" w:hAnsi="Times New Roman"/>
          <w:sz w:val="24"/>
          <w:szCs w:val="24"/>
        </w:rPr>
        <w:t xml:space="preserve">ther </w:t>
      </w:r>
      <w:r>
        <w:rPr>
          <w:rFonts w:hint="eastAsia" w:ascii="Times New Roman" w:hAnsi="Times New Roman"/>
          <w:sz w:val="24"/>
          <w:szCs w:val="24"/>
        </w:rPr>
        <w:t>p</w:t>
      </w:r>
      <w:r>
        <w:rPr>
          <w:rFonts w:ascii="Times New Roman" w:hAnsi="Times New Roman"/>
          <w:sz w:val="24"/>
          <w:szCs w:val="24"/>
        </w:rPr>
        <w:t xml:space="preserve">endant </w:t>
      </w:r>
      <w:r>
        <w:rPr>
          <w:rFonts w:hint="eastAsia" w:ascii="Times New Roman" w:hAnsi="Times New Roman"/>
          <w:sz w:val="24"/>
          <w:szCs w:val="24"/>
        </w:rPr>
        <w:t>g</w:t>
      </w:r>
      <w:r>
        <w:rPr>
          <w:rFonts w:ascii="Times New Roman" w:hAnsi="Times New Roman"/>
          <w:sz w:val="24"/>
          <w:szCs w:val="24"/>
        </w:rPr>
        <w:t xml:space="preserve">roups. </w:t>
      </w:r>
      <w:r>
        <w:rPr>
          <w:rFonts w:ascii="Times New Roman" w:hAnsi="Times New Roman"/>
          <w:i/>
          <w:sz w:val="24"/>
          <w:szCs w:val="24"/>
        </w:rPr>
        <w:t>Adv</w:t>
      </w:r>
      <w:r>
        <w:rPr>
          <w:rFonts w:hint="eastAsia" w:ascii="Times New Roman" w:hAnsi="Times New Roman"/>
          <w:i/>
          <w:sz w:val="24"/>
          <w:szCs w:val="24"/>
        </w:rPr>
        <w:t>.</w:t>
      </w:r>
      <w:r>
        <w:rPr>
          <w:rFonts w:ascii="Times New Roman" w:hAnsi="Times New Roman"/>
          <w:i/>
          <w:sz w:val="24"/>
          <w:szCs w:val="24"/>
        </w:rPr>
        <w:t xml:space="preserve"> Funct</w:t>
      </w:r>
      <w:r>
        <w:rPr>
          <w:rFonts w:hint="eastAsia" w:ascii="Times New Roman" w:hAnsi="Times New Roman"/>
          <w:i/>
          <w:sz w:val="24"/>
          <w:szCs w:val="24"/>
        </w:rPr>
        <w:t>.</w:t>
      </w:r>
      <w:r>
        <w:rPr>
          <w:rFonts w:ascii="Times New Roman" w:hAnsi="Times New Roman"/>
          <w:i/>
          <w:sz w:val="24"/>
          <w:szCs w:val="24"/>
        </w:rPr>
        <w:t xml:space="preserve"> Mater</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32</w:t>
      </w:r>
      <w:r>
        <w:rPr>
          <w:rFonts w:ascii="Times New Roman" w:hAnsi="Times New Roman"/>
          <w:sz w:val="24"/>
          <w:szCs w:val="24"/>
        </w:rPr>
        <w:t>, 2201593 (2022).</w:t>
      </w:r>
    </w:p>
    <w:p w14:paraId="0991EC76">
      <w:pPr>
        <w:pStyle w:val="150"/>
        <w:spacing w:before="120"/>
        <w:rPr>
          <w:rFonts w:ascii="Times New Roman" w:hAnsi="Times New Roman"/>
          <w:sz w:val="24"/>
          <w:szCs w:val="24"/>
        </w:rPr>
      </w:pPr>
      <w:r>
        <w:rPr>
          <w:rFonts w:ascii="Times New Roman" w:hAnsi="Times New Roman"/>
          <w:sz w:val="24"/>
          <w:szCs w:val="24"/>
        </w:rPr>
        <w:t>16</w:t>
      </w:r>
      <w:r>
        <w:rPr>
          <w:rFonts w:ascii="Times New Roman" w:hAnsi="Times New Roman"/>
          <w:sz w:val="24"/>
          <w:szCs w:val="24"/>
        </w:rPr>
        <w:tab/>
      </w:r>
      <w:r>
        <w:rPr>
          <w:rFonts w:ascii="Times New Roman" w:hAnsi="Times New Roman"/>
          <w:sz w:val="24"/>
          <w:szCs w:val="24"/>
        </w:rPr>
        <w:t>Chen, S.</w:t>
      </w:r>
      <w:r>
        <w:rPr>
          <w:rFonts w:ascii="Times New Roman" w:hAnsi="Times New Roman"/>
          <w:i/>
          <w:sz w:val="24"/>
          <w:szCs w:val="24"/>
        </w:rPr>
        <w:t xml:space="preserve"> et al.</w:t>
      </w:r>
      <w:r>
        <w:rPr>
          <w:rFonts w:ascii="Times New Roman" w:hAnsi="Times New Roman"/>
          <w:sz w:val="24"/>
          <w:szCs w:val="24"/>
        </w:rPr>
        <w:t xml:space="preserve"> Artificial organic afferent nerves enable closed-loop tactile feedback for intelligent robot. </w:t>
      </w:r>
      <w:r>
        <w:rPr>
          <w:rFonts w:ascii="Times New Roman" w:hAnsi="Times New Roman"/>
          <w:i/>
          <w:sz w:val="24"/>
          <w:szCs w:val="24"/>
        </w:rPr>
        <w:t>Nat</w:t>
      </w:r>
      <w:r>
        <w:rPr>
          <w:rFonts w:hint="eastAsia" w:ascii="Times New Roman" w:hAnsi="Times New Roman"/>
          <w:i/>
          <w:sz w:val="24"/>
          <w:szCs w:val="24"/>
        </w:rPr>
        <w:t>.</w:t>
      </w:r>
      <w:r>
        <w:rPr>
          <w:rFonts w:ascii="Times New Roman" w:hAnsi="Times New Roman"/>
          <w:i/>
          <w:sz w:val="24"/>
          <w:szCs w:val="24"/>
        </w:rPr>
        <w:t xml:space="preserve"> Commun</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15</w:t>
      </w:r>
      <w:r>
        <w:rPr>
          <w:rFonts w:ascii="Times New Roman" w:hAnsi="Times New Roman"/>
          <w:sz w:val="24"/>
          <w:szCs w:val="24"/>
        </w:rPr>
        <w:t>, 7056 (2024).</w:t>
      </w:r>
    </w:p>
    <w:p w14:paraId="3E292BE8">
      <w:pPr>
        <w:pStyle w:val="150"/>
        <w:spacing w:before="120"/>
        <w:rPr>
          <w:rFonts w:ascii="Times New Roman" w:hAnsi="Times New Roman"/>
          <w:sz w:val="24"/>
          <w:szCs w:val="24"/>
        </w:rPr>
      </w:pPr>
      <w:r>
        <w:rPr>
          <w:rFonts w:ascii="Times New Roman" w:hAnsi="Times New Roman"/>
          <w:sz w:val="24"/>
          <w:szCs w:val="24"/>
        </w:rPr>
        <w:t>17</w:t>
      </w:r>
      <w:r>
        <w:rPr>
          <w:rFonts w:ascii="Times New Roman" w:hAnsi="Times New Roman"/>
          <w:sz w:val="24"/>
          <w:szCs w:val="24"/>
        </w:rPr>
        <w:tab/>
      </w:r>
      <w:r>
        <w:rPr>
          <w:rFonts w:ascii="Times New Roman" w:hAnsi="Times New Roman"/>
          <w:sz w:val="24"/>
          <w:szCs w:val="24"/>
        </w:rPr>
        <w:t>Ham, S.</w:t>
      </w:r>
      <w:r>
        <w:rPr>
          <w:rFonts w:ascii="Times New Roman" w:hAnsi="Times New Roman"/>
          <w:i/>
          <w:sz w:val="24"/>
          <w:szCs w:val="24"/>
        </w:rPr>
        <w:t xml:space="preserve"> et al.</w:t>
      </w:r>
      <w:r>
        <w:rPr>
          <w:rFonts w:ascii="Times New Roman" w:hAnsi="Times New Roman"/>
          <w:sz w:val="24"/>
          <w:szCs w:val="24"/>
        </w:rPr>
        <w:t xml:space="preserve"> Artificial neuromodulator–synapse mimicked by a three-terminal vertical organic ferroelectric barristor for fast and energy-efficient neuromorphic computing. </w:t>
      </w:r>
      <w:r>
        <w:rPr>
          <w:rFonts w:ascii="Times New Roman" w:hAnsi="Times New Roman"/>
          <w:i/>
          <w:sz w:val="24"/>
          <w:szCs w:val="24"/>
        </w:rPr>
        <w:t>Nano Energy</w:t>
      </w:r>
      <w:r>
        <w:rPr>
          <w:rFonts w:ascii="Times New Roman" w:hAnsi="Times New Roman"/>
          <w:sz w:val="24"/>
          <w:szCs w:val="24"/>
        </w:rPr>
        <w:t xml:space="preserve"> </w:t>
      </w:r>
      <w:r>
        <w:rPr>
          <w:rFonts w:ascii="Times New Roman" w:hAnsi="Times New Roman"/>
          <w:b/>
          <w:sz w:val="24"/>
          <w:szCs w:val="24"/>
        </w:rPr>
        <w:t>124</w:t>
      </w:r>
      <w:r>
        <w:rPr>
          <w:rFonts w:ascii="Times New Roman" w:hAnsi="Times New Roman"/>
          <w:sz w:val="24"/>
          <w:szCs w:val="24"/>
        </w:rPr>
        <w:t>, 109435 (2024).</w:t>
      </w:r>
    </w:p>
    <w:p w14:paraId="4C86303B">
      <w:pPr>
        <w:pStyle w:val="150"/>
        <w:spacing w:before="120"/>
        <w:rPr>
          <w:rFonts w:ascii="Times New Roman" w:hAnsi="Times New Roman"/>
          <w:sz w:val="24"/>
          <w:szCs w:val="24"/>
        </w:rPr>
      </w:pPr>
      <w:r>
        <w:rPr>
          <w:rFonts w:ascii="Times New Roman" w:hAnsi="Times New Roman"/>
          <w:sz w:val="24"/>
          <w:szCs w:val="24"/>
        </w:rPr>
        <w:t>18</w:t>
      </w:r>
      <w:r>
        <w:rPr>
          <w:rFonts w:ascii="Times New Roman" w:hAnsi="Times New Roman"/>
          <w:sz w:val="24"/>
          <w:szCs w:val="24"/>
        </w:rPr>
        <w:tab/>
      </w:r>
      <w:r>
        <w:rPr>
          <w:rFonts w:ascii="Times New Roman" w:hAnsi="Times New Roman"/>
          <w:sz w:val="24"/>
          <w:szCs w:val="24"/>
        </w:rPr>
        <w:t>Liu, J.</w:t>
      </w:r>
      <w:r>
        <w:rPr>
          <w:rFonts w:ascii="Times New Roman" w:hAnsi="Times New Roman"/>
          <w:i/>
          <w:sz w:val="24"/>
          <w:szCs w:val="24"/>
        </w:rPr>
        <w:t xml:space="preserve"> et al.</w:t>
      </w:r>
      <w:r>
        <w:rPr>
          <w:rFonts w:ascii="Times New Roman" w:hAnsi="Times New Roman"/>
          <w:sz w:val="24"/>
          <w:szCs w:val="24"/>
        </w:rPr>
        <w:t xml:space="preserve"> Vertically </w:t>
      </w:r>
      <w:r>
        <w:rPr>
          <w:rFonts w:hint="eastAsia" w:ascii="Times New Roman" w:hAnsi="Times New Roman"/>
          <w:sz w:val="24"/>
          <w:szCs w:val="24"/>
        </w:rPr>
        <w:t>i</w:t>
      </w:r>
      <w:r>
        <w:rPr>
          <w:rFonts w:ascii="Times New Roman" w:hAnsi="Times New Roman"/>
          <w:sz w:val="24"/>
          <w:szCs w:val="24"/>
        </w:rPr>
        <w:t xml:space="preserve">ntegrated </w:t>
      </w:r>
      <w:r>
        <w:rPr>
          <w:rFonts w:hint="eastAsia" w:ascii="Times New Roman" w:hAnsi="Times New Roman"/>
          <w:sz w:val="24"/>
          <w:szCs w:val="24"/>
        </w:rPr>
        <w:t>m</w:t>
      </w:r>
      <w:r>
        <w:rPr>
          <w:rFonts w:ascii="Times New Roman" w:hAnsi="Times New Roman"/>
          <w:sz w:val="24"/>
          <w:szCs w:val="24"/>
        </w:rPr>
        <w:t xml:space="preserve">onolithic </w:t>
      </w:r>
      <w:r>
        <w:rPr>
          <w:rFonts w:hint="eastAsia" w:ascii="Times New Roman" w:hAnsi="Times New Roman"/>
          <w:sz w:val="24"/>
          <w:szCs w:val="24"/>
        </w:rPr>
        <w:t>n</w:t>
      </w:r>
      <w:r>
        <w:rPr>
          <w:rFonts w:ascii="Times New Roman" w:hAnsi="Times New Roman"/>
          <w:sz w:val="24"/>
          <w:szCs w:val="24"/>
        </w:rPr>
        <w:t xml:space="preserve">euromorphic </w:t>
      </w:r>
      <w:r>
        <w:rPr>
          <w:rFonts w:hint="eastAsia" w:ascii="Times New Roman" w:hAnsi="Times New Roman"/>
          <w:sz w:val="24"/>
          <w:szCs w:val="24"/>
        </w:rPr>
        <w:t>n</w:t>
      </w:r>
      <w:r>
        <w:rPr>
          <w:rFonts w:ascii="Times New Roman" w:hAnsi="Times New Roman"/>
          <w:sz w:val="24"/>
          <w:szCs w:val="24"/>
        </w:rPr>
        <w:t xml:space="preserve">anowire </w:t>
      </w:r>
      <w:r>
        <w:rPr>
          <w:rFonts w:hint="eastAsia" w:ascii="Times New Roman" w:hAnsi="Times New Roman"/>
          <w:sz w:val="24"/>
          <w:szCs w:val="24"/>
        </w:rPr>
        <w:t>d</w:t>
      </w:r>
      <w:r>
        <w:rPr>
          <w:rFonts w:ascii="Times New Roman" w:hAnsi="Times New Roman"/>
          <w:sz w:val="24"/>
          <w:szCs w:val="24"/>
        </w:rPr>
        <w:t xml:space="preserve">evice for </w:t>
      </w:r>
      <w:r>
        <w:rPr>
          <w:rFonts w:hint="eastAsia" w:ascii="Times New Roman" w:hAnsi="Times New Roman"/>
          <w:sz w:val="24"/>
          <w:szCs w:val="24"/>
        </w:rPr>
        <w:t>p</w:t>
      </w:r>
      <w:r>
        <w:rPr>
          <w:rFonts w:ascii="Times New Roman" w:hAnsi="Times New Roman"/>
          <w:sz w:val="24"/>
          <w:szCs w:val="24"/>
        </w:rPr>
        <w:t xml:space="preserve">hysiological </w:t>
      </w:r>
      <w:r>
        <w:rPr>
          <w:rFonts w:hint="eastAsia" w:ascii="Times New Roman" w:hAnsi="Times New Roman"/>
          <w:sz w:val="24"/>
          <w:szCs w:val="24"/>
        </w:rPr>
        <w:t>i</w:t>
      </w:r>
      <w:r>
        <w:rPr>
          <w:rFonts w:ascii="Times New Roman" w:hAnsi="Times New Roman"/>
          <w:sz w:val="24"/>
          <w:szCs w:val="24"/>
        </w:rPr>
        <w:t xml:space="preserve">nformation </w:t>
      </w:r>
      <w:r>
        <w:rPr>
          <w:rFonts w:hint="eastAsia" w:ascii="Times New Roman" w:hAnsi="Times New Roman"/>
          <w:sz w:val="24"/>
          <w:szCs w:val="24"/>
        </w:rPr>
        <w:t>p</w:t>
      </w:r>
      <w:r>
        <w:rPr>
          <w:rFonts w:ascii="Times New Roman" w:hAnsi="Times New Roman"/>
          <w:sz w:val="24"/>
          <w:szCs w:val="24"/>
        </w:rPr>
        <w:t xml:space="preserve">rocessing. </w:t>
      </w:r>
      <w:r>
        <w:rPr>
          <w:rFonts w:ascii="Times New Roman" w:hAnsi="Times New Roman"/>
          <w:i/>
          <w:sz w:val="24"/>
          <w:szCs w:val="24"/>
        </w:rPr>
        <w:t>Nano Lett</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24</w:t>
      </w:r>
      <w:r>
        <w:rPr>
          <w:rFonts w:ascii="Times New Roman" w:hAnsi="Times New Roman"/>
          <w:sz w:val="24"/>
          <w:szCs w:val="24"/>
        </w:rPr>
        <w:t>, 4336-4345</w:t>
      </w:r>
      <w:r>
        <w:rPr>
          <w:rFonts w:hint="eastAsia" w:ascii="Times New Roman" w:hAnsi="Times New Roman"/>
          <w:sz w:val="24"/>
          <w:szCs w:val="24"/>
        </w:rPr>
        <w:t xml:space="preserve"> </w:t>
      </w:r>
      <w:r>
        <w:rPr>
          <w:rFonts w:ascii="Times New Roman" w:hAnsi="Times New Roman"/>
          <w:sz w:val="24"/>
          <w:szCs w:val="24"/>
        </w:rPr>
        <w:t>(2024).</w:t>
      </w:r>
    </w:p>
    <w:p w14:paraId="52F5362D">
      <w:pPr>
        <w:pStyle w:val="150"/>
        <w:spacing w:before="120"/>
        <w:rPr>
          <w:rFonts w:ascii="Times New Roman" w:hAnsi="Times New Roman"/>
          <w:sz w:val="24"/>
          <w:szCs w:val="24"/>
        </w:rPr>
      </w:pPr>
      <w:r>
        <w:rPr>
          <w:rFonts w:ascii="Times New Roman" w:hAnsi="Times New Roman"/>
          <w:sz w:val="24"/>
          <w:szCs w:val="24"/>
        </w:rPr>
        <w:t>19</w:t>
      </w:r>
      <w:r>
        <w:rPr>
          <w:rFonts w:ascii="Times New Roman" w:hAnsi="Times New Roman"/>
          <w:sz w:val="24"/>
          <w:szCs w:val="24"/>
        </w:rPr>
        <w:tab/>
      </w:r>
      <w:r>
        <w:rPr>
          <w:rFonts w:ascii="Times New Roman" w:hAnsi="Times New Roman"/>
          <w:sz w:val="24"/>
          <w:szCs w:val="24"/>
        </w:rPr>
        <w:t>Xie, T.</w:t>
      </w:r>
      <w:r>
        <w:rPr>
          <w:rFonts w:ascii="Times New Roman" w:hAnsi="Times New Roman"/>
          <w:i/>
          <w:sz w:val="24"/>
          <w:szCs w:val="24"/>
        </w:rPr>
        <w:t xml:space="preserve"> et al.</w:t>
      </w:r>
      <w:r>
        <w:rPr>
          <w:rFonts w:ascii="Times New Roman" w:hAnsi="Times New Roman"/>
          <w:sz w:val="24"/>
          <w:szCs w:val="24"/>
        </w:rPr>
        <w:t xml:space="preserve"> Carbon </w:t>
      </w:r>
      <w:r>
        <w:rPr>
          <w:rFonts w:hint="eastAsia" w:ascii="Times New Roman" w:hAnsi="Times New Roman"/>
          <w:sz w:val="24"/>
          <w:szCs w:val="24"/>
        </w:rPr>
        <w:t>n</w:t>
      </w:r>
      <w:r>
        <w:rPr>
          <w:rFonts w:ascii="Times New Roman" w:hAnsi="Times New Roman"/>
          <w:sz w:val="24"/>
          <w:szCs w:val="24"/>
        </w:rPr>
        <w:t xml:space="preserve">anotube </w:t>
      </w:r>
      <w:r>
        <w:rPr>
          <w:rFonts w:hint="eastAsia" w:ascii="Times New Roman" w:hAnsi="Times New Roman"/>
          <w:sz w:val="24"/>
          <w:szCs w:val="24"/>
        </w:rPr>
        <w:t>o</w:t>
      </w:r>
      <w:r>
        <w:rPr>
          <w:rFonts w:ascii="Times New Roman" w:hAnsi="Times New Roman"/>
          <w:sz w:val="24"/>
          <w:szCs w:val="24"/>
        </w:rPr>
        <w:t xml:space="preserve">ptoelectronic </w:t>
      </w:r>
      <w:r>
        <w:rPr>
          <w:rFonts w:hint="eastAsia" w:ascii="Times New Roman" w:hAnsi="Times New Roman"/>
          <w:sz w:val="24"/>
          <w:szCs w:val="24"/>
        </w:rPr>
        <w:t>s</w:t>
      </w:r>
      <w:r>
        <w:rPr>
          <w:rFonts w:ascii="Times New Roman" w:hAnsi="Times New Roman"/>
          <w:sz w:val="24"/>
          <w:szCs w:val="24"/>
        </w:rPr>
        <w:t xml:space="preserve">ynapse </w:t>
      </w:r>
      <w:r>
        <w:rPr>
          <w:rFonts w:hint="eastAsia" w:ascii="Times New Roman" w:hAnsi="Times New Roman"/>
          <w:sz w:val="24"/>
          <w:szCs w:val="24"/>
        </w:rPr>
        <w:t>t</w:t>
      </w:r>
      <w:r>
        <w:rPr>
          <w:rFonts w:ascii="Times New Roman" w:hAnsi="Times New Roman"/>
          <w:sz w:val="24"/>
          <w:szCs w:val="24"/>
        </w:rPr>
        <w:t xml:space="preserve">ransistor </w:t>
      </w:r>
      <w:r>
        <w:rPr>
          <w:rFonts w:hint="eastAsia" w:ascii="Times New Roman" w:hAnsi="Times New Roman"/>
          <w:sz w:val="24"/>
          <w:szCs w:val="24"/>
        </w:rPr>
        <w:t>a</w:t>
      </w:r>
      <w:r>
        <w:rPr>
          <w:rFonts w:ascii="Times New Roman" w:hAnsi="Times New Roman"/>
          <w:sz w:val="24"/>
          <w:szCs w:val="24"/>
        </w:rPr>
        <w:t xml:space="preserve">rrays with </w:t>
      </w:r>
      <w:r>
        <w:rPr>
          <w:rFonts w:hint="eastAsia" w:ascii="Times New Roman" w:hAnsi="Times New Roman"/>
          <w:sz w:val="24"/>
          <w:szCs w:val="24"/>
        </w:rPr>
        <w:t>u</w:t>
      </w:r>
      <w:r>
        <w:rPr>
          <w:rFonts w:ascii="Times New Roman" w:hAnsi="Times New Roman"/>
          <w:sz w:val="24"/>
          <w:szCs w:val="24"/>
        </w:rPr>
        <w:t>ltra-</w:t>
      </w:r>
      <w:r>
        <w:rPr>
          <w:rFonts w:hint="eastAsia" w:ascii="Times New Roman" w:hAnsi="Times New Roman"/>
          <w:sz w:val="24"/>
          <w:szCs w:val="24"/>
        </w:rPr>
        <w:t>l</w:t>
      </w:r>
      <w:r>
        <w:rPr>
          <w:rFonts w:ascii="Times New Roman" w:hAnsi="Times New Roman"/>
          <w:sz w:val="24"/>
          <w:szCs w:val="24"/>
        </w:rPr>
        <w:t xml:space="preserve">ow </w:t>
      </w:r>
      <w:r>
        <w:rPr>
          <w:rFonts w:hint="eastAsia" w:ascii="Times New Roman" w:hAnsi="Times New Roman"/>
          <w:sz w:val="24"/>
          <w:szCs w:val="24"/>
        </w:rPr>
        <w:t>p</w:t>
      </w:r>
      <w:r>
        <w:rPr>
          <w:rFonts w:ascii="Times New Roman" w:hAnsi="Times New Roman"/>
          <w:sz w:val="24"/>
          <w:szCs w:val="24"/>
        </w:rPr>
        <w:t xml:space="preserve">ower </w:t>
      </w:r>
      <w:r>
        <w:rPr>
          <w:rFonts w:hint="eastAsia" w:ascii="Times New Roman" w:hAnsi="Times New Roman"/>
          <w:sz w:val="24"/>
          <w:szCs w:val="24"/>
        </w:rPr>
        <w:t>c</w:t>
      </w:r>
      <w:r>
        <w:rPr>
          <w:rFonts w:ascii="Times New Roman" w:hAnsi="Times New Roman"/>
          <w:sz w:val="24"/>
          <w:szCs w:val="24"/>
        </w:rPr>
        <w:t xml:space="preserve">onsumption for </w:t>
      </w:r>
      <w:r>
        <w:rPr>
          <w:rFonts w:hint="eastAsia" w:ascii="Times New Roman" w:hAnsi="Times New Roman"/>
          <w:sz w:val="24"/>
          <w:szCs w:val="24"/>
        </w:rPr>
        <w:t>s</w:t>
      </w:r>
      <w:r>
        <w:rPr>
          <w:rFonts w:ascii="Times New Roman" w:hAnsi="Times New Roman"/>
          <w:sz w:val="24"/>
          <w:szCs w:val="24"/>
        </w:rPr>
        <w:t xml:space="preserve">tretchable </w:t>
      </w:r>
      <w:r>
        <w:rPr>
          <w:rFonts w:hint="eastAsia" w:ascii="Times New Roman" w:hAnsi="Times New Roman"/>
          <w:sz w:val="24"/>
          <w:szCs w:val="24"/>
        </w:rPr>
        <w:t>n</w:t>
      </w:r>
      <w:r>
        <w:rPr>
          <w:rFonts w:ascii="Times New Roman" w:hAnsi="Times New Roman"/>
          <w:sz w:val="24"/>
          <w:szCs w:val="24"/>
        </w:rPr>
        <w:t xml:space="preserve">euromorphic </w:t>
      </w:r>
      <w:r>
        <w:rPr>
          <w:rFonts w:hint="eastAsia" w:ascii="Times New Roman" w:hAnsi="Times New Roman"/>
          <w:sz w:val="24"/>
          <w:szCs w:val="24"/>
        </w:rPr>
        <w:t>v</w:t>
      </w:r>
      <w:r>
        <w:rPr>
          <w:rFonts w:ascii="Times New Roman" w:hAnsi="Times New Roman"/>
          <w:sz w:val="24"/>
          <w:szCs w:val="24"/>
        </w:rPr>
        <w:t xml:space="preserve">ision </w:t>
      </w:r>
      <w:r>
        <w:rPr>
          <w:rFonts w:hint="eastAsia" w:ascii="Times New Roman" w:hAnsi="Times New Roman"/>
          <w:sz w:val="24"/>
          <w:szCs w:val="24"/>
        </w:rPr>
        <w:t>s</w:t>
      </w:r>
      <w:r>
        <w:rPr>
          <w:rFonts w:ascii="Times New Roman" w:hAnsi="Times New Roman"/>
          <w:sz w:val="24"/>
          <w:szCs w:val="24"/>
        </w:rPr>
        <w:t xml:space="preserve">ystems. </w:t>
      </w:r>
      <w:r>
        <w:rPr>
          <w:rFonts w:ascii="Times New Roman" w:hAnsi="Times New Roman"/>
          <w:i/>
          <w:sz w:val="24"/>
          <w:szCs w:val="24"/>
        </w:rPr>
        <w:t>Adv</w:t>
      </w:r>
      <w:r>
        <w:rPr>
          <w:rFonts w:hint="eastAsia" w:ascii="Times New Roman" w:hAnsi="Times New Roman"/>
          <w:i/>
          <w:sz w:val="24"/>
          <w:szCs w:val="24"/>
        </w:rPr>
        <w:t>.</w:t>
      </w:r>
      <w:r>
        <w:rPr>
          <w:rFonts w:ascii="Times New Roman" w:hAnsi="Times New Roman"/>
          <w:i/>
          <w:sz w:val="24"/>
          <w:szCs w:val="24"/>
        </w:rPr>
        <w:t xml:space="preserve"> Funct</w:t>
      </w:r>
      <w:r>
        <w:rPr>
          <w:rFonts w:hint="eastAsia" w:ascii="Times New Roman" w:hAnsi="Times New Roman"/>
          <w:i/>
          <w:sz w:val="24"/>
          <w:szCs w:val="24"/>
        </w:rPr>
        <w:t>.</w:t>
      </w:r>
      <w:r>
        <w:rPr>
          <w:rFonts w:ascii="Times New Roman" w:hAnsi="Times New Roman"/>
          <w:i/>
          <w:sz w:val="24"/>
          <w:szCs w:val="24"/>
        </w:rPr>
        <w:t xml:space="preserve"> Mater</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33</w:t>
      </w:r>
      <w:r>
        <w:rPr>
          <w:rFonts w:ascii="Times New Roman" w:hAnsi="Times New Roman"/>
          <w:sz w:val="24"/>
          <w:szCs w:val="24"/>
        </w:rPr>
        <w:t>, 2303970</w:t>
      </w:r>
      <w:r>
        <w:rPr>
          <w:rFonts w:hint="eastAsia" w:ascii="Times New Roman" w:hAnsi="Times New Roman"/>
          <w:sz w:val="24"/>
          <w:szCs w:val="24"/>
        </w:rPr>
        <w:t xml:space="preserve"> </w:t>
      </w:r>
      <w:r>
        <w:rPr>
          <w:rFonts w:ascii="Times New Roman" w:hAnsi="Times New Roman"/>
          <w:sz w:val="24"/>
          <w:szCs w:val="24"/>
        </w:rPr>
        <w:t>(2023).</w:t>
      </w:r>
    </w:p>
    <w:p w14:paraId="242C4806">
      <w:pPr>
        <w:pStyle w:val="150"/>
        <w:spacing w:before="120"/>
        <w:rPr>
          <w:rFonts w:ascii="Times New Roman" w:hAnsi="Times New Roman"/>
          <w:sz w:val="24"/>
          <w:szCs w:val="24"/>
        </w:rPr>
      </w:pPr>
      <w:r>
        <w:rPr>
          <w:rFonts w:ascii="Times New Roman" w:hAnsi="Times New Roman"/>
          <w:sz w:val="24"/>
          <w:szCs w:val="24"/>
        </w:rPr>
        <w:t>20</w:t>
      </w:r>
      <w:r>
        <w:rPr>
          <w:rFonts w:ascii="Times New Roman" w:hAnsi="Times New Roman"/>
          <w:sz w:val="24"/>
          <w:szCs w:val="24"/>
        </w:rPr>
        <w:tab/>
      </w:r>
      <w:r>
        <w:rPr>
          <w:rFonts w:ascii="Times New Roman" w:hAnsi="Times New Roman"/>
          <w:sz w:val="24"/>
          <w:szCs w:val="24"/>
        </w:rPr>
        <w:t>Bu, Y.</w:t>
      </w:r>
      <w:r>
        <w:rPr>
          <w:rFonts w:ascii="Times New Roman" w:hAnsi="Times New Roman"/>
          <w:i/>
          <w:sz w:val="24"/>
          <w:szCs w:val="24"/>
        </w:rPr>
        <w:t xml:space="preserve"> et al.</w:t>
      </w:r>
      <w:r>
        <w:rPr>
          <w:rFonts w:ascii="Times New Roman" w:hAnsi="Times New Roman"/>
          <w:sz w:val="24"/>
          <w:szCs w:val="24"/>
        </w:rPr>
        <w:t xml:space="preserve"> Ferroelectrics-</w:t>
      </w:r>
      <w:r>
        <w:rPr>
          <w:rFonts w:hint="eastAsia" w:ascii="Times New Roman" w:hAnsi="Times New Roman"/>
          <w:sz w:val="24"/>
          <w:szCs w:val="24"/>
        </w:rPr>
        <w:t>e</w:t>
      </w:r>
      <w:r>
        <w:rPr>
          <w:rFonts w:ascii="Times New Roman" w:hAnsi="Times New Roman"/>
          <w:sz w:val="24"/>
          <w:szCs w:val="24"/>
        </w:rPr>
        <w:t xml:space="preserve">lectret </w:t>
      </w:r>
      <w:r>
        <w:rPr>
          <w:rFonts w:hint="eastAsia" w:ascii="Times New Roman" w:hAnsi="Times New Roman"/>
          <w:sz w:val="24"/>
          <w:szCs w:val="24"/>
        </w:rPr>
        <w:t>s</w:t>
      </w:r>
      <w:r>
        <w:rPr>
          <w:rFonts w:ascii="Times New Roman" w:hAnsi="Times New Roman"/>
          <w:sz w:val="24"/>
          <w:szCs w:val="24"/>
        </w:rPr>
        <w:t xml:space="preserve">ynergetic </w:t>
      </w:r>
      <w:r>
        <w:rPr>
          <w:rFonts w:hint="eastAsia" w:ascii="Times New Roman" w:hAnsi="Times New Roman"/>
          <w:sz w:val="24"/>
          <w:szCs w:val="24"/>
        </w:rPr>
        <w:t>o</w:t>
      </w:r>
      <w:r>
        <w:rPr>
          <w:rFonts w:ascii="Times New Roman" w:hAnsi="Times New Roman"/>
          <w:sz w:val="24"/>
          <w:szCs w:val="24"/>
        </w:rPr>
        <w:t xml:space="preserve">rganic </w:t>
      </w:r>
      <w:r>
        <w:rPr>
          <w:rFonts w:hint="eastAsia" w:ascii="Times New Roman" w:hAnsi="Times New Roman"/>
          <w:sz w:val="24"/>
          <w:szCs w:val="24"/>
        </w:rPr>
        <w:t>a</w:t>
      </w:r>
      <w:r>
        <w:rPr>
          <w:rFonts w:ascii="Times New Roman" w:hAnsi="Times New Roman"/>
          <w:sz w:val="24"/>
          <w:szCs w:val="24"/>
        </w:rPr>
        <w:t xml:space="preserve">rtificial </w:t>
      </w:r>
      <w:r>
        <w:rPr>
          <w:rFonts w:hint="eastAsia" w:ascii="Times New Roman" w:hAnsi="Times New Roman"/>
          <w:sz w:val="24"/>
          <w:szCs w:val="24"/>
        </w:rPr>
        <w:t>s</w:t>
      </w:r>
      <w:r>
        <w:rPr>
          <w:rFonts w:ascii="Times New Roman" w:hAnsi="Times New Roman"/>
          <w:sz w:val="24"/>
          <w:szCs w:val="24"/>
        </w:rPr>
        <w:t xml:space="preserve">ynapses with </w:t>
      </w:r>
      <w:r>
        <w:rPr>
          <w:rFonts w:hint="eastAsia" w:ascii="Times New Roman" w:hAnsi="Times New Roman"/>
          <w:sz w:val="24"/>
          <w:szCs w:val="24"/>
        </w:rPr>
        <w:t>s</w:t>
      </w:r>
      <w:r>
        <w:rPr>
          <w:rFonts w:ascii="Times New Roman" w:hAnsi="Times New Roman"/>
          <w:sz w:val="24"/>
          <w:szCs w:val="24"/>
        </w:rPr>
        <w:t>ingle-</w:t>
      </w:r>
      <w:r>
        <w:rPr>
          <w:rFonts w:hint="eastAsia" w:ascii="Times New Roman" w:hAnsi="Times New Roman"/>
          <w:sz w:val="24"/>
          <w:szCs w:val="24"/>
        </w:rPr>
        <w:t>p</w:t>
      </w:r>
      <w:r>
        <w:rPr>
          <w:rFonts w:ascii="Times New Roman" w:hAnsi="Times New Roman"/>
          <w:sz w:val="24"/>
          <w:szCs w:val="24"/>
        </w:rPr>
        <w:t xml:space="preserve">olarity </w:t>
      </w:r>
      <w:r>
        <w:rPr>
          <w:rFonts w:hint="eastAsia" w:ascii="Times New Roman" w:hAnsi="Times New Roman"/>
          <w:sz w:val="24"/>
          <w:szCs w:val="24"/>
        </w:rPr>
        <w:t>d</w:t>
      </w:r>
      <w:r>
        <w:rPr>
          <w:rFonts w:ascii="Times New Roman" w:hAnsi="Times New Roman"/>
          <w:sz w:val="24"/>
          <w:szCs w:val="24"/>
        </w:rPr>
        <w:t xml:space="preserve">riven </w:t>
      </w:r>
      <w:r>
        <w:rPr>
          <w:rFonts w:hint="eastAsia" w:ascii="Times New Roman" w:hAnsi="Times New Roman"/>
          <w:sz w:val="24"/>
          <w:szCs w:val="24"/>
        </w:rPr>
        <w:t>d</w:t>
      </w:r>
      <w:r>
        <w:rPr>
          <w:rFonts w:ascii="Times New Roman" w:hAnsi="Times New Roman"/>
          <w:sz w:val="24"/>
          <w:szCs w:val="24"/>
        </w:rPr>
        <w:t xml:space="preserve">ynamic </w:t>
      </w:r>
      <w:r>
        <w:rPr>
          <w:rFonts w:hint="eastAsia" w:ascii="Times New Roman" w:hAnsi="Times New Roman"/>
          <w:sz w:val="24"/>
          <w:szCs w:val="24"/>
        </w:rPr>
        <w:t>r</w:t>
      </w:r>
      <w:r>
        <w:rPr>
          <w:rFonts w:ascii="Times New Roman" w:hAnsi="Times New Roman"/>
          <w:sz w:val="24"/>
          <w:szCs w:val="24"/>
        </w:rPr>
        <w:t xml:space="preserve">econfigurable </w:t>
      </w:r>
      <w:r>
        <w:rPr>
          <w:rFonts w:hint="eastAsia" w:ascii="Times New Roman" w:hAnsi="Times New Roman"/>
          <w:sz w:val="24"/>
          <w:szCs w:val="24"/>
        </w:rPr>
        <w:t>m</w:t>
      </w:r>
      <w:r>
        <w:rPr>
          <w:rFonts w:ascii="Times New Roman" w:hAnsi="Times New Roman"/>
          <w:sz w:val="24"/>
          <w:szCs w:val="24"/>
        </w:rPr>
        <w:t xml:space="preserve">odulation. </w:t>
      </w:r>
      <w:r>
        <w:rPr>
          <w:rFonts w:ascii="Times New Roman" w:hAnsi="Times New Roman"/>
          <w:i/>
          <w:sz w:val="24"/>
          <w:szCs w:val="24"/>
        </w:rPr>
        <w:t>Adv</w:t>
      </w:r>
      <w:r>
        <w:rPr>
          <w:rFonts w:hint="eastAsia" w:ascii="Times New Roman" w:hAnsi="Times New Roman"/>
          <w:i/>
          <w:sz w:val="24"/>
          <w:szCs w:val="24"/>
        </w:rPr>
        <w:t>.</w:t>
      </w:r>
      <w:r>
        <w:rPr>
          <w:rFonts w:ascii="Times New Roman" w:hAnsi="Times New Roman"/>
          <w:i/>
          <w:sz w:val="24"/>
          <w:szCs w:val="24"/>
        </w:rPr>
        <w:t xml:space="preserve"> Funct</w:t>
      </w:r>
      <w:r>
        <w:rPr>
          <w:rFonts w:hint="eastAsia" w:ascii="Times New Roman" w:hAnsi="Times New Roman"/>
          <w:i/>
          <w:sz w:val="24"/>
          <w:szCs w:val="24"/>
        </w:rPr>
        <w:t>.</w:t>
      </w:r>
      <w:r>
        <w:rPr>
          <w:rFonts w:ascii="Times New Roman" w:hAnsi="Times New Roman"/>
          <w:i/>
          <w:sz w:val="24"/>
          <w:szCs w:val="24"/>
        </w:rPr>
        <w:t xml:space="preserve"> Mater</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33</w:t>
      </w:r>
      <w:r>
        <w:rPr>
          <w:rFonts w:ascii="Times New Roman" w:hAnsi="Times New Roman"/>
          <w:sz w:val="24"/>
          <w:szCs w:val="24"/>
        </w:rPr>
        <w:t>, 2213741 (2023).</w:t>
      </w:r>
    </w:p>
    <w:p w14:paraId="51D3C254">
      <w:pPr>
        <w:pStyle w:val="150"/>
        <w:spacing w:before="120"/>
        <w:rPr>
          <w:rFonts w:ascii="Times New Roman" w:hAnsi="Times New Roman"/>
          <w:sz w:val="24"/>
          <w:szCs w:val="24"/>
        </w:rPr>
      </w:pPr>
      <w:r>
        <w:rPr>
          <w:rFonts w:ascii="Times New Roman" w:hAnsi="Times New Roman"/>
          <w:sz w:val="24"/>
          <w:szCs w:val="24"/>
        </w:rPr>
        <w:t>21</w:t>
      </w:r>
      <w:r>
        <w:rPr>
          <w:rFonts w:ascii="Times New Roman" w:hAnsi="Times New Roman"/>
          <w:sz w:val="24"/>
          <w:szCs w:val="24"/>
        </w:rPr>
        <w:tab/>
      </w:r>
      <w:r>
        <w:rPr>
          <w:rFonts w:ascii="Times New Roman" w:hAnsi="Times New Roman"/>
          <w:sz w:val="24"/>
          <w:szCs w:val="24"/>
        </w:rPr>
        <w:t>Ni, Y.</w:t>
      </w:r>
      <w:r>
        <w:rPr>
          <w:rFonts w:ascii="Times New Roman" w:hAnsi="Times New Roman"/>
          <w:i/>
          <w:sz w:val="24"/>
          <w:szCs w:val="24"/>
        </w:rPr>
        <w:t xml:space="preserve"> et al.</w:t>
      </w:r>
      <w:r>
        <w:rPr>
          <w:rFonts w:ascii="Times New Roman" w:hAnsi="Times New Roman"/>
          <w:sz w:val="24"/>
          <w:szCs w:val="24"/>
        </w:rPr>
        <w:t xml:space="preserve"> A fibrous neuromorphic device for multi-level nerve pathways implementing knee jerk reflex and cognitive activities. </w:t>
      </w:r>
      <w:r>
        <w:rPr>
          <w:rFonts w:ascii="Times New Roman" w:hAnsi="Times New Roman"/>
          <w:i/>
          <w:sz w:val="24"/>
          <w:szCs w:val="24"/>
        </w:rPr>
        <w:t>Nano Energy</w:t>
      </w:r>
      <w:r>
        <w:rPr>
          <w:rFonts w:ascii="Times New Roman" w:hAnsi="Times New Roman"/>
          <w:sz w:val="24"/>
          <w:szCs w:val="24"/>
        </w:rPr>
        <w:t xml:space="preserve"> </w:t>
      </w:r>
      <w:r>
        <w:rPr>
          <w:rFonts w:ascii="Times New Roman" w:hAnsi="Times New Roman"/>
          <w:b/>
          <w:sz w:val="24"/>
          <w:szCs w:val="24"/>
        </w:rPr>
        <w:t>104</w:t>
      </w:r>
      <w:r>
        <w:rPr>
          <w:rFonts w:ascii="Times New Roman" w:hAnsi="Times New Roman"/>
          <w:sz w:val="24"/>
          <w:szCs w:val="24"/>
        </w:rPr>
        <w:t>, 107898</w:t>
      </w:r>
      <w:r>
        <w:rPr>
          <w:rFonts w:hint="eastAsia" w:ascii="Times New Roman" w:hAnsi="Times New Roman"/>
          <w:sz w:val="24"/>
          <w:szCs w:val="24"/>
        </w:rPr>
        <w:t xml:space="preserve"> </w:t>
      </w:r>
      <w:r>
        <w:rPr>
          <w:rFonts w:ascii="Times New Roman" w:hAnsi="Times New Roman"/>
          <w:sz w:val="24"/>
          <w:szCs w:val="24"/>
        </w:rPr>
        <w:t>(2022).</w:t>
      </w:r>
    </w:p>
    <w:p w14:paraId="43D2FA8A">
      <w:pPr>
        <w:pStyle w:val="150"/>
        <w:spacing w:before="120"/>
        <w:rPr>
          <w:rFonts w:ascii="Times New Roman" w:hAnsi="Times New Roman"/>
          <w:sz w:val="24"/>
          <w:szCs w:val="24"/>
        </w:rPr>
      </w:pPr>
      <w:r>
        <w:rPr>
          <w:rFonts w:ascii="Times New Roman" w:hAnsi="Times New Roman"/>
          <w:sz w:val="24"/>
          <w:szCs w:val="24"/>
        </w:rPr>
        <w:t>22</w:t>
      </w:r>
      <w:r>
        <w:rPr>
          <w:rFonts w:ascii="Times New Roman" w:hAnsi="Times New Roman"/>
          <w:sz w:val="24"/>
          <w:szCs w:val="24"/>
        </w:rPr>
        <w:tab/>
      </w:r>
      <w:r>
        <w:rPr>
          <w:rFonts w:ascii="Times New Roman" w:hAnsi="Times New Roman"/>
          <w:sz w:val="24"/>
          <w:szCs w:val="24"/>
        </w:rPr>
        <w:t>Zhao, Y.</w:t>
      </w:r>
      <w:r>
        <w:rPr>
          <w:rFonts w:ascii="Times New Roman" w:hAnsi="Times New Roman"/>
          <w:i/>
          <w:sz w:val="24"/>
          <w:szCs w:val="24"/>
        </w:rPr>
        <w:t xml:space="preserve"> et al.</w:t>
      </w:r>
      <w:r>
        <w:rPr>
          <w:rFonts w:ascii="Times New Roman" w:hAnsi="Times New Roman"/>
          <w:sz w:val="24"/>
          <w:szCs w:val="24"/>
        </w:rPr>
        <w:t xml:space="preserve"> Donor </w:t>
      </w:r>
      <w:r>
        <w:rPr>
          <w:rFonts w:hint="eastAsia" w:ascii="Times New Roman" w:hAnsi="Times New Roman"/>
          <w:sz w:val="24"/>
          <w:szCs w:val="24"/>
        </w:rPr>
        <w:t>e</w:t>
      </w:r>
      <w:r>
        <w:rPr>
          <w:rFonts w:ascii="Times New Roman" w:hAnsi="Times New Roman"/>
          <w:sz w:val="24"/>
          <w:szCs w:val="24"/>
        </w:rPr>
        <w:t xml:space="preserve">ngineering </w:t>
      </w:r>
      <w:r>
        <w:rPr>
          <w:rFonts w:hint="eastAsia" w:ascii="Times New Roman" w:hAnsi="Times New Roman"/>
          <w:sz w:val="24"/>
          <w:szCs w:val="24"/>
        </w:rPr>
        <w:t>t</w:t>
      </w:r>
      <w:r>
        <w:rPr>
          <w:rFonts w:ascii="Times New Roman" w:hAnsi="Times New Roman"/>
          <w:sz w:val="24"/>
          <w:szCs w:val="24"/>
        </w:rPr>
        <w:t xml:space="preserve">uning the </w:t>
      </w:r>
      <w:r>
        <w:rPr>
          <w:rFonts w:hint="eastAsia" w:ascii="Times New Roman" w:hAnsi="Times New Roman"/>
          <w:sz w:val="24"/>
          <w:szCs w:val="24"/>
        </w:rPr>
        <w:t>a</w:t>
      </w:r>
      <w:r>
        <w:rPr>
          <w:rFonts w:ascii="Times New Roman" w:hAnsi="Times New Roman"/>
          <w:sz w:val="24"/>
          <w:szCs w:val="24"/>
        </w:rPr>
        <w:t xml:space="preserve">nalog </w:t>
      </w:r>
      <w:r>
        <w:rPr>
          <w:rFonts w:hint="eastAsia" w:ascii="Times New Roman" w:hAnsi="Times New Roman"/>
          <w:sz w:val="24"/>
          <w:szCs w:val="24"/>
        </w:rPr>
        <w:t>s</w:t>
      </w:r>
      <w:r>
        <w:rPr>
          <w:rFonts w:ascii="Times New Roman" w:hAnsi="Times New Roman"/>
          <w:sz w:val="24"/>
          <w:szCs w:val="24"/>
        </w:rPr>
        <w:t xml:space="preserve">witching </w:t>
      </w:r>
      <w:r>
        <w:rPr>
          <w:rFonts w:hint="eastAsia" w:ascii="Times New Roman" w:hAnsi="Times New Roman"/>
          <w:sz w:val="24"/>
          <w:szCs w:val="24"/>
        </w:rPr>
        <w:t>r</w:t>
      </w:r>
      <w:r>
        <w:rPr>
          <w:rFonts w:ascii="Times New Roman" w:hAnsi="Times New Roman"/>
          <w:sz w:val="24"/>
          <w:szCs w:val="24"/>
        </w:rPr>
        <w:t xml:space="preserve">ange and </w:t>
      </w:r>
      <w:r>
        <w:rPr>
          <w:rFonts w:hint="eastAsia" w:ascii="Times New Roman" w:hAnsi="Times New Roman"/>
          <w:sz w:val="24"/>
          <w:szCs w:val="24"/>
        </w:rPr>
        <w:t>o</w:t>
      </w:r>
      <w:r>
        <w:rPr>
          <w:rFonts w:ascii="Times New Roman" w:hAnsi="Times New Roman"/>
          <w:sz w:val="24"/>
          <w:szCs w:val="24"/>
        </w:rPr>
        <w:t xml:space="preserve">perational </w:t>
      </w:r>
      <w:r>
        <w:rPr>
          <w:rFonts w:hint="eastAsia" w:ascii="Times New Roman" w:hAnsi="Times New Roman"/>
          <w:sz w:val="24"/>
          <w:szCs w:val="24"/>
        </w:rPr>
        <w:t>s</w:t>
      </w:r>
      <w:r>
        <w:rPr>
          <w:rFonts w:ascii="Times New Roman" w:hAnsi="Times New Roman"/>
          <w:sz w:val="24"/>
          <w:szCs w:val="24"/>
        </w:rPr>
        <w:t xml:space="preserve">tability of </w:t>
      </w:r>
      <w:r>
        <w:rPr>
          <w:rFonts w:hint="eastAsia" w:ascii="Times New Roman" w:hAnsi="Times New Roman"/>
          <w:sz w:val="24"/>
          <w:szCs w:val="24"/>
        </w:rPr>
        <w:t>o</w:t>
      </w:r>
      <w:r>
        <w:rPr>
          <w:rFonts w:ascii="Times New Roman" w:hAnsi="Times New Roman"/>
          <w:sz w:val="24"/>
          <w:szCs w:val="24"/>
        </w:rPr>
        <w:t xml:space="preserve">rganic </w:t>
      </w:r>
      <w:r>
        <w:rPr>
          <w:rFonts w:hint="eastAsia" w:ascii="Times New Roman" w:hAnsi="Times New Roman"/>
          <w:sz w:val="24"/>
          <w:szCs w:val="24"/>
        </w:rPr>
        <w:t>s</w:t>
      </w:r>
      <w:r>
        <w:rPr>
          <w:rFonts w:ascii="Times New Roman" w:hAnsi="Times New Roman"/>
          <w:sz w:val="24"/>
          <w:szCs w:val="24"/>
        </w:rPr>
        <w:t xml:space="preserve">ynaptic </w:t>
      </w:r>
      <w:r>
        <w:rPr>
          <w:rFonts w:hint="eastAsia" w:ascii="Times New Roman" w:hAnsi="Times New Roman"/>
          <w:sz w:val="24"/>
          <w:szCs w:val="24"/>
        </w:rPr>
        <w:t>t</w:t>
      </w:r>
      <w:r>
        <w:rPr>
          <w:rFonts w:ascii="Times New Roman" w:hAnsi="Times New Roman"/>
          <w:sz w:val="24"/>
          <w:szCs w:val="24"/>
        </w:rPr>
        <w:t xml:space="preserve">ransistors for </w:t>
      </w:r>
      <w:r>
        <w:rPr>
          <w:rFonts w:hint="eastAsia" w:ascii="Times New Roman" w:hAnsi="Times New Roman"/>
          <w:sz w:val="24"/>
          <w:szCs w:val="24"/>
        </w:rPr>
        <w:t>n</w:t>
      </w:r>
      <w:r>
        <w:rPr>
          <w:rFonts w:ascii="Times New Roman" w:hAnsi="Times New Roman"/>
          <w:sz w:val="24"/>
          <w:szCs w:val="24"/>
        </w:rPr>
        <w:t xml:space="preserve">euromorphic </w:t>
      </w:r>
      <w:r>
        <w:rPr>
          <w:rFonts w:hint="eastAsia" w:ascii="Times New Roman" w:hAnsi="Times New Roman"/>
          <w:sz w:val="24"/>
          <w:szCs w:val="24"/>
        </w:rPr>
        <w:t>s</w:t>
      </w:r>
      <w:r>
        <w:rPr>
          <w:rFonts w:ascii="Times New Roman" w:hAnsi="Times New Roman"/>
          <w:sz w:val="24"/>
          <w:szCs w:val="24"/>
        </w:rPr>
        <w:t xml:space="preserve">ystems. </w:t>
      </w:r>
      <w:r>
        <w:rPr>
          <w:rFonts w:ascii="Times New Roman" w:hAnsi="Times New Roman"/>
          <w:i/>
          <w:sz w:val="24"/>
          <w:szCs w:val="24"/>
        </w:rPr>
        <w:t>Adv</w:t>
      </w:r>
      <w:r>
        <w:rPr>
          <w:rFonts w:hint="eastAsia" w:ascii="Times New Roman" w:hAnsi="Times New Roman"/>
          <w:i/>
          <w:sz w:val="24"/>
          <w:szCs w:val="24"/>
        </w:rPr>
        <w:t>.</w:t>
      </w:r>
      <w:r>
        <w:rPr>
          <w:rFonts w:ascii="Times New Roman" w:hAnsi="Times New Roman"/>
          <w:i/>
          <w:sz w:val="24"/>
          <w:szCs w:val="24"/>
        </w:rPr>
        <w:t xml:space="preserve"> Funct</w:t>
      </w:r>
      <w:r>
        <w:rPr>
          <w:rFonts w:hint="eastAsia" w:ascii="Times New Roman" w:hAnsi="Times New Roman"/>
          <w:i/>
          <w:sz w:val="24"/>
          <w:szCs w:val="24"/>
        </w:rPr>
        <w:t>.</w:t>
      </w:r>
      <w:r>
        <w:rPr>
          <w:rFonts w:ascii="Times New Roman" w:hAnsi="Times New Roman"/>
          <w:i/>
          <w:sz w:val="24"/>
          <w:szCs w:val="24"/>
        </w:rPr>
        <w:t xml:space="preserve"> Mater</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32</w:t>
      </w:r>
      <w:r>
        <w:rPr>
          <w:rFonts w:ascii="Times New Roman" w:hAnsi="Times New Roman"/>
          <w:sz w:val="24"/>
          <w:szCs w:val="24"/>
        </w:rPr>
        <w:t>, 2205744</w:t>
      </w:r>
      <w:r>
        <w:rPr>
          <w:rFonts w:hint="eastAsia" w:ascii="Times New Roman" w:hAnsi="Times New Roman"/>
          <w:sz w:val="24"/>
          <w:szCs w:val="24"/>
        </w:rPr>
        <w:t xml:space="preserve"> </w:t>
      </w:r>
      <w:r>
        <w:rPr>
          <w:rFonts w:ascii="Times New Roman" w:hAnsi="Times New Roman"/>
          <w:sz w:val="24"/>
          <w:szCs w:val="24"/>
        </w:rPr>
        <w:t>(2022).</w:t>
      </w:r>
    </w:p>
    <w:p w14:paraId="0FE25ACD">
      <w:pPr>
        <w:pStyle w:val="150"/>
        <w:spacing w:before="120"/>
        <w:rPr>
          <w:rFonts w:ascii="Times New Roman" w:hAnsi="Times New Roman"/>
          <w:sz w:val="24"/>
          <w:szCs w:val="24"/>
        </w:rPr>
      </w:pPr>
      <w:r>
        <w:rPr>
          <w:rFonts w:ascii="Times New Roman" w:hAnsi="Times New Roman"/>
          <w:sz w:val="24"/>
          <w:szCs w:val="24"/>
        </w:rPr>
        <w:t>23</w:t>
      </w:r>
      <w:r>
        <w:rPr>
          <w:rFonts w:ascii="Times New Roman" w:hAnsi="Times New Roman"/>
          <w:sz w:val="24"/>
          <w:szCs w:val="24"/>
        </w:rPr>
        <w:tab/>
      </w:r>
      <w:r>
        <w:rPr>
          <w:rFonts w:ascii="Times New Roman" w:hAnsi="Times New Roman"/>
          <w:sz w:val="24"/>
          <w:szCs w:val="24"/>
        </w:rPr>
        <w:t>Xie, Z.</w:t>
      </w:r>
      <w:r>
        <w:rPr>
          <w:rFonts w:ascii="Times New Roman" w:hAnsi="Times New Roman"/>
          <w:i/>
          <w:sz w:val="24"/>
          <w:szCs w:val="24"/>
        </w:rPr>
        <w:t xml:space="preserve"> et al.</w:t>
      </w:r>
      <w:r>
        <w:rPr>
          <w:rFonts w:ascii="Times New Roman" w:hAnsi="Times New Roman"/>
          <w:sz w:val="24"/>
          <w:szCs w:val="24"/>
        </w:rPr>
        <w:t xml:space="preserve"> All-</w:t>
      </w:r>
      <w:r>
        <w:rPr>
          <w:rFonts w:hint="eastAsia" w:ascii="Times New Roman" w:hAnsi="Times New Roman"/>
          <w:sz w:val="24"/>
          <w:szCs w:val="24"/>
        </w:rPr>
        <w:t>s</w:t>
      </w:r>
      <w:r>
        <w:rPr>
          <w:rFonts w:ascii="Times New Roman" w:hAnsi="Times New Roman"/>
          <w:sz w:val="24"/>
          <w:szCs w:val="24"/>
        </w:rPr>
        <w:t>olid-</w:t>
      </w:r>
      <w:r>
        <w:rPr>
          <w:rFonts w:hint="eastAsia" w:ascii="Times New Roman" w:hAnsi="Times New Roman"/>
          <w:sz w:val="24"/>
          <w:szCs w:val="24"/>
        </w:rPr>
        <w:t>s</w:t>
      </w:r>
      <w:r>
        <w:rPr>
          <w:rFonts w:ascii="Times New Roman" w:hAnsi="Times New Roman"/>
          <w:sz w:val="24"/>
          <w:szCs w:val="24"/>
        </w:rPr>
        <w:t xml:space="preserve">tate </w:t>
      </w:r>
      <w:r>
        <w:rPr>
          <w:rFonts w:hint="eastAsia" w:ascii="Times New Roman" w:hAnsi="Times New Roman"/>
          <w:sz w:val="24"/>
          <w:szCs w:val="24"/>
        </w:rPr>
        <w:t>v</w:t>
      </w:r>
      <w:r>
        <w:rPr>
          <w:rFonts w:ascii="Times New Roman" w:hAnsi="Times New Roman"/>
          <w:sz w:val="24"/>
          <w:szCs w:val="24"/>
        </w:rPr>
        <w:t xml:space="preserve">ertical </w:t>
      </w:r>
      <w:r>
        <w:rPr>
          <w:rFonts w:hint="eastAsia" w:ascii="Times New Roman" w:hAnsi="Times New Roman"/>
          <w:sz w:val="24"/>
          <w:szCs w:val="24"/>
        </w:rPr>
        <w:t>t</w:t>
      </w:r>
      <w:r>
        <w:rPr>
          <w:rFonts w:ascii="Times New Roman" w:hAnsi="Times New Roman"/>
          <w:sz w:val="24"/>
          <w:szCs w:val="24"/>
        </w:rPr>
        <w:t>hree-</w:t>
      </w:r>
      <w:r>
        <w:rPr>
          <w:rFonts w:hint="eastAsia" w:ascii="Times New Roman" w:hAnsi="Times New Roman"/>
          <w:sz w:val="24"/>
          <w:szCs w:val="24"/>
        </w:rPr>
        <w:t>t</w:t>
      </w:r>
      <w:r>
        <w:rPr>
          <w:rFonts w:ascii="Times New Roman" w:hAnsi="Times New Roman"/>
          <w:sz w:val="24"/>
          <w:szCs w:val="24"/>
        </w:rPr>
        <w:t xml:space="preserve">erminal </w:t>
      </w:r>
      <w:r>
        <w:rPr>
          <w:rFonts w:hint="eastAsia" w:ascii="Times New Roman" w:hAnsi="Times New Roman"/>
          <w:sz w:val="24"/>
          <w:szCs w:val="24"/>
        </w:rPr>
        <w:t>n</w:t>
      </w:r>
      <w:r>
        <w:rPr>
          <w:rFonts w:ascii="Times New Roman" w:hAnsi="Times New Roman"/>
          <w:sz w:val="24"/>
          <w:szCs w:val="24"/>
        </w:rPr>
        <w:t>-</w:t>
      </w:r>
      <w:r>
        <w:rPr>
          <w:rFonts w:hint="eastAsia" w:ascii="Times New Roman" w:hAnsi="Times New Roman"/>
          <w:sz w:val="24"/>
          <w:szCs w:val="24"/>
        </w:rPr>
        <w:t>t</w:t>
      </w:r>
      <w:r>
        <w:rPr>
          <w:rFonts w:ascii="Times New Roman" w:hAnsi="Times New Roman"/>
          <w:sz w:val="24"/>
          <w:szCs w:val="24"/>
        </w:rPr>
        <w:t xml:space="preserve">ype </w:t>
      </w:r>
      <w:r>
        <w:rPr>
          <w:rFonts w:hint="eastAsia" w:ascii="Times New Roman" w:hAnsi="Times New Roman"/>
          <w:sz w:val="24"/>
          <w:szCs w:val="24"/>
        </w:rPr>
        <w:t>o</w:t>
      </w:r>
      <w:r>
        <w:rPr>
          <w:rFonts w:ascii="Times New Roman" w:hAnsi="Times New Roman"/>
          <w:sz w:val="24"/>
          <w:szCs w:val="24"/>
        </w:rPr>
        <w:t xml:space="preserve">rganic </w:t>
      </w:r>
      <w:r>
        <w:rPr>
          <w:rFonts w:hint="eastAsia" w:ascii="Times New Roman" w:hAnsi="Times New Roman"/>
          <w:sz w:val="24"/>
          <w:szCs w:val="24"/>
        </w:rPr>
        <w:t>s</w:t>
      </w:r>
      <w:r>
        <w:rPr>
          <w:rFonts w:ascii="Times New Roman" w:hAnsi="Times New Roman"/>
          <w:sz w:val="24"/>
          <w:szCs w:val="24"/>
        </w:rPr>
        <w:t xml:space="preserve">ynaptic </w:t>
      </w:r>
      <w:r>
        <w:rPr>
          <w:rFonts w:hint="eastAsia" w:ascii="Times New Roman" w:hAnsi="Times New Roman"/>
          <w:sz w:val="24"/>
          <w:szCs w:val="24"/>
        </w:rPr>
        <w:t>d</w:t>
      </w:r>
      <w:r>
        <w:rPr>
          <w:rFonts w:ascii="Times New Roman" w:hAnsi="Times New Roman"/>
          <w:sz w:val="24"/>
          <w:szCs w:val="24"/>
        </w:rPr>
        <w:t xml:space="preserve">evices for </w:t>
      </w:r>
      <w:r>
        <w:rPr>
          <w:rFonts w:hint="eastAsia" w:ascii="Times New Roman" w:hAnsi="Times New Roman"/>
          <w:sz w:val="24"/>
          <w:szCs w:val="24"/>
        </w:rPr>
        <w:t>n</w:t>
      </w:r>
      <w:r>
        <w:rPr>
          <w:rFonts w:ascii="Times New Roman" w:hAnsi="Times New Roman"/>
          <w:sz w:val="24"/>
          <w:szCs w:val="24"/>
        </w:rPr>
        <w:t xml:space="preserve">euromorphic </w:t>
      </w:r>
      <w:r>
        <w:rPr>
          <w:rFonts w:hint="eastAsia" w:ascii="Times New Roman" w:hAnsi="Times New Roman"/>
          <w:sz w:val="24"/>
          <w:szCs w:val="24"/>
        </w:rPr>
        <w:t>c</w:t>
      </w:r>
      <w:r>
        <w:rPr>
          <w:rFonts w:ascii="Times New Roman" w:hAnsi="Times New Roman"/>
          <w:sz w:val="24"/>
          <w:szCs w:val="24"/>
        </w:rPr>
        <w:t xml:space="preserve">omputing. </w:t>
      </w:r>
      <w:r>
        <w:rPr>
          <w:rFonts w:ascii="Times New Roman" w:hAnsi="Times New Roman"/>
          <w:i/>
          <w:sz w:val="24"/>
          <w:szCs w:val="24"/>
        </w:rPr>
        <w:t>Adv</w:t>
      </w:r>
      <w:r>
        <w:rPr>
          <w:rFonts w:hint="eastAsia" w:ascii="Times New Roman" w:hAnsi="Times New Roman"/>
          <w:i/>
          <w:sz w:val="24"/>
          <w:szCs w:val="24"/>
        </w:rPr>
        <w:t>.</w:t>
      </w:r>
      <w:r>
        <w:rPr>
          <w:rFonts w:ascii="Times New Roman" w:hAnsi="Times New Roman"/>
          <w:i/>
          <w:sz w:val="24"/>
          <w:szCs w:val="24"/>
        </w:rPr>
        <w:t xml:space="preserve"> Funct</w:t>
      </w:r>
      <w:r>
        <w:rPr>
          <w:rFonts w:hint="eastAsia" w:ascii="Times New Roman" w:hAnsi="Times New Roman"/>
          <w:i/>
          <w:sz w:val="24"/>
          <w:szCs w:val="24"/>
        </w:rPr>
        <w:t>.</w:t>
      </w:r>
      <w:r>
        <w:rPr>
          <w:rFonts w:ascii="Times New Roman" w:hAnsi="Times New Roman"/>
          <w:i/>
          <w:sz w:val="24"/>
          <w:szCs w:val="24"/>
        </w:rPr>
        <w:t xml:space="preserve"> Mater</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32</w:t>
      </w:r>
      <w:r>
        <w:rPr>
          <w:rFonts w:ascii="Times New Roman" w:hAnsi="Times New Roman"/>
          <w:sz w:val="24"/>
          <w:szCs w:val="24"/>
        </w:rPr>
        <w:t>, 2107314</w:t>
      </w:r>
      <w:r>
        <w:rPr>
          <w:rFonts w:hint="eastAsia" w:ascii="Times New Roman" w:hAnsi="Times New Roman"/>
          <w:sz w:val="24"/>
          <w:szCs w:val="24"/>
        </w:rPr>
        <w:t xml:space="preserve"> </w:t>
      </w:r>
      <w:r>
        <w:rPr>
          <w:rFonts w:ascii="Times New Roman" w:hAnsi="Times New Roman"/>
          <w:sz w:val="24"/>
          <w:szCs w:val="24"/>
        </w:rPr>
        <w:t>(2022).</w:t>
      </w:r>
    </w:p>
    <w:p w14:paraId="79C215B4">
      <w:pPr>
        <w:pStyle w:val="150"/>
        <w:spacing w:before="120"/>
        <w:rPr>
          <w:rFonts w:ascii="Times New Roman" w:hAnsi="Times New Roman"/>
          <w:sz w:val="24"/>
          <w:szCs w:val="24"/>
        </w:rPr>
      </w:pPr>
      <w:r>
        <w:rPr>
          <w:rFonts w:ascii="Times New Roman" w:hAnsi="Times New Roman"/>
          <w:sz w:val="24"/>
          <w:szCs w:val="24"/>
        </w:rPr>
        <w:t>24</w:t>
      </w:r>
      <w:r>
        <w:rPr>
          <w:rFonts w:ascii="Times New Roman" w:hAnsi="Times New Roman"/>
          <w:sz w:val="24"/>
          <w:szCs w:val="24"/>
        </w:rPr>
        <w:tab/>
      </w:r>
      <w:r>
        <w:rPr>
          <w:rFonts w:ascii="Times New Roman" w:hAnsi="Times New Roman"/>
          <w:sz w:val="24"/>
          <w:szCs w:val="24"/>
        </w:rPr>
        <w:t>Yao, J.</w:t>
      </w:r>
      <w:r>
        <w:rPr>
          <w:rFonts w:ascii="Times New Roman" w:hAnsi="Times New Roman"/>
          <w:i/>
          <w:sz w:val="24"/>
          <w:szCs w:val="24"/>
        </w:rPr>
        <w:t xml:space="preserve"> et al.</w:t>
      </w:r>
      <w:r>
        <w:rPr>
          <w:rFonts w:ascii="Times New Roman" w:hAnsi="Times New Roman"/>
          <w:sz w:val="24"/>
          <w:szCs w:val="24"/>
        </w:rPr>
        <w:t xml:space="preserve"> Ultra-low power carbon nanotube/porphyrin synaptic arrays for persistent photoconductivity and neuromorphic computing. </w:t>
      </w:r>
      <w:r>
        <w:rPr>
          <w:rFonts w:ascii="Times New Roman" w:hAnsi="Times New Roman"/>
          <w:i/>
          <w:sz w:val="24"/>
          <w:szCs w:val="24"/>
        </w:rPr>
        <w:t>Nat</w:t>
      </w:r>
      <w:r>
        <w:rPr>
          <w:rFonts w:hint="eastAsia" w:ascii="Times New Roman" w:hAnsi="Times New Roman"/>
          <w:i/>
          <w:sz w:val="24"/>
          <w:szCs w:val="24"/>
        </w:rPr>
        <w:t>.</w:t>
      </w:r>
      <w:r>
        <w:rPr>
          <w:rFonts w:ascii="Times New Roman" w:hAnsi="Times New Roman"/>
          <w:i/>
          <w:sz w:val="24"/>
          <w:szCs w:val="24"/>
        </w:rPr>
        <w:t xml:space="preserve"> Commun</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15</w:t>
      </w:r>
      <w:r>
        <w:rPr>
          <w:rFonts w:ascii="Times New Roman" w:hAnsi="Times New Roman"/>
          <w:sz w:val="24"/>
          <w:szCs w:val="24"/>
        </w:rPr>
        <w:t>, 6147 (2024).</w:t>
      </w:r>
    </w:p>
    <w:p w14:paraId="25C7932D">
      <w:pPr>
        <w:pStyle w:val="150"/>
        <w:spacing w:before="120"/>
        <w:rPr>
          <w:rFonts w:ascii="Times New Roman" w:hAnsi="Times New Roman"/>
          <w:sz w:val="24"/>
          <w:szCs w:val="24"/>
        </w:rPr>
      </w:pPr>
      <w:r>
        <w:rPr>
          <w:rFonts w:ascii="Times New Roman" w:hAnsi="Times New Roman"/>
          <w:sz w:val="24"/>
          <w:szCs w:val="24"/>
        </w:rPr>
        <w:t>25</w:t>
      </w:r>
      <w:r>
        <w:rPr>
          <w:rFonts w:ascii="Times New Roman" w:hAnsi="Times New Roman"/>
          <w:sz w:val="24"/>
          <w:szCs w:val="24"/>
        </w:rPr>
        <w:tab/>
      </w:r>
      <w:r>
        <w:rPr>
          <w:rFonts w:ascii="Times New Roman" w:hAnsi="Times New Roman"/>
          <w:sz w:val="24"/>
          <w:szCs w:val="24"/>
        </w:rPr>
        <w:t>Yan, X.</w:t>
      </w:r>
      <w:r>
        <w:rPr>
          <w:rFonts w:ascii="Times New Roman" w:hAnsi="Times New Roman"/>
          <w:i/>
          <w:sz w:val="24"/>
          <w:szCs w:val="24"/>
        </w:rPr>
        <w:t xml:space="preserve"> et al.</w:t>
      </w:r>
      <w:r>
        <w:rPr>
          <w:rFonts w:ascii="Times New Roman" w:hAnsi="Times New Roman"/>
          <w:sz w:val="24"/>
          <w:szCs w:val="24"/>
        </w:rPr>
        <w:t xml:space="preserve"> Moiré synaptic transistor with room-temperature neuromorphic functionality. </w:t>
      </w:r>
      <w:r>
        <w:rPr>
          <w:rFonts w:ascii="Times New Roman" w:hAnsi="Times New Roman"/>
          <w:i/>
          <w:sz w:val="24"/>
          <w:szCs w:val="24"/>
        </w:rPr>
        <w:t>Nature</w:t>
      </w:r>
      <w:r>
        <w:rPr>
          <w:rFonts w:ascii="Times New Roman" w:hAnsi="Times New Roman"/>
          <w:sz w:val="24"/>
          <w:szCs w:val="24"/>
        </w:rPr>
        <w:t xml:space="preserve"> </w:t>
      </w:r>
      <w:r>
        <w:rPr>
          <w:rFonts w:ascii="Times New Roman" w:hAnsi="Times New Roman"/>
          <w:b/>
          <w:sz w:val="24"/>
          <w:szCs w:val="24"/>
        </w:rPr>
        <w:t>624</w:t>
      </w:r>
      <w:r>
        <w:rPr>
          <w:rFonts w:ascii="Times New Roman" w:hAnsi="Times New Roman"/>
          <w:sz w:val="24"/>
          <w:szCs w:val="24"/>
        </w:rPr>
        <w:t>, 551-556 (2023).</w:t>
      </w:r>
    </w:p>
    <w:p w14:paraId="7465F7B1">
      <w:pPr>
        <w:pStyle w:val="150"/>
        <w:spacing w:before="120"/>
        <w:rPr>
          <w:rFonts w:ascii="Times New Roman" w:hAnsi="Times New Roman"/>
          <w:sz w:val="24"/>
          <w:szCs w:val="24"/>
        </w:rPr>
      </w:pPr>
      <w:r>
        <w:rPr>
          <w:rFonts w:ascii="Times New Roman" w:hAnsi="Times New Roman"/>
          <w:sz w:val="24"/>
          <w:szCs w:val="24"/>
        </w:rPr>
        <w:t>26</w:t>
      </w:r>
      <w:r>
        <w:rPr>
          <w:rFonts w:ascii="Times New Roman" w:hAnsi="Times New Roman"/>
          <w:sz w:val="24"/>
          <w:szCs w:val="24"/>
        </w:rPr>
        <w:tab/>
      </w:r>
      <w:r>
        <w:rPr>
          <w:rFonts w:ascii="Times New Roman" w:hAnsi="Times New Roman"/>
          <w:sz w:val="24"/>
          <w:szCs w:val="24"/>
        </w:rPr>
        <w:t>Pazos, S.</w:t>
      </w:r>
      <w:r>
        <w:rPr>
          <w:rFonts w:ascii="Times New Roman" w:hAnsi="Times New Roman"/>
          <w:i/>
          <w:sz w:val="24"/>
          <w:szCs w:val="24"/>
        </w:rPr>
        <w:t xml:space="preserve"> et al.</w:t>
      </w:r>
      <w:r>
        <w:rPr>
          <w:rFonts w:ascii="Times New Roman" w:hAnsi="Times New Roman"/>
          <w:sz w:val="24"/>
          <w:szCs w:val="24"/>
        </w:rPr>
        <w:t xml:space="preserve"> </w:t>
      </w:r>
      <w:bookmarkStart w:id="18" w:name="OLE_LINK32"/>
      <w:r>
        <w:rPr>
          <w:rFonts w:ascii="Times New Roman" w:hAnsi="Times New Roman"/>
          <w:sz w:val="24"/>
          <w:szCs w:val="24"/>
        </w:rPr>
        <w:t xml:space="preserve">Synaptic and neural behaviours in a standard silicon transistor. </w:t>
      </w:r>
      <w:bookmarkEnd w:id="18"/>
      <w:r>
        <w:rPr>
          <w:rFonts w:ascii="Times New Roman" w:hAnsi="Times New Roman"/>
          <w:i/>
          <w:sz w:val="24"/>
          <w:szCs w:val="24"/>
        </w:rPr>
        <w:t>Nature</w:t>
      </w:r>
      <w:r>
        <w:rPr>
          <w:rFonts w:ascii="Times New Roman" w:hAnsi="Times New Roman"/>
          <w:sz w:val="24"/>
          <w:szCs w:val="24"/>
        </w:rPr>
        <w:t xml:space="preserve"> </w:t>
      </w:r>
      <w:r>
        <w:rPr>
          <w:rFonts w:ascii="Times New Roman" w:hAnsi="Times New Roman"/>
          <w:b/>
          <w:sz w:val="24"/>
          <w:szCs w:val="24"/>
        </w:rPr>
        <w:t>640</w:t>
      </w:r>
      <w:r>
        <w:rPr>
          <w:rFonts w:ascii="Times New Roman" w:hAnsi="Times New Roman"/>
          <w:sz w:val="24"/>
          <w:szCs w:val="24"/>
        </w:rPr>
        <w:t>, 69-76 (2025).</w:t>
      </w:r>
    </w:p>
    <w:p w14:paraId="06DC330C">
      <w:pPr>
        <w:pStyle w:val="150"/>
        <w:spacing w:before="120"/>
        <w:rPr>
          <w:rFonts w:ascii="Times New Roman" w:hAnsi="Times New Roman"/>
          <w:sz w:val="24"/>
          <w:szCs w:val="24"/>
        </w:rPr>
      </w:pPr>
      <w:r>
        <w:rPr>
          <w:rFonts w:ascii="Times New Roman" w:hAnsi="Times New Roman"/>
          <w:sz w:val="24"/>
          <w:szCs w:val="24"/>
        </w:rPr>
        <w:t>27</w:t>
      </w:r>
      <w:r>
        <w:rPr>
          <w:rFonts w:ascii="Times New Roman" w:hAnsi="Times New Roman"/>
          <w:sz w:val="24"/>
          <w:szCs w:val="24"/>
        </w:rPr>
        <w:tab/>
      </w:r>
      <w:r>
        <w:rPr>
          <w:rFonts w:ascii="Times New Roman" w:hAnsi="Times New Roman"/>
          <w:sz w:val="24"/>
          <w:szCs w:val="24"/>
        </w:rPr>
        <w:t>Kim, S. J.</w:t>
      </w:r>
      <w:r>
        <w:rPr>
          <w:rFonts w:ascii="Times New Roman" w:hAnsi="Times New Roman"/>
          <w:i/>
          <w:sz w:val="24"/>
          <w:szCs w:val="24"/>
        </w:rPr>
        <w:t xml:space="preserve"> et al.</w:t>
      </w:r>
      <w:r>
        <w:rPr>
          <w:rFonts w:ascii="Times New Roman" w:hAnsi="Times New Roman"/>
          <w:sz w:val="24"/>
          <w:szCs w:val="24"/>
        </w:rPr>
        <w:t xml:space="preserve"> </w:t>
      </w:r>
      <w:bookmarkStart w:id="19" w:name="OLE_LINK33"/>
      <w:r>
        <w:rPr>
          <w:rFonts w:ascii="Times New Roman" w:hAnsi="Times New Roman"/>
          <w:sz w:val="24"/>
          <w:szCs w:val="24"/>
        </w:rPr>
        <w:t>Linearly programmable two-dimensional halide perovskite memristor arrays for neuromorphic computing</w:t>
      </w:r>
      <w:bookmarkEnd w:id="19"/>
      <w:r>
        <w:rPr>
          <w:rFonts w:ascii="Times New Roman" w:hAnsi="Times New Roman"/>
          <w:sz w:val="24"/>
          <w:szCs w:val="24"/>
        </w:rPr>
        <w:t xml:space="preserve">. </w:t>
      </w:r>
      <w:r>
        <w:rPr>
          <w:rFonts w:ascii="Times New Roman" w:hAnsi="Times New Roman"/>
          <w:i/>
          <w:sz w:val="24"/>
          <w:szCs w:val="24"/>
        </w:rPr>
        <w:t>Nat</w:t>
      </w:r>
      <w:r>
        <w:rPr>
          <w:rFonts w:hint="eastAsia" w:ascii="Times New Roman" w:hAnsi="Times New Roman"/>
          <w:i/>
          <w:sz w:val="24"/>
          <w:szCs w:val="24"/>
        </w:rPr>
        <w:t>.</w:t>
      </w:r>
      <w:r>
        <w:rPr>
          <w:rFonts w:ascii="Times New Roman" w:hAnsi="Times New Roman"/>
          <w:i/>
          <w:sz w:val="24"/>
          <w:szCs w:val="24"/>
        </w:rPr>
        <w:t xml:space="preserve"> Nanotechnol</w:t>
      </w:r>
      <w:r>
        <w:rPr>
          <w:rFonts w:hint="eastAsia" w:ascii="Times New Roman" w:hAnsi="Times New Roman"/>
          <w:i/>
          <w:sz w:val="24"/>
          <w:szCs w:val="24"/>
        </w:rPr>
        <w:t>.</w:t>
      </w:r>
      <w:r>
        <w:rPr>
          <w:rFonts w:ascii="Times New Roman" w:hAnsi="Times New Roman"/>
          <w:sz w:val="24"/>
          <w:szCs w:val="24"/>
        </w:rPr>
        <w:t xml:space="preserve"> </w:t>
      </w:r>
      <w:r>
        <w:rPr>
          <w:rFonts w:ascii="Times New Roman" w:hAnsi="Times New Roman"/>
          <w:b/>
          <w:sz w:val="24"/>
          <w:szCs w:val="24"/>
        </w:rPr>
        <w:t>20</w:t>
      </w:r>
      <w:r>
        <w:rPr>
          <w:rFonts w:ascii="Times New Roman" w:hAnsi="Times New Roman"/>
          <w:sz w:val="24"/>
          <w:szCs w:val="24"/>
        </w:rPr>
        <w:t>, 83-92 (2025).</w:t>
      </w:r>
      <w:bookmarkEnd w:id="2"/>
    </w:p>
    <w:p w14:paraId="3567EDA7">
      <w:pPr>
        <w:pStyle w:val="150"/>
        <w:spacing w:before="120"/>
        <w:rPr>
          <w:rFonts w:ascii="Times New Roman" w:hAnsi="Times New Roman"/>
          <w:sz w:val="24"/>
          <w:szCs w:val="24"/>
        </w:rPr>
      </w:pPr>
      <w:r>
        <w:rPr>
          <w:rFonts w:ascii="Times New Roman" w:hAnsi="Times New Roman"/>
          <w:sz w:val="24"/>
          <w:szCs w:val="24"/>
        </w:rPr>
        <w:t>2</w:t>
      </w:r>
      <w:r>
        <w:rPr>
          <w:rFonts w:hint="eastAsia" w:ascii="Times New Roman" w:hAnsi="Times New Roman"/>
          <w:sz w:val="24"/>
          <w:szCs w:val="24"/>
        </w:rPr>
        <w:t>8</w:t>
      </w:r>
      <w:r>
        <w:rPr>
          <w:rFonts w:ascii="Times New Roman" w:hAnsi="Times New Roman"/>
          <w:sz w:val="24"/>
          <w:szCs w:val="24"/>
        </w:rPr>
        <w:tab/>
      </w:r>
      <w:r>
        <w:rPr>
          <w:rFonts w:ascii="Times New Roman" w:hAnsi="Times New Roman"/>
          <w:sz w:val="24"/>
          <w:szCs w:val="24"/>
        </w:rPr>
        <w:t>Prezioso, M.</w:t>
      </w:r>
      <w:r>
        <w:rPr>
          <w:rFonts w:ascii="Times New Roman" w:hAnsi="Times New Roman"/>
          <w:i/>
          <w:sz w:val="24"/>
          <w:szCs w:val="24"/>
        </w:rPr>
        <w:t xml:space="preserve"> et al.</w:t>
      </w:r>
      <w:r>
        <w:rPr>
          <w:rFonts w:ascii="Times New Roman" w:hAnsi="Times New Roman"/>
          <w:sz w:val="24"/>
          <w:szCs w:val="24"/>
        </w:rPr>
        <w:t xml:space="preserve"> </w:t>
      </w:r>
      <w:bookmarkStart w:id="20" w:name="OLE_LINK34"/>
      <w:r>
        <w:rPr>
          <w:rFonts w:ascii="Times New Roman" w:hAnsi="Times New Roman"/>
          <w:sz w:val="24"/>
          <w:szCs w:val="24"/>
        </w:rPr>
        <w:t xml:space="preserve">Training and operation of an integrated neuromorphic network based on metal-oxide memristors. </w:t>
      </w:r>
      <w:bookmarkEnd w:id="20"/>
      <w:r>
        <w:rPr>
          <w:rFonts w:ascii="Times New Roman" w:hAnsi="Times New Roman"/>
          <w:i/>
          <w:sz w:val="24"/>
          <w:szCs w:val="24"/>
        </w:rPr>
        <w:t>Nature</w:t>
      </w:r>
      <w:r>
        <w:rPr>
          <w:rFonts w:ascii="Times New Roman" w:hAnsi="Times New Roman"/>
          <w:sz w:val="24"/>
          <w:szCs w:val="24"/>
        </w:rPr>
        <w:t xml:space="preserve"> </w:t>
      </w:r>
      <w:r>
        <w:rPr>
          <w:rFonts w:ascii="Times New Roman" w:hAnsi="Times New Roman"/>
          <w:b/>
          <w:sz w:val="24"/>
          <w:szCs w:val="24"/>
        </w:rPr>
        <w:t>521</w:t>
      </w:r>
      <w:r>
        <w:rPr>
          <w:rFonts w:ascii="Times New Roman" w:hAnsi="Times New Roman"/>
          <w:sz w:val="24"/>
          <w:szCs w:val="24"/>
        </w:rPr>
        <w:t>, 61-64 (2015).</w:t>
      </w:r>
    </w:p>
    <w:p w14:paraId="71AAFB3C">
      <w:pPr>
        <w:pStyle w:val="150"/>
        <w:spacing w:before="120"/>
        <w:rPr>
          <w:rFonts w:ascii="Times New Roman" w:hAnsi="Times New Roman"/>
          <w:sz w:val="24"/>
          <w:szCs w:val="24"/>
        </w:rPr>
      </w:pPr>
      <w:r>
        <w:rPr>
          <w:rFonts w:ascii="Times New Roman" w:hAnsi="Times New Roman"/>
          <w:sz w:val="24"/>
          <w:szCs w:val="24"/>
        </w:rPr>
        <w:t>2</w:t>
      </w:r>
      <w:r>
        <w:rPr>
          <w:rFonts w:hint="eastAsia" w:ascii="Times New Roman" w:hAnsi="Times New Roman"/>
          <w:sz w:val="24"/>
          <w:szCs w:val="24"/>
        </w:rPr>
        <w:t>9</w:t>
      </w:r>
      <w:r>
        <w:rPr>
          <w:rFonts w:ascii="Times New Roman" w:hAnsi="Times New Roman"/>
          <w:sz w:val="24"/>
          <w:szCs w:val="24"/>
        </w:rPr>
        <w:tab/>
      </w:r>
      <w:r>
        <w:rPr>
          <w:rFonts w:ascii="Times New Roman" w:hAnsi="Times New Roman"/>
          <w:sz w:val="24"/>
          <w:szCs w:val="24"/>
        </w:rPr>
        <w:t>Weilenmann, C.</w:t>
      </w:r>
      <w:r>
        <w:rPr>
          <w:rFonts w:ascii="Times New Roman" w:hAnsi="Times New Roman"/>
          <w:i/>
          <w:sz w:val="24"/>
          <w:szCs w:val="24"/>
        </w:rPr>
        <w:t xml:space="preserve"> et al.</w:t>
      </w:r>
      <w:r>
        <w:rPr>
          <w:rFonts w:ascii="Times New Roman" w:hAnsi="Times New Roman"/>
          <w:sz w:val="24"/>
          <w:szCs w:val="24"/>
        </w:rPr>
        <w:t xml:space="preserve"> Single neuromorphic memristor closely emulates multiple synaptic mechanisms for energy efficient neural networks. </w:t>
      </w:r>
      <w:r>
        <w:rPr>
          <w:rFonts w:ascii="Times New Roman" w:hAnsi="Times New Roman"/>
          <w:i/>
          <w:sz w:val="24"/>
          <w:szCs w:val="24"/>
        </w:rPr>
        <w:t>Nat. Commun.</w:t>
      </w:r>
      <w:r>
        <w:rPr>
          <w:rFonts w:ascii="Times New Roman" w:hAnsi="Times New Roman"/>
          <w:sz w:val="24"/>
          <w:szCs w:val="24"/>
        </w:rPr>
        <w:t xml:space="preserve"> </w:t>
      </w:r>
      <w:r>
        <w:rPr>
          <w:rFonts w:ascii="Times New Roman" w:hAnsi="Times New Roman"/>
          <w:b/>
          <w:sz w:val="24"/>
          <w:szCs w:val="24"/>
        </w:rPr>
        <w:t>15</w:t>
      </w:r>
      <w:r>
        <w:rPr>
          <w:rFonts w:ascii="Times New Roman" w:hAnsi="Times New Roman"/>
          <w:sz w:val="24"/>
          <w:szCs w:val="24"/>
        </w:rPr>
        <w:t>, 6898, (2024).</w:t>
      </w:r>
    </w:p>
    <w:p w14:paraId="320D0F6A">
      <w:pPr>
        <w:pStyle w:val="150"/>
        <w:spacing w:before="120"/>
        <w:rPr>
          <w:rFonts w:ascii="Times New Roman" w:hAnsi="Times New Roman"/>
          <w:sz w:val="24"/>
          <w:szCs w:val="24"/>
        </w:rPr>
      </w:pPr>
      <w:r>
        <w:rPr>
          <w:rFonts w:hint="eastAsia" w:ascii="Times New Roman" w:hAnsi="Times New Roman"/>
          <w:sz w:val="24"/>
          <w:szCs w:val="24"/>
        </w:rPr>
        <w:t>30</w:t>
      </w:r>
      <w:r>
        <w:rPr>
          <w:rFonts w:ascii="Times New Roman" w:hAnsi="Times New Roman"/>
          <w:sz w:val="24"/>
          <w:szCs w:val="24"/>
        </w:rPr>
        <w:tab/>
      </w:r>
      <w:r>
        <w:rPr>
          <w:rFonts w:ascii="Times New Roman" w:hAnsi="Times New Roman"/>
          <w:sz w:val="24"/>
          <w:szCs w:val="24"/>
        </w:rPr>
        <w:t>Zhang, Y.</w:t>
      </w:r>
      <w:r>
        <w:rPr>
          <w:rFonts w:ascii="Times New Roman" w:hAnsi="Times New Roman"/>
          <w:i/>
          <w:sz w:val="24"/>
          <w:szCs w:val="24"/>
        </w:rPr>
        <w:t xml:space="preserve"> et al.</w:t>
      </w:r>
      <w:r>
        <w:rPr>
          <w:rFonts w:ascii="Times New Roman" w:hAnsi="Times New Roman"/>
          <w:sz w:val="24"/>
          <w:szCs w:val="24"/>
        </w:rPr>
        <w:t xml:space="preserve"> </w:t>
      </w:r>
      <w:bookmarkStart w:id="21" w:name="OLE_LINK35"/>
      <w:r>
        <w:rPr>
          <w:rFonts w:ascii="Times New Roman" w:hAnsi="Times New Roman"/>
          <w:sz w:val="24"/>
          <w:szCs w:val="24"/>
        </w:rPr>
        <w:t xml:space="preserve">An artificial synapse based on molecular junctions. </w:t>
      </w:r>
      <w:bookmarkEnd w:id="21"/>
      <w:r>
        <w:rPr>
          <w:rFonts w:ascii="Times New Roman" w:hAnsi="Times New Roman"/>
          <w:i/>
          <w:sz w:val="24"/>
          <w:szCs w:val="24"/>
        </w:rPr>
        <w:t>Nat. Commun.</w:t>
      </w:r>
      <w:r>
        <w:rPr>
          <w:rFonts w:ascii="Times New Roman" w:hAnsi="Times New Roman"/>
          <w:sz w:val="24"/>
          <w:szCs w:val="24"/>
        </w:rPr>
        <w:t xml:space="preserve"> </w:t>
      </w:r>
      <w:r>
        <w:rPr>
          <w:rFonts w:ascii="Times New Roman" w:hAnsi="Times New Roman"/>
          <w:b/>
          <w:sz w:val="24"/>
          <w:szCs w:val="24"/>
        </w:rPr>
        <w:t>14</w:t>
      </w:r>
      <w:r>
        <w:rPr>
          <w:rFonts w:ascii="Times New Roman" w:hAnsi="Times New Roman"/>
          <w:sz w:val="24"/>
          <w:szCs w:val="24"/>
        </w:rPr>
        <w:t>, 247 (2023).</w:t>
      </w:r>
    </w:p>
    <w:p w14:paraId="6299E646">
      <w:pPr>
        <w:pStyle w:val="150"/>
        <w:spacing w:before="120"/>
        <w:rPr>
          <w:rFonts w:ascii="Times New Roman" w:hAnsi="Times New Roman"/>
          <w:sz w:val="24"/>
          <w:szCs w:val="24"/>
        </w:rPr>
      </w:pPr>
      <w:r>
        <w:rPr>
          <w:rFonts w:hint="eastAsia" w:ascii="Times New Roman" w:hAnsi="Times New Roman"/>
          <w:sz w:val="24"/>
          <w:szCs w:val="24"/>
        </w:rPr>
        <w:t>31</w:t>
      </w:r>
      <w:r>
        <w:rPr>
          <w:rFonts w:ascii="Times New Roman" w:hAnsi="Times New Roman"/>
          <w:sz w:val="24"/>
          <w:szCs w:val="24"/>
        </w:rPr>
        <w:tab/>
      </w:r>
      <w:r>
        <w:rPr>
          <w:rFonts w:ascii="Times New Roman" w:hAnsi="Times New Roman"/>
          <w:sz w:val="24"/>
          <w:szCs w:val="24"/>
        </w:rPr>
        <w:t>Sharma, D.</w:t>
      </w:r>
      <w:r>
        <w:rPr>
          <w:rFonts w:ascii="Times New Roman" w:hAnsi="Times New Roman"/>
          <w:i/>
          <w:sz w:val="24"/>
          <w:szCs w:val="24"/>
        </w:rPr>
        <w:t xml:space="preserve"> et al.</w:t>
      </w:r>
      <w:r>
        <w:rPr>
          <w:rFonts w:ascii="Times New Roman" w:hAnsi="Times New Roman"/>
          <w:sz w:val="24"/>
          <w:szCs w:val="24"/>
        </w:rPr>
        <w:t xml:space="preserve"> Linear symmetric self-selecting 14-bit kinetic molecular memristors. </w:t>
      </w:r>
      <w:r>
        <w:rPr>
          <w:rFonts w:ascii="Times New Roman" w:hAnsi="Times New Roman"/>
          <w:i/>
          <w:sz w:val="24"/>
          <w:szCs w:val="24"/>
        </w:rPr>
        <w:t>Nature</w:t>
      </w:r>
      <w:r>
        <w:rPr>
          <w:rFonts w:ascii="Times New Roman" w:hAnsi="Times New Roman"/>
          <w:sz w:val="24"/>
          <w:szCs w:val="24"/>
        </w:rPr>
        <w:t xml:space="preserve"> </w:t>
      </w:r>
      <w:r>
        <w:rPr>
          <w:rFonts w:ascii="Times New Roman" w:hAnsi="Times New Roman"/>
          <w:b/>
          <w:sz w:val="24"/>
          <w:szCs w:val="24"/>
        </w:rPr>
        <w:t>633</w:t>
      </w:r>
      <w:r>
        <w:rPr>
          <w:rFonts w:ascii="Times New Roman" w:hAnsi="Times New Roman"/>
          <w:sz w:val="24"/>
          <w:szCs w:val="24"/>
        </w:rPr>
        <w:t>, 560-566 (2024).</w:t>
      </w:r>
    </w:p>
    <w:p w14:paraId="3FFF8932">
      <w:pPr>
        <w:pStyle w:val="150"/>
        <w:spacing w:before="120"/>
        <w:rPr>
          <w:rFonts w:ascii="Times New Roman" w:hAnsi="Times New Roman"/>
          <w:sz w:val="24"/>
          <w:szCs w:val="24"/>
        </w:rPr>
      </w:pPr>
      <w:r>
        <w:rPr>
          <w:rFonts w:hint="eastAsia" w:ascii="Times New Roman" w:hAnsi="Times New Roman"/>
          <w:sz w:val="24"/>
          <w:szCs w:val="24"/>
        </w:rPr>
        <w:t>32</w:t>
      </w:r>
      <w:r>
        <w:rPr>
          <w:rFonts w:ascii="Times New Roman" w:hAnsi="Times New Roman"/>
          <w:sz w:val="24"/>
          <w:szCs w:val="24"/>
        </w:rPr>
        <w:tab/>
      </w:r>
      <w:r>
        <w:rPr>
          <w:rFonts w:ascii="Times New Roman" w:hAnsi="Times New Roman"/>
          <w:sz w:val="24"/>
          <w:szCs w:val="24"/>
        </w:rPr>
        <w:t>Kwon,</w:t>
      </w:r>
      <w:r>
        <w:rPr>
          <w:rFonts w:hint="eastAsia" w:ascii="Times New Roman" w:hAnsi="Times New Roman"/>
          <w:sz w:val="24"/>
          <w:szCs w:val="24"/>
        </w:rPr>
        <w:t xml:space="preserve"> </w:t>
      </w:r>
      <w:r>
        <w:rPr>
          <w:rFonts w:ascii="Times New Roman" w:hAnsi="Times New Roman"/>
          <w:sz w:val="24"/>
          <w:szCs w:val="24"/>
        </w:rPr>
        <w:t>W.</w:t>
      </w:r>
      <w:r>
        <w:rPr>
          <w:rFonts w:hint="eastAsia" w:ascii="Times New Roman" w:hAnsi="Times New Roman"/>
          <w:sz w:val="24"/>
          <w:szCs w:val="24"/>
        </w:rPr>
        <w:t>,</w:t>
      </w:r>
      <w:r>
        <w:rPr>
          <w:rFonts w:ascii="Times New Roman" w:hAnsi="Times New Roman"/>
          <w:sz w:val="24"/>
          <w:szCs w:val="24"/>
        </w:rPr>
        <w:t xml:space="preserve"> Jeon,</w:t>
      </w:r>
      <w:r>
        <w:rPr>
          <w:rFonts w:hint="eastAsia" w:ascii="Times New Roman" w:hAnsi="Times New Roman"/>
          <w:sz w:val="24"/>
          <w:szCs w:val="24"/>
        </w:rPr>
        <w:t xml:space="preserve"> </w:t>
      </w:r>
      <w:r>
        <w:rPr>
          <w:rFonts w:ascii="Times New Roman" w:hAnsi="Times New Roman"/>
          <w:sz w:val="24"/>
          <w:szCs w:val="24"/>
        </w:rPr>
        <w:t>J.</w:t>
      </w:r>
      <w:r>
        <w:rPr>
          <w:rFonts w:hint="eastAsia" w:ascii="Times New Roman" w:hAnsi="Times New Roman"/>
          <w:sz w:val="24"/>
          <w:szCs w:val="24"/>
        </w:rPr>
        <w:t>,</w:t>
      </w:r>
      <w:r>
        <w:rPr>
          <w:rFonts w:ascii="Times New Roman" w:hAnsi="Times New Roman"/>
          <w:sz w:val="24"/>
          <w:szCs w:val="24"/>
        </w:rPr>
        <w:t xml:space="preserve"> Hutin, L.</w:t>
      </w:r>
      <w:r>
        <w:rPr>
          <w:rFonts w:hint="eastAsia" w:ascii="Times New Roman" w:hAnsi="Times New Roman"/>
          <w:sz w:val="24"/>
          <w:szCs w:val="24"/>
        </w:rPr>
        <w:t>,</w:t>
      </w:r>
      <w:r>
        <w:rPr>
          <w:rFonts w:ascii="Times New Roman" w:hAnsi="Times New Roman"/>
          <w:sz w:val="24"/>
          <w:szCs w:val="24"/>
        </w:rPr>
        <w:t xml:space="preserve"> Liu, T. J. K. Electromechanical </w:t>
      </w:r>
      <w:r>
        <w:rPr>
          <w:rFonts w:hint="eastAsia" w:ascii="Times New Roman" w:hAnsi="Times New Roman"/>
          <w:sz w:val="24"/>
          <w:szCs w:val="24"/>
        </w:rPr>
        <w:t>d</w:t>
      </w:r>
      <w:r>
        <w:rPr>
          <w:rFonts w:ascii="Times New Roman" w:hAnsi="Times New Roman"/>
          <w:sz w:val="24"/>
          <w:szCs w:val="24"/>
        </w:rPr>
        <w:t xml:space="preserve">iode </w:t>
      </w:r>
      <w:r>
        <w:rPr>
          <w:rFonts w:hint="eastAsia" w:ascii="Times New Roman" w:hAnsi="Times New Roman"/>
          <w:sz w:val="24"/>
          <w:szCs w:val="24"/>
        </w:rPr>
        <w:t>c</w:t>
      </w:r>
      <w:r>
        <w:rPr>
          <w:rFonts w:ascii="Times New Roman" w:hAnsi="Times New Roman"/>
          <w:sz w:val="24"/>
          <w:szCs w:val="24"/>
        </w:rPr>
        <w:t xml:space="preserve">ell for </w:t>
      </w:r>
      <w:r>
        <w:rPr>
          <w:rFonts w:hint="eastAsia" w:ascii="Times New Roman" w:hAnsi="Times New Roman"/>
          <w:sz w:val="24"/>
          <w:szCs w:val="24"/>
        </w:rPr>
        <w:t>c</w:t>
      </w:r>
      <w:r>
        <w:rPr>
          <w:rFonts w:ascii="Times New Roman" w:hAnsi="Times New Roman"/>
          <w:sz w:val="24"/>
          <w:szCs w:val="24"/>
        </w:rPr>
        <w:t>ross-</w:t>
      </w:r>
      <w:r>
        <w:rPr>
          <w:rFonts w:hint="eastAsia" w:ascii="Times New Roman" w:hAnsi="Times New Roman"/>
          <w:sz w:val="24"/>
          <w:szCs w:val="24"/>
        </w:rPr>
        <w:t>p</w:t>
      </w:r>
      <w:r>
        <w:rPr>
          <w:rFonts w:ascii="Times New Roman" w:hAnsi="Times New Roman"/>
          <w:sz w:val="24"/>
          <w:szCs w:val="24"/>
        </w:rPr>
        <w:t xml:space="preserve">oint </w:t>
      </w:r>
      <w:r>
        <w:rPr>
          <w:rFonts w:hint="eastAsia" w:ascii="Times New Roman" w:hAnsi="Times New Roman"/>
          <w:sz w:val="24"/>
          <w:szCs w:val="24"/>
        </w:rPr>
        <w:t>n</w:t>
      </w:r>
      <w:r>
        <w:rPr>
          <w:rFonts w:ascii="Times New Roman" w:hAnsi="Times New Roman"/>
          <w:sz w:val="24"/>
          <w:szCs w:val="24"/>
        </w:rPr>
        <w:t xml:space="preserve">onvolatile </w:t>
      </w:r>
      <w:r>
        <w:rPr>
          <w:rFonts w:hint="eastAsia" w:ascii="Times New Roman" w:hAnsi="Times New Roman"/>
          <w:sz w:val="24"/>
          <w:szCs w:val="24"/>
        </w:rPr>
        <w:t>m</w:t>
      </w:r>
      <w:r>
        <w:rPr>
          <w:rFonts w:ascii="Times New Roman" w:hAnsi="Times New Roman"/>
          <w:sz w:val="24"/>
          <w:szCs w:val="24"/>
        </w:rPr>
        <w:t xml:space="preserve">emory </w:t>
      </w:r>
      <w:r>
        <w:rPr>
          <w:rFonts w:hint="eastAsia" w:ascii="Times New Roman" w:hAnsi="Times New Roman"/>
          <w:sz w:val="24"/>
          <w:szCs w:val="24"/>
        </w:rPr>
        <w:t>a</w:t>
      </w:r>
      <w:r>
        <w:rPr>
          <w:rFonts w:ascii="Times New Roman" w:hAnsi="Times New Roman"/>
          <w:sz w:val="24"/>
          <w:szCs w:val="24"/>
        </w:rPr>
        <w:t xml:space="preserve">rrays. </w:t>
      </w:r>
      <w:r>
        <w:rPr>
          <w:rFonts w:ascii="Times New Roman" w:hAnsi="Times New Roman"/>
          <w:i/>
          <w:sz w:val="24"/>
          <w:szCs w:val="24"/>
        </w:rPr>
        <w:t>IEEE Electron Device Lett.</w:t>
      </w:r>
      <w:r>
        <w:rPr>
          <w:rFonts w:ascii="Times New Roman" w:hAnsi="Times New Roman"/>
          <w:sz w:val="24"/>
          <w:szCs w:val="24"/>
        </w:rPr>
        <w:t xml:space="preserve"> </w:t>
      </w:r>
      <w:r>
        <w:rPr>
          <w:rFonts w:ascii="Times New Roman" w:hAnsi="Times New Roman"/>
          <w:b/>
          <w:sz w:val="24"/>
          <w:szCs w:val="24"/>
        </w:rPr>
        <w:t>33</w:t>
      </w:r>
      <w:r>
        <w:rPr>
          <w:rFonts w:ascii="Times New Roman" w:hAnsi="Times New Roman"/>
          <w:sz w:val="24"/>
          <w:szCs w:val="24"/>
        </w:rPr>
        <w:t>, 131-133 (2012).</w:t>
      </w:r>
      <w:r>
        <w:rPr>
          <w:rFonts w:hint="eastAsia" w:ascii="Times New Roman" w:hAnsi="Times New Roman"/>
          <w:sz w:val="24"/>
          <w:szCs w:val="24"/>
        </w:rPr>
        <w:t xml:space="preserve"> </w:t>
      </w:r>
    </w:p>
    <w:p w14:paraId="7B4B258E">
      <w:pPr>
        <w:pStyle w:val="150"/>
        <w:spacing w:before="120"/>
        <w:rPr>
          <w:rFonts w:ascii="Times New Roman" w:hAnsi="Times New Roman"/>
          <w:sz w:val="24"/>
          <w:szCs w:val="24"/>
        </w:rPr>
      </w:pPr>
      <w:r>
        <w:rPr>
          <w:rFonts w:hint="eastAsia" w:ascii="Times New Roman" w:hAnsi="Times New Roman"/>
          <w:sz w:val="24"/>
          <w:szCs w:val="24"/>
        </w:rPr>
        <w:t>33</w:t>
      </w:r>
      <w:r>
        <w:rPr>
          <w:rFonts w:ascii="Times New Roman" w:hAnsi="Times New Roman"/>
          <w:sz w:val="24"/>
          <w:szCs w:val="24"/>
        </w:rPr>
        <w:tab/>
      </w:r>
      <w:r>
        <w:rPr>
          <w:rFonts w:ascii="Times New Roman" w:hAnsi="Times New Roman"/>
          <w:sz w:val="24"/>
          <w:szCs w:val="24"/>
        </w:rPr>
        <w:t>2022 International Roadmap for Devices and Systems (Tech. Rep., IEEE, 2022); https://irds.ieee.org.</w:t>
      </w:r>
    </w:p>
    <w:p w14:paraId="10341ABB">
      <w:pPr>
        <w:pStyle w:val="150"/>
        <w:spacing w:before="120"/>
        <w:rPr>
          <w:rFonts w:ascii="Times New Roman" w:hAnsi="Times New Roman"/>
          <w:sz w:val="24"/>
          <w:szCs w:val="24"/>
        </w:rPr>
      </w:pPr>
      <w:r>
        <w:rPr>
          <w:rFonts w:hint="eastAsia" w:ascii="Times New Roman" w:hAnsi="Times New Roman"/>
          <w:sz w:val="24"/>
          <w:szCs w:val="24"/>
        </w:rPr>
        <w:t>34</w:t>
      </w:r>
      <w:r>
        <w:rPr>
          <w:rFonts w:ascii="Times New Roman" w:hAnsi="Times New Roman"/>
          <w:sz w:val="24"/>
          <w:szCs w:val="24"/>
        </w:rPr>
        <w:tab/>
      </w:r>
      <w:r>
        <w:rPr>
          <w:rFonts w:ascii="Times New Roman" w:hAnsi="Times New Roman"/>
          <w:sz w:val="24"/>
          <w:szCs w:val="24"/>
        </w:rPr>
        <w:t xml:space="preserve">Kam, H., Liu, T. J. K., Stojanović, V., Marković, D. &amp; Alon, E. </w:t>
      </w:r>
      <w:bookmarkStart w:id="22" w:name="OLE_LINK36"/>
      <w:r>
        <w:rPr>
          <w:rFonts w:ascii="Times New Roman" w:hAnsi="Times New Roman"/>
          <w:sz w:val="24"/>
          <w:szCs w:val="24"/>
        </w:rPr>
        <w:t xml:space="preserve">Design, optimization, and scaling of MEM relays for ultra-low-power digital logic. </w:t>
      </w:r>
      <w:bookmarkEnd w:id="22"/>
      <w:r>
        <w:rPr>
          <w:rFonts w:ascii="Times New Roman" w:hAnsi="Times New Roman"/>
          <w:i/>
          <w:sz w:val="24"/>
          <w:szCs w:val="24"/>
        </w:rPr>
        <w:t>IEEE Trans. Electron Devices</w:t>
      </w:r>
      <w:r>
        <w:rPr>
          <w:rFonts w:ascii="Times New Roman" w:hAnsi="Times New Roman"/>
          <w:sz w:val="24"/>
          <w:szCs w:val="24"/>
        </w:rPr>
        <w:t xml:space="preserve"> </w:t>
      </w:r>
      <w:r>
        <w:rPr>
          <w:rFonts w:ascii="Times New Roman" w:hAnsi="Times New Roman"/>
          <w:b/>
          <w:sz w:val="24"/>
          <w:szCs w:val="24"/>
        </w:rPr>
        <w:t>58</w:t>
      </w:r>
      <w:r>
        <w:rPr>
          <w:rFonts w:ascii="Times New Roman" w:hAnsi="Times New Roman"/>
          <w:sz w:val="24"/>
          <w:szCs w:val="24"/>
        </w:rPr>
        <w:t>, 236-250 (2011).</w:t>
      </w:r>
    </w:p>
    <w:p w14:paraId="63087E3B">
      <w:pPr>
        <w:pStyle w:val="150"/>
        <w:spacing w:before="120"/>
        <w:rPr>
          <w:rFonts w:ascii="Times New Roman" w:hAnsi="Times New Roman"/>
          <w:sz w:val="24"/>
          <w:szCs w:val="24"/>
        </w:rPr>
      </w:pPr>
    </w:p>
    <w:sectPr>
      <w:headerReference r:id="rId3" w:type="default"/>
      <w:footerReference r:id="rId4" w:type="default"/>
      <w:pgSz w:w="12240" w:h="15840"/>
      <w:pgMar w:top="1440" w:right="1440" w:bottom="1440" w:left="1440" w:header="720" w:footer="720" w:gutter="0"/>
      <w:pgNumType w:start="1"/>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imes">
    <w:altName w:val="Times New Roman"/>
    <w:panose1 w:val="02020603050405020304"/>
    <w:charset w:val="00"/>
    <w:family w:val="roman"/>
    <w:pitch w:val="default"/>
    <w:sig w:usb0="00000000" w:usb1="00000000" w:usb2="00000009" w:usb3="00000000" w:csb0="000001FF" w:csb1="00000000"/>
  </w:font>
  <w:font w:name="Courier New">
    <w:panose1 w:val="02070309020205020404"/>
    <w:charset w:val="00"/>
    <w:family w:val="modern"/>
    <w:pitch w:val="default"/>
    <w:sig w:usb0="E0002E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swiss"/>
    <w:pitch w:val="default"/>
    <w:sig w:usb0="E0002EFF" w:usb1="C000785B" w:usb2="00000009" w:usb3="00000000" w:csb0="400001FF" w:csb1="FFFF0000"/>
  </w:font>
  <w:font w:name="MS Mincho">
    <w:altName w:val="Yu Gothic UI"/>
    <w:panose1 w:val="02020609040205080304"/>
    <w:charset w:val="80"/>
    <w:family w:val="modern"/>
    <w:pitch w:val="default"/>
    <w:sig w:usb0="00000000" w:usb1="00000000" w:usb2="08000012" w:usb3="00000000" w:csb0="0002009F" w:csb1="00000000"/>
  </w:font>
  <w:font w:name="ＭＳ 明朝">
    <w:altName w:val="AMGDT"/>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0A2D01">
    <w:pPr>
      <w:pStyle w:val="55"/>
      <w:jc w:val="right"/>
    </w:pPr>
    <w:r>
      <w:fldChar w:fldCharType="begin"/>
    </w:r>
    <w:r>
      <w:instrText xml:space="preserve"> PAGE   \* MERGEFORMAT </w:instrText>
    </w:r>
    <w:r>
      <w:fldChar w:fldCharType="separate"/>
    </w:r>
    <w:r>
      <w:t>3</w:t>
    </w:r>
    <w:r>
      <w:fldChar w:fldCharType="end"/>
    </w:r>
  </w:p>
  <w:p w14:paraId="226D7B5F">
    <w:pPr>
      <w:pStyle w:val="5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3CA936">
    <w:pPr>
      <w:jc w:val="right"/>
      <w:rPr>
        <w:sz w:val="20"/>
      </w:rPr>
    </w:pPr>
  </w:p>
  <w:p w14:paraId="71344D7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65"/>
      <w:lvlText w:val="%1."/>
      <w:lvlJc w:val="left"/>
      <w:pPr>
        <w:tabs>
          <w:tab w:val="left" w:pos="1800"/>
        </w:tabs>
        <w:ind w:left="1800" w:hanging="360"/>
      </w:pPr>
    </w:lvl>
  </w:abstractNum>
  <w:abstractNum w:abstractNumId="1">
    <w:nsid w:val="FFFFFF7D"/>
    <w:multiLevelType w:val="singleLevel"/>
    <w:tmpl w:val="FFFFFF7D"/>
    <w:lvl w:ilvl="0" w:tentative="0">
      <w:start w:val="1"/>
      <w:numFmt w:val="decimal"/>
      <w:pStyle w:val="47"/>
      <w:lvlText w:val="%1."/>
      <w:lvlJc w:val="left"/>
      <w:pPr>
        <w:tabs>
          <w:tab w:val="left" w:pos="1440"/>
        </w:tabs>
        <w:ind w:left="1440" w:hanging="360"/>
      </w:pPr>
    </w:lvl>
  </w:abstractNum>
  <w:abstractNum w:abstractNumId="2">
    <w:nsid w:val="FFFFFF7E"/>
    <w:multiLevelType w:val="singleLevel"/>
    <w:tmpl w:val="FFFFFF7E"/>
    <w:lvl w:ilvl="0" w:tentative="0">
      <w:start w:val="1"/>
      <w:numFmt w:val="decimal"/>
      <w:pStyle w:val="36"/>
      <w:lvlText w:val="%1."/>
      <w:lvlJc w:val="left"/>
      <w:pPr>
        <w:tabs>
          <w:tab w:val="left" w:pos="1080"/>
        </w:tabs>
        <w:ind w:left="1080" w:hanging="360"/>
      </w:pPr>
    </w:lvl>
  </w:abstractNum>
  <w:abstractNum w:abstractNumId="3">
    <w:nsid w:val="FFFFFF7F"/>
    <w:multiLevelType w:val="singleLevel"/>
    <w:tmpl w:val="FFFFFF7F"/>
    <w:lvl w:ilvl="0" w:tentative="0">
      <w:start w:val="1"/>
      <w:numFmt w:val="decimal"/>
      <w:pStyle w:val="14"/>
      <w:lvlText w:val="%1."/>
      <w:lvlJc w:val="left"/>
      <w:pPr>
        <w:tabs>
          <w:tab w:val="left" w:pos="720"/>
        </w:tabs>
        <w:ind w:left="720" w:hanging="360"/>
      </w:pPr>
    </w:lvl>
  </w:abstractNum>
  <w:abstractNum w:abstractNumId="4">
    <w:nsid w:val="FFFFFF80"/>
    <w:multiLevelType w:val="singleLevel"/>
    <w:tmpl w:val="FFFFFF80"/>
    <w:lvl w:ilvl="0" w:tentative="0">
      <w:start w:val="1"/>
      <w:numFmt w:val="bullet"/>
      <w:pStyle w:val="46"/>
      <w:lvlText w:val=""/>
      <w:lvlJc w:val="left"/>
      <w:pPr>
        <w:tabs>
          <w:tab w:val="left" w:pos="1800"/>
        </w:tabs>
        <w:ind w:left="1800" w:hanging="360"/>
      </w:pPr>
      <w:rPr>
        <w:rFonts w:hint="default" w:ascii="Symbol" w:hAnsi="Symbol"/>
      </w:rPr>
    </w:lvl>
  </w:abstractNum>
  <w:abstractNum w:abstractNumId="5">
    <w:nsid w:val="FFFFFF81"/>
    <w:multiLevelType w:val="singleLevel"/>
    <w:tmpl w:val="FFFFFF81"/>
    <w:lvl w:ilvl="0" w:tentative="0">
      <w:start w:val="1"/>
      <w:numFmt w:val="bullet"/>
      <w:pStyle w:val="17"/>
      <w:lvlText w:val=""/>
      <w:lvlJc w:val="left"/>
      <w:pPr>
        <w:tabs>
          <w:tab w:val="left" w:pos="1440"/>
        </w:tabs>
        <w:ind w:left="1440" w:hanging="360"/>
      </w:pPr>
      <w:rPr>
        <w:rFonts w:hint="default" w:ascii="Symbol" w:hAnsi="Symbol"/>
      </w:rPr>
    </w:lvl>
  </w:abstractNum>
  <w:abstractNum w:abstractNumId="6">
    <w:nsid w:val="FFFFFF82"/>
    <w:multiLevelType w:val="singleLevel"/>
    <w:tmpl w:val="FFFFFF82"/>
    <w:lvl w:ilvl="0" w:tentative="0">
      <w:start w:val="1"/>
      <w:numFmt w:val="bullet"/>
      <w:pStyle w:val="33"/>
      <w:lvlText w:val=""/>
      <w:lvlJc w:val="left"/>
      <w:pPr>
        <w:tabs>
          <w:tab w:val="left" w:pos="1080"/>
        </w:tabs>
        <w:ind w:left="1080" w:hanging="360"/>
      </w:pPr>
      <w:rPr>
        <w:rFonts w:hint="default" w:ascii="Symbol" w:hAnsi="Symbol"/>
      </w:rPr>
    </w:lvl>
  </w:abstractNum>
  <w:abstractNum w:abstractNumId="7">
    <w:nsid w:val="FFFFFF83"/>
    <w:multiLevelType w:val="singleLevel"/>
    <w:tmpl w:val="FFFFFF83"/>
    <w:lvl w:ilvl="0" w:tentative="0">
      <w:start w:val="1"/>
      <w:numFmt w:val="bullet"/>
      <w:pStyle w:val="40"/>
      <w:lvlText w:val=""/>
      <w:lvlJc w:val="left"/>
      <w:pPr>
        <w:tabs>
          <w:tab w:val="left" w:pos="720"/>
        </w:tabs>
        <w:ind w:left="720" w:hanging="360"/>
      </w:pPr>
      <w:rPr>
        <w:rFonts w:hint="default" w:ascii="Symbol" w:hAnsi="Symbol"/>
      </w:rPr>
    </w:lvl>
  </w:abstractNum>
  <w:abstractNum w:abstractNumId="8">
    <w:nsid w:val="FFFFFF88"/>
    <w:multiLevelType w:val="singleLevel"/>
    <w:tmpl w:val="FFFFFF88"/>
    <w:lvl w:ilvl="0" w:tentative="0">
      <w:start w:val="1"/>
      <w:numFmt w:val="decimal"/>
      <w:pStyle w:val="20"/>
      <w:lvlText w:val="%1."/>
      <w:lvlJc w:val="left"/>
      <w:pPr>
        <w:tabs>
          <w:tab w:val="left" w:pos="360"/>
        </w:tabs>
        <w:ind w:left="360" w:hanging="360"/>
      </w:pPr>
    </w:lvl>
  </w:abstractNum>
  <w:abstractNum w:abstractNumId="9">
    <w:nsid w:val="FFFFFF89"/>
    <w:multiLevelType w:val="singleLevel"/>
    <w:tmpl w:val="FFFFFF89"/>
    <w:lvl w:ilvl="0" w:tentative="0">
      <w:start w:val="1"/>
      <w:numFmt w:val="bullet"/>
      <w:pStyle w:val="24"/>
      <w:lvlText w:val=""/>
      <w:lvlJc w:val="left"/>
      <w:pPr>
        <w:tabs>
          <w:tab w:val="left" w:pos="360"/>
        </w:tabs>
        <w:ind w:left="360" w:hanging="360"/>
      </w:pPr>
      <w:rPr>
        <w:rFonts w:hint="default" w:ascii="Symbol" w:hAnsi="Symbol"/>
      </w:rPr>
    </w:lvl>
  </w:abstractNum>
  <w:num w:numId="1">
    <w:abstractNumId w:val="3"/>
  </w:num>
  <w:num w:numId="2">
    <w:abstractNumId w:val="5"/>
  </w:num>
  <w:num w:numId="3">
    <w:abstractNumId w:val="8"/>
  </w:num>
  <w:num w:numId="4">
    <w:abstractNumId w:val="9"/>
  </w:num>
  <w:num w:numId="5">
    <w:abstractNumId w:val="6"/>
  </w:num>
  <w:num w:numId="6">
    <w:abstractNumId w:val="2"/>
  </w:num>
  <w:num w:numId="7">
    <w:abstractNumId w:val="7"/>
  </w:num>
  <w:num w:numId="8">
    <w:abstractNumId w:val="4"/>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doNotDisplayPageBoundaries w:val="1"/>
  <w:bordersDoNotSurroundHeader w:val="1"/>
  <w:bordersDoNotSurroundFooter w:val="1"/>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NotTrackMoves/>
  <w:doNotTrackFormatting/>
  <w:documentProtection w:enforcement="0"/>
  <w:defaultTabStop w:val="720"/>
  <w:characterSpacingControl w:val="doNotCompress"/>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030F"/>
    <w:rsid w:val="0001059D"/>
    <w:rsid w:val="000108CD"/>
    <w:rsid w:val="0001340A"/>
    <w:rsid w:val="00015F74"/>
    <w:rsid w:val="00017FB9"/>
    <w:rsid w:val="00026264"/>
    <w:rsid w:val="0003005E"/>
    <w:rsid w:val="00031282"/>
    <w:rsid w:val="000326B8"/>
    <w:rsid w:val="0004044C"/>
    <w:rsid w:val="00042137"/>
    <w:rsid w:val="000451A0"/>
    <w:rsid w:val="00053E95"/>
    <w:rsid w:val="00054136"/>
    <w:rsid w:val="00056DD2"/>
    <w:rsid w:val="000616CA"/>
    <w:rsid w:val="0006320B"/>
    <w:rsid w:val="00065607"/>
    <w:rsid w:val="00065EBD"/>
    <w:rsid w:val="000662D4"/>
    <w:rsid w:val="00083B44"/>
    <w:rsid w:val="00084789"/>
    <w:rsid w:val="000850DC"/>
    <w:rsid w:val="00085A01"/>
    <w:rsid w:val="00095BF2"/>
    <w:rsid w:val="00097FDD"/>
    <w:rsid w:val="000B646C"/>
    <w:rsid w:val="000C1783"/>
    <w:rsid w:val="000C2771"/>
    <w:rsid w:val="000C6AB1"/>
    <w:rsid w:val="000D1E21"/>
    <w:rsid w:val="000D46F4"/>
    <w:rsid w:val="000D781C"/>
    <w:rsid w:val="000E2F55"/>
    <w:rsid w:val="000E4786"/>
    <w:rsid w:val="000E490A"/>
    <w:rsid w:val="000E7A9E"/>
    <w:rsid w:val="000F0019"/>
    <w:rsid w:val="000F0DCE"/>
    <w:rsid w:val="000F6BE3"/>
    <w:rsid w:val="000F79BF"/>
    <w:rsid w:val="0010306A"/>
    <w:rsid w:val="00112C5B"/>
    <w:rsid w:val="00114193"/>
    <w:rsid w:val="001142F3"/>
    <w:rsid w:val="00115A38"/>
    <w:rsid w:val="0011687B"/>
    <w:rsid w:val="0012102B"/>
    <w:rsid w:val="001241F0"/>
    <w:rsid w:val="00124F82"/>
    <w:rsid w:val="00125BEE"/>
    <w:rsid w:val="00125F67"/>
    <w:rsid w:val="00130148"/>
    <w:rsid w:val="001322E1"/>
    <w:rsid w:val="00135A65"/>
    <w:rsid w:val="00141A18"/>
    <w:rsid w:val="0016337A"/>
    <w:rsid w:val="00164269"/>
    <w:rsid w:val="00164DE5"/>
    <w:rsid w:val="0016563A"/>
    <w:rsid w:val="00166817"/>
    <w:rsid w:val="00177EE6"/>
    <w:rsid w:val="00180FF6"/>
    <w:rsid w:val="0019161C"/>
    <w:rsid w:val="00195979"/>
    <w:rsid w:val="001A02FC"/>
    <w:rsid w:val="001A1BDE"/>
    <w:rsid w:val="001A7BB1"/>
    <w:rsid w:val="001B06DB"/>
    <w:rsid w:val="001B0FFB"/>
    <w:rsid w:val="001B42CA"/>
    <w:rsid w:val="001C7D39"/>
    <w:rsid w:val="001F0876"/>
    <w:rsid w:val="001F0980"/>
    <w:rsid w:val="001F0B90"/>
    <w:rsid w:val="001F167C"/>
    <w:rsid w:val="001F5E91"/>
    <w:rsid w:val="00200C3B"/>
    <w:rsid w:val="0020444D"/>
    <w:rsid w:val="00205509"/>
    <w:rsid w:val="002077B9"/>
    <w:rsid w:val="00212484"/>
    <w:rsid w:val="00214459"/>
    <w:rsid w:val="00215443"/>
    <w:rsid w:val="00232060"/>
    <w:rsid w:val="00232082"/>
    <w:rsid w:val="00233BC0"/>
    <w:rsid w:val="00233C1B"/>
    <w:rsid w:val="00235B74"/>
    <w:rsid w:val="00237173"/>
    <w:rsid w:val="00242894"/>
    <w:rsid w:val="00243238"/>
    <w:rsid w:val="002504C4"/>
    <w:rsid w:val="00255954"/>
    <w:rsid w:val="00262161"/>
    <w:rsid w:val="00262D72"/>
    <w:rsid w:val="002821DD"/>
    <w:rsid w:val="00282928"/>
    <w:rsid w:val="00285EB4"/>
    <w:rsid w:val="0029140C"/>
    <w:rsid w:val="00294FBB"/>
    <w:rsid w:val="00295A1D"/>
    <w:rsid w:val="002A3016"/>
    <w:rsid w:val="002A41FF"/>
    <w:rsid w:val="002A640F"/>
    <w:rsid w:val="002A74BB"/>
    <w:rsid w:val="002A7F2B"/>
    <w:rsid w:val="002B5804"/>
    <w:rsid w:val="002C030F"/>
    <w:rsid w:val="002C2508"/>
    <w:rsid w:val="002C506F"/>
    <w:rsid w:val="002D18AC"/>
    <w:rsid w:val="002E0036"/>
    <w:rsid w:val="002E1A7C"/>
    <w:rsid w:val="002E40DE"/>
    <w:rsid w:val="002F5DBD"/>
    <w:rsid w:val="00312113"/>
    <w:rsid w:val="003227A1"/>
    <w:rsid w:val="00331D75"/>
    <w:rsid w:val="00332310"/>
    <w:rsid w:val="003349B6"/>
    <w:rsid w:val="00335ABA"/>
    <w:rsid w:val="003443DF"/>
    <w:rsid w:val="00355362"/>
    <w:rsid w:val="00355FAD"/>
    <w:rsid w:val="003576DD"/>
    <w:rsid w:val="00362F36"/>
    <w:rsid w:val="0036326F"/>
    <w:rsid w:val="00363E44"/>
    <w:rsid w:val="003746F2"/>
    <w:rsid w:val="003817EB"/>
    <w:rsid w:val="00386450"/>
    <w:rsid w:val="0038734F"/>
    <w:rsid w:val="00395E86"/>
    <w:rsid w:val="0039632B"/>
    <w:rsid w:val="0039672F"/>
    <w:rsid w:val="00396BDE"/>
    <w:rsid w:val="00396C6A"/>
    <w:rsid w:val="003A2FD8"/>
    <w:rsid w:val="003A61CF"/>
    <w:rsid w:val="003A6882"/>
    <w:rsid w:val="003A6F64"/>
    <w:rsid w:val="003B08E0"/>
    <w:rsid w:val="003B40E6"/>
    <w:rsid w:val="003B545C"/>
    <w:rsid w:val="003B5E90"/>
    <w:rsid w:val="003C312C"/>
    <w:rsid w:val="003C4354"/>
    <w:rsid w:val="003C46DC"/>
    <w:rsid w:val="003E5B22"/>
    <w:rsid w:val="003E74FB"/>
    <w:rsid w:val="003F6E14"/>
    <w:rsid w:val="00402F48"/>
    <w:rsid w:val="00403D2C"/>
    <w:rsid w:val="00405336"/>
    <w:rsid w:val="0041208F"/>
    <w:rsid w:val="00412775"/>
    <w:rsid w:val="004145C0"/>
    <w:rsid w:val="004156C4"/>
    <w:rsid w:val="00415C0E"/>
    <w:rsid w:val="0042419A"/>
    <w:rsid w:val="00427FAC"/>
    <w:rsid w:val="00431FB1"/>
    <w:rsid w:val="00433F42"/>
    <w:rsid w:val="0044025E"/>
    <w:rsid w:val="00443511"/>
    <w:rsid w:val="00445994"/>
    <w:rsid w:val="00445C92"/>
    <w:rsid w:val="00446C8B"/>
    <w:rsid w:val="00447256"/>
    <w:rsid w:val="004570C2"/>
    <w:rsid w:val="004571D5"/>
    <w:rsid w:val="004606D7"/>
    <w:rsid w:val="00461D81"/>
    <w:rsid w:val="0046356B"/>
    <w:rsid w:val="00473936"/>
    <w:rsid w:val="00473BCA"/>
    <w:rsid w:val="00477182"/>
    <w:rsid w:val="004779CB"/>
    <w:rsid w:val="0048235C"/>
    <w:rsid w:val="0048433A"/>
    <w:rsid w:val="00485C94"/>
    <w:rsid w:val="00487507"/>
    <w:rsid w:val="00487803"/>
    <w:rsid w:val="00487969"/>
    <w:rsid w:val="00491E47"/>
    <w:rsid w:val="004974A9"/>
    <w:rsid w:val="004A1FAC"/>
    <w:rsid w:val="004A482F"/>
    <w:rsid w:val="004B12E3"/>
    <w:rsid w:val="004B12E7"/>
    <w:rsid w:val="004C3A01"/>
    <w:rsid w:val="004C6E78"/>
    <w:rsid w:val="004D1347"/>
    <w:rsid w:val="004D7A7C"/>
    <w:rsid w:val="004E126B"/>
    <w:rsid w:val="004E42D8"/>
    <w:rsid w:val="004E4A56"/>
    <w:rsid w:val="004E7BA2"/>
    <w:rsid w:val="004F22CA"/>
    <w:rsid w:val="004F7E8C"/>
    <w:rsid w:val="004F7EDF"/>
    <w:rsid w:val="005001AC"/>
    <w:rsid w:val="00500613"/>
    <w:rsid w:val="005049F4"/>
    <w:rsid w:val="00504C5C"/>
    <w:rsid w:val="00505EB8"/>
    <w:rsid w:val="005101CE"/>
    <w:rsid w:val="00512A66"/>
    <w:rsid w:val="00520601"/>
    <w:rsid w:val="0052435D"/>
    <w:rsid w:val="00525289"/>
    <w:rsid w:val="00527D71"/>
    <w:rsid w:val="005327BC"/>
    <w:rsid w:val="005337A1"/>
    <w:rsid w:val="005347DA"/>
    <w:rsid w:val="005421A7"/>
    <w:rsid w:val="00545026"/>
    <w:rsid w:val="005520A8"/>
    <w:rsid w:val="005552D8"/>
    <w:rsid w:val="005607DD"/>
    <w:rsid w:val="00563398"/>
    <w:rsid w:val="00563E8A"/>
    <w:rsid w:val="005704FA"/>
    <w:rsid w:val="00574203"/>
    <w:rsid w:val="00581C72"/>
    <w:rsid w:val="005902AD"/>
    <w:rsid w:val="0059702C"/>
    <w:rsid w:val="005A2BBF"/>
    <w:rsid w:val="005A44FE"/>
    <w:rsid w:val="005A558C"/>
    <w:rsid w:val="005B0B44"/>
    <w:rsid w:val="005B2C3A"/>
    <w:rsid w:val="005B3CD2"/>
    <w:rsid w:val="005B78D3"/>
    <w:rsid w:val="005C0E29"/>
    <w:rsid w:val="005C1377"/>
    <w:rsid w:val="005C3B12"/>
    <w:rsid w:val="005E0A58"/>
    <w:rsid w:val="005E0B8A"/>
    <w:rsid w:val="005E28F8"/>
    <w:rsid w:val="005E3CFC"/>
    <w:rsid w:val="005E43AA"/>
    <w:rsid w:val="005E6513"/>
    <w:rsid w:val="005E7D9D"/>
    <w:rsid w:val="005F107A"/>
    <w:rsid w:val="0060348D"/>
    <w:rsid w:val="006110BA"/>
    <w:rsid w:val="00614A69"/>
    <w:rsid w:val="0062295A"/>
    <w:rsid w:val="00625B2F"/>
    <w:rsid w:val="00630499"/>
    <w:rsid w:val="006351FB"/>
    <w:rsid w:val="006357F6"/>
    <w:rsid w:val="00640BB4"/>
    <w:rsid w:val="00642E16"/>
    <w:rsid w:val="00643CB3"/>
    <w:rsid w:val="0064425E"/>
    <w:rsid w:val="006444A1"/>
    <w:rsid w:val="00644504"/>
    <w:rsid w:val="0064489B"/>
    <w:rsid w:val="006459A6"/>
    <w:rsid w:val="00651114"/>
    <w:rsid w:val="006536C3"/>
    <w:rsid w:val="00664560"/>
    <w:rsid w:val="0066561D"/>
    <w:rsid w:val="00666AE0"/>
    <w:rsid w:val="00670299"/>
    <w:rsid w:val="006708A4"/>
    <w:rsid w:val="006733FA"/>
    <w:rsid w:val="00684962"/>
    <w:rsid w:val="00687879"/>
    <w:rsid w:val="00690402"/>
    <w:rsid w:val="00691985"/>
    <w:rsid w:val="0069326A"/>
    <w:rsid w:val="006934EE"/>
    <w:rsid w:val="00695F97"/>
    <w:rsid w:val="00697DAC"/>
    <w:rsid w:val="006A1B64"/>
    <w:rsid w:val="006A475E"/>
    <w:rsid w:val="006A4AE1"/>
    <w:rsid w:val="006A4E02"/>
    <w:rsid w:val="006A566A"/>
    <w:rsid w:val="006A6C40"/>
    <w:rsid w:val="006B024D"/>
    <w:rsid w:val="006B268C"/>
    <w:rsid w:val="006B6866"/>
    <w:rsid w:val="006C7D9B"/>
    <w:rsid w:val="006D2227"/>
    <w:rsid w:val="006D51C1"/>
    <w:rsid w:val="006E4B34"/>
    <w:rsid w:val="006F208A"/>
    <w:rsid w:val="006F378F"/>
    <w:rsid w:val="006F3F63"/>
    <w:rsid w:val="0070799F"/>
    <w:rsid w:val="007108F5"/>
    <w:rsid w:val="00711546"/>
    <w:rsid w:val="0071201B"/>
    <w:rsid w:val="00713E5B"/>
    <w:rsid w:val="00721708"/>
    <w:rsid w:val="00735043"/>
    <w:rsid w:val="007402FC"/>
    <w:rsid w:val="00740FBC"/>
    <w:rsid w:val="007411A1"/>
    <w:rsid w:val="00744A76"/>
    <w:rsid w:val="00751257"/>
    <w:rsid w:val="007528BD"/>
    <w:rsid w:val="00754588"/>
    <w:rsid w:val="00761B2B"/>
    <w:rsid w:val="00763198"/>
    <w:rsid w:val="00765251"/>
    <w:rsid w:val="0077168C"/>
    <w:rsid w:val="00784E98"/>
    <w:rsid w:val="00793072"/>
    <w:rsid w:val="007934DC"/>
    <w:rsid w:val="00794CAB"/>
    <w:rsid w:val="00796B32"/>
    <w:rsid w:val="00797CAF"/>
    <w:rsid w:val="007A684E"/>
    <w:rsid w:val="007C4BBF"/>
    <w:rsid w:val="007C5D5E"/>
    <w:rsid w:val="007C5F1F"/>
    <w:rsid w:val="007C7612"/>
    <w:rsid w:val="007D5FF5"/>
    <w:rsid w:val="007E0DBD"/>
    <w:rsid w:val="007E339E"/>
    <w:rsid w:val="007E373D"/>
    <w:rsid w:val="007E7A99"/>
    <w:rsid w:val="007F33C1"/>
    <w:rsid w:val="007F3F16"/>
    <w:rsid w:val="007F7F6B"/>
    <w:rsid w:val="00800566"/>
    <w:rsid w:val="00806F4B"/>
    <w:rsid w:val="00807D35"/>
    <w:rsid w:val="00812CD7"/>
    <w:rsid w:val="00817560"/>
    <w:rsid w:val="008218C4"/>
    <w:rsid w:val="008218F0"/>
    <w:rsid w:val="00823F9E"/>
    <w:rsid w:val="00830195"/>
    <w:rsid w:val="0083457E"/>
    <w:rsid w:val="008373B5"/>
    <w:rsid w:val="00846E86"/>
    <w:rsid w:val="00846F6D"/>
    <w:rsid w:val="00863ACD"/>
    <w:rsid w:val="00867A98"/>
    <w:rsid w:val="00870867"/>
    <w:rsid w:val="00872C69"/>
    <w:rsid w:val="008732FF"/>
    <w:rsid w:val="00881ABB"/>
    <w:rsid w:val="00884440"/>
    <w:rsid w:val="00885C9B"/>
    <w:rsid w:val="00891272"/>
    <w:rsid w:val="008937C0"/>
    <w:rsid w:val="008A1EF5"/>
    <w:rsid w:val="008A7E65"/>
    <w:rsid w:val="008B540A"/>
    <w:rsid w:val="008C0691"/>
    <w:rsid w:val="008C7D16"/>
    <w:rsid w:val="008D0D35"/>
    <w:rsid w:val="008D5037"/>
    <w:rsid w:val="008D5341"/>
    <w:rsid w:val="008D5D2A"/>
    <w:rsid w:val="008E1355"/>
    <w:rsid w:val="008E3FE2"/>
    <w:rsid w:val="008E756C"/>
    <w:rsid w:val="008F45BD"/>
    <w:rsid w:val="008F7FEC"/>
    <w:rsid w:val="00901745"/>
    <w:rsid w:val="00902A44"/>
    <w:rsid w:val="0090454E"/>
    <w:rsid w:val="00914B63"/>
    <w:rsid w:val="009152A8"/>
    <w:rsid w:val="00916EB1"/>
    <w:rsid w:val="009205EB"/>
    <w:rsid w:val="009250CF"/>
    <w:rsid w:val="0092651C"/>
    <w:rsid w:val="00927AB0"/>
    <w:rsid w:val="00931041"/>
    <w:rsid w:val="00932DC5"/>
    <w:rsid w:val="009348D8"/>
    <w:rsid w:val="00935231"/>
    <w:rsid w:val="009354F3"/>
    <w:rsid w:val="009444EE"/>
    <w:rsid w:val="009447DC"/>
    <w:rsid w:val="00952AF6"/>
    <w:rsid w:val="009533A1"/>
    <w:rsid w:val="009556E5"/>
    <w:rsid w:val="00960EA6"/>
    <w:rsid w:val="00961BA5"/>
    <w:rsid w:val="00962D8A"/>
    <w:rsid w:val="00970DF4"/>
    <w:rsid w:val="009743A9"/>
    <w:rsid w:val="009838E4"/>
    <w:rsid w:val="00985927"/>
    <w:rsid w:val="009879A2"/>
    <w:rsid w:val="00994262"/>
    <w:rsid w:val="009A0FCE"/>
    <w:rsid w:val="009A5287"/>
    <w:rsid w:val="009B1E37"/>
    <w:rsid w:val="009B2AC5"/>
    <w:rsid w:val="009B60BE"/>
    <w:rsid w:val="009B7984"/>
    <w:rsid w:val="009C3A0A"/>
    <w:rsid w:val="009D3A54"/>
    <w:rsid w:val="009D50A4"/>
    <w:rsid w:val="009D7E44"/>
    <w:rsid w:val="009E3837"/>
    <w:rsid w:val="009E4C79"/>
    <w:rsid w:val="009F4BED"/>
    <w:rsid w:val="009F610E"/>
    <w:rsid w:val="009F63B5"/>
    <w:rsid w:val="009F6B6A"/>
    <w:rsid w:val="009F7D93"/>
    <w:rsid w:val="00A12005"/>
    <w:rsid w:val="00A14EFA"/>
    <w:rsid w:val="00A20D31"/>
    <w:rsid w:val="00A275B3"/>
    <w:rsid w:val="00A279B4"/>
    <w:rsid w:val="00A31F05"/>
    <w:rsid w:val="00A3403B"/>
    <w:rsid w:val="00A3531C"/>
    <w:rsid w:val="00A358DB"/>
    <w:rsid w:val="00A51A12"/>
    <w:rsid w:val="00A627D4"/>
    <w:rsid w:val="00A62913"/>
    <w:rsid w:val="00A6437A"/>
    <w:rsid w:val="00A73185"/>
    <w:rsid w:val="00A74DA2"/>
    <w:rsid w:val="00A7656D"/>
    <w:rsid w:val="00A817B3"/>
    <w:rsid w:val="00A82DEB"/>
    <w:rsid w:val="00A85534"/>
    <w:rsid w:val="00A87372"/>
    <w:rsid w:val="00A8752A"/>
    <w:rsid w:val="00A91B15"/>
    <w:rsid w:val="00A9709B"/>
    <w:rsid w:val="00AA16E9"/>
    <w:rsid w:val="00AA215F"/>
    <w:rsid w:val="00AA4817"/>
    <w:rsid w:val="00AB1ADB"/>
    <w:rsid w:val="00AB399E"/>
    <w:rsid w:val="00AC2664"/>
    <w:rsid w:val="00AC393E"/>
    <w:rsid w:val="00AC59D0"/>
    <w:rsid w:val="00AD16B1"/>
    <w:rsid w:val="00AD499C"/>
    <w:rsid w:val="00AE38F8"/>
    <w:rsid w:val="00AE5C3B"/>
    <w:rsid w:val="00AE6255"/>
    <w:rsid w:val="00AF603D"/>
    <w:rsid w:val="00AF6C90"/>
    <w:rsid w:val="00B0071D"/>
    <w:rsid w:val="00B04C54"/>
    <w:rsid w:val="00B057DC"/>
    <w:rsid w:val="00B07574"/>
    <w:rsid w:val="00B107C1"/>
    <w:rsid w:val="00B12D8E"/>
    <w:rsid w:val="00B1640F"/>
    <w:rsid w:val="00B1673A"/>
    <w:rsid w:val="00B176F7"/>
    <w:rsid w:val="00B20930"/>
    <w:rsid w:val="00B22789"/>
    <w:rsid w:val="00B27BA9"/>
    <w:rsid w:val="00B3186E"/>
    <w:rsid w:val="00B36869"/>
    <w:rsid w:val="00B37358"/>
    <w:rsid w:val="00B379D0"/>
    <w:rsid w:val="00B4025B"/>
    <w:rsid w:val="00B43B31"/>
    <w:rsid w:val="00B455E2"/>
    <w:rsid w:val="00B47CFA"/>
    <w:rsid w:val="00B51999"/>
    <w:rsid w:val="00B55AF1"/>
    <w:rsid w:val="00B55BD9"/>
    <w:rsid w:val="00B57F00"/>
    <w:rsid w:val="00B57F27"/>
    <w:rsid w:val="00B73C6C"/>
    <w:rsid w:val="00B76635"/>
    <w:rsid w:val="00B77B2A"/>
    <w:rsid w:val="00B82C22"/>
    <w:rsid w:val="00B831AE"/>
    <w:rsid w:val="00B83C9C"/>
    <w:rsid w:val="00B92E56"/>
    <w:rsid w:val="00B93DBA"/>
    <w:rsid w:val="00B9440A"/>
    <w:rsid w:val="00B95651"/>
    <w:rsid w:val="00BA2B8A"/>
    <w:rsid w:val="00BA53B1"/>
    <w:rsid w:val="00BB0566"/>
    <w:rsid w:val="00BB2D2A"/>
    <w:rsid w:val="00BB3719"/>
    <w:rsid w:val="00BB384D"/>
    <w:rsid w:val="00BC0F01"/>
    <w:rsid w:val="00BC3E04"/>
    <w:rsid w:val="00BC5064"/>
    <w:rsid w:val="00BC5D39"/>
    <w:rsid w:val="00BD4076"/>
    <w:rsid w:val="00BD58CF"/>
    <w:rsid w:val="00BF0C92"/>
    <w:rsid w:val="00BF2590"/>
    <w:rsid w:val="00BF58D8"/>
    <w:rsid w:val="00C04CC1"/>
    <w:rsid w:val="00C11337"/>
    <w:rsid w:val="00C129C2"/>
    <w:rsid w:val="00C144D8"/>
    <w:rsid w:val="00C16BAA"/>
    <w:rsid w:val="00C25A2D"/>
    <w:rsid w:val="00C3055F"/>
    <w:rsid w:val="00C30DA8"/>
    <w:rsid w:val="00C31726"/>
    <w:rsid w:val="00C349DA"/>
    <w:rsid w:val="00C34A78"/>
    <w:rsid w:val="00C4096C"/>
    <w:rsid w:val="00C42418"/>
    <w:rsid w:val="00C43707"/>
    <w:rsid w:val="00C4395F"/>
    <w:rsid w:val="00C4493D"/>
    <w:rsid w:val="00C4626F"/>
    <w:rsid w:val="00C5041B"/>
    <w:rsid w:val="00C50C6D"/>
    <w:rsid w:val="00C51C70"/>
    <w:rsid w:val="00C5346F"/>
    <w:rsid w:val="00C600D9"/>
    <w:rsid w:val="00C6377D"/>
    <w:rsid w:val="00C63E81"/>
    <w:rsid w:val="00C80F91"/>
    <w:rsid w:val="00C8143B"/>
    <w:rsid w:val="00C86AC2"/>
    <w:rsid w:val="00C905A2"/>
    <w:rsid w:val="00C90F1F"/>
    <w:rsid w:val="00C92B22"/>
    <w:rsid w:val="00CA4172"/>
    <w:rsid w:val="00CA41AF"/>
    <w:rsid w:val="00CC10A7"/>
    <w:rsid w:val="00CC1384"/>
    <w:rsid w:val="00CD0A99"/>
    <w:rsid w:val="00CD3720"/>
    <w:rsid w:val="00CD626F"/>
    <w:rsid w:val="00CD738E"/>
    <w:rsid w:val="00CE00B4"/>
    <w:rsid w:val="00CE04BF"/>
    <w:rsid w:val="00CE1BFF"/>
    <w:rsid w:val="00CF0F1E"/>
    <w:rsid w:val="00CF1467"/>
    <w:rsid w:val="00CF1848"/>
    <w:rsid w:val="00CF5C2F"/>
    <w:rsid w:val="00CF7CD3"/>
    <w:rsid w:val="00D039FD"/>
    <w:rsid w:val="00D04BCF"/>
    <w:rsid w:val="00D07D95"/>
    <w:rsid w:val="00D1029F"/>
    <w:rsid w:val="00D1086E"/>
    <w:rsid w:val="00D143D9"/>
    <w:rsid w:val="00D1540A"/>
    <w:rsid w:val="00D1544C"/>
    <w:rsid w:val="00D25C35"/>
    <w:rsid w:val="00D26C03"/>
    <w:rsid w:val="00D32950"/>
    <w:rsid w:val="00D331A8"/>
    <w:rsid w:val="00D5511B"/>
    <w:rsid w:val="00D62FF7"/>
    <w:rsid w:val="00D66036"/>
    <w:rsid w:val="00D766F1"/>
    <w:rsid w:val="00D820BC"/>
    <w:rsid w:val="00D875E7"/>
    <w:rsid w:val="00D921C4"/>
    <w:rsid w:val="00DA7151"/>
    <w:rsid w:val="00DB27B5"/>
    <w:rsid w:val="00DB6E42"/>
    <w:rsid w:val="00DB756C"/>
    <w:rsid w:val="00DB7829"/>
    <w:rsid w:val="00DE21B4"/>
    <w:rsid w:val="00DF0937"/>
    <w:rsid w:val="00DF7B51"/>
    <w:rsid w:val="00E00AEC"/>
    <w:rsid w:val="00E074E4"/>
    <w:rsid w:val="00E10522"/>
    <w:rsid w:val="00E114FE"/>
    <w:rsid w:val="00E146A7"/>
    <w:rsid w:val="00E14DBA"/>
    <w:rsid w:val="00E21FAC"/>
    <w:rsid w:val="00E257C8"/>
    <w:rsid w:val="00E26694"/>
    <w:rsid w:val="00E30B91"/>
    <w:rsid w:val="00E41297"/>
    <w:rsid w:val="00E41512"/>
    <w:rsid w:val="00E44E16"/>
    <w:rsid w:val="00E44F59"/>
    <w:rsid w:val="00E4519A"/>
    <w:rsid w:val="00E45FBA"/>
    <w:rsid w:val="00E4759E"/>
    <w:rsid w:val="00E607EB"/>
    <w:rsid w:val="00E67B06"/>
    <w:rsid w:val="00E67CBD"/>
    <w:rsid w:val="00E70800"/>
    <w:rsid w:val="00E748B1"/>
    <w:rsid w:val="00E74C5D"/>
    <w:rsid w:val="00E76BE8"/>
    <w:rsid w:val="00E76C0C"/>
    <w:rsid w:val="00E770B1"/>
    <w:rsid w:val="00E853D5"/>
    <w:rsid w:val="00E85420"/>
    <w:rsid w:val="00E87359"/>
    <w:rsid w:val="00E900AA"/>
    <w:rsid w:val="00E966E0"/>
    <w:rsid w:val="00E97215"/>
    <w:rsid w:val="00E9773B"/>
    <w:rsid w:val="00E97AB1"/>
    <w:rsid w:val="00EA3C30"/>
    <w:rsid w:val="00EA6F42"/>
    <w:rsid w:val="00EA7083"/>
    <w:rsid w:val="00EB4DFC"/>
    <w:rsid w:val="00EB557C"/>
    <w:rsid w:val="00EC13A3"/>
    <w:rsid w:val="00EC347B"/>
    <w:rsid w:val="00EC4C98"/>
    <w:rsid w:val="00EC6160"/>
    <w:rsid w:val="00EC6E9D"/>
    <w:rsid w:val="00EC7525"/>
    <w:rsid w:val="00EC7C85"/>
    <w:rsid w:val="00ED0308"/>
    <w:rsid w:val="00ED3424"/>
    <w:rsid w:val="00EE5671"/>
    <w:rsid w:val="00EF0070"/>
    <w:rsid w:val="00EF1F02"/>
    <w:rsid w:val="00F11CCA"/>
    <w:rsid w:val="00F11EB0"/>
    <w:rsid w:val="00F125EE"/>
    <w:rsid w:val="00F12E98"/>
    <w:rsid w:val="00F16CC8"/>
    <w:rsid w:val="00F22029"/>
    <w:rsid w:val="00F2329B"/>
    <w:rsid w:val="00F24D1D"/>
    <w:rsid w:val="00F26416"/>
    <w:rsid w:val="00F26E67"/>
    <w:rsid w:val="00F32C90"/>
    <w:rsid w:val="00F33385"/>
    <w:rsid w:val="00F36142"/>
    <w:rsid w:val="00F4427B"/>
    <w:rsid w:val="00F46CF7"/>
    <w:rsid w:val="00F515FB"/>
    <w:rsid w:val="00F57A17"/>
    <w:rsid w:val="00F630EA"/>
    <w:rsid w:val="00F67137"/>
    <w:rsid w:val="00F7007E"/>
    <w:rsid w:val="00F73193"/>
    <w:rsid w:val="00F73989"/>
    <w:rsid w:val="00F74F95"/>
    <w:rsid w:val="00F75FA0"/>
    <w:rsid w:val="00F779BB"/>
    <w:rsid w:val="00F80705"/>
    <w:rsid w:val="00F820C8"/>
    <w:rsid w:val="00F82624"/>
    <w:rsid w:val="00F82758"/>
    <w:rsid w:val="00F84BD9"/>
    <w:rsid w:val="00F857C9"/>
    <w:rsid w:val="00F85B0A"/>
    <w:rsid w:val="00F90D87"/>
    <w:rsid w:val="00F92489"/>
    <w:rsid w:val="00FA145A"/>
    <w:rsid w:val="00FA1481"/>
    <w:rsid w:val="00FA1B5E"/>
    <w:rsid w:val="00FA5CC5"/>
    <w:rsid w:val="00FA7FF5"/>
    <w:rsid w:val="00FB5F52"/>
    <w:rsid w:val="00FB795A"/>
    <w:rsid w:val="00FB7FCF"/>
    <w:rsid w:val="00FC024E"/>
    <w:rsid w:val="00FC0694"/>
    <w:rsid w:val="00FC4B0E"/>
    <w:rsid w:val="00FC657C"/>
    <w:rsid w:val="00FC7865"/>
    <w:rsid w:val="00FD5A95"/>
    <w:rsid w:val="00FE08C2"/>
    <w:rsid w:val="00FE104D"/>
    <w:rsid w:val="00FE1100"/>
    <w:rsid w:val="00FE1EA9"/>
    <w:rsid w:val="00FE69EC"/>
    <w:rsid w:val="00FF04E3"/>
    <w:rsid w:val="00FF0567"/>
    <w:rsid w:val="05BC001D"/>
    <w:rsid w:val="09D8646D"/>
    <w:rsid w:val="1B2867E3"/>
    <w:rsid w:val="1DF347FD"/>
    <w:rsid w:val="2D3E6D20"/>
    <w:rsid w:val="30074D15"/>
    <w:rsid w:val="344B05A0"/>
    <w:rsid w:val="356309A6"/>
    <w:rsid w:val="4FAB7B80"/>
    <w:rsid w:val="6F3735A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EastAsia"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name="heading 2"/>
    <w:lsdException w:qFormat="1" w:unhideWhenUsed="0" w:uiPriority="0" w:name="heading 3"/>
    <w:lsdException w:qFormat="1" w:unhideWhenUsed="0" w:uiPriority="0" w:name="heading 4"/>
    <w:lsdException w:qFormat="1" w:unhideWhenUsed="0" w:uiPriority="0" w:name="heading 5"/>
    <w:lsdException w:qFormat="1" w:unhideWhenUsed="0" w:uiPriority="0" w:name="heading 6"/>
    <w:lsdException w:qFormat="1" w:unhideWhenUsed="0" w:uiPriority="0" w:name="heading 7"/>
    <w:lsdException w:qFormat="1" w:unhideWhenUsed="0" w:uiPriority="0" w:name="heading 8"/>
    <w:lsdException w:qFormat="1" w:unhideWhenUsed="0" w:uiPriority="0" w:name="heading 9"/>
    <w:lsdException w:qFormat="1" w:unhideWhenUsed="0" w:uiPriority="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nhideWhenUsed="0" w:uiPriority="0" w:name="toc 1"/>
    <w:lsdException w:qFormat="1" w:unhideWhenUsed="0" w:uiPriority="0" w:name="toc 2"/>
    <w:lsdException w:qFormat="1" w:unhideWhenUsed="0" w:uiPriority="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qFormat="1" w:unhideWhenUsed="0" w:uiPriority="0" w:name="Normal Indent"/>
    <w:lsdException w:qFormat="1" w:unhideWhenUsed="0"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name="index heading"/>
    <w:lsdException w:qFormat="1" w:unhideWhenUsed="0" w:uiPriority="0" w:name="caption"/>
    <w:lsdException w:qFormat="1" w:unhideWhenUsed="0" w:uiPriority="0" w:name="table of figures"/>
    <w:lsdException w:qFormat="1" w:unhideWhenUsed="0" w:uiPriority="0" w:name="envelope address"/>
    <w:lsdException w:qFormat="1" w:unhideWhenUsed="0" w:uiPriority="0" w:name="envelope return"/>
    <w:lsdException w:uiPriority="0" w:name="footnote reference"/>
    <w:lsdException w:qFormat="1" w:uiPriority="99" w:semiHidden="0" w:name="annotation reference"/>
    <w:lsdException w:uiPriority="0" w:name="line number"/>
    <w:lsdException w:qFormat="1" w:unhideWhenUsed="0" w:uiPriority="0" w:name="page number"/>
    <w:lsdException w:uiPriority="0" w:name="endnote reference"/>
    <w:lsdException w:qFormat="1" w:unhideWhenUsed="0" w:uiPriority="0" w:name="endnote text"/>
    <w:lsdException w:qFormat="1" w:unhideWhenUsed="0" w:uiPriority="0" w:name="table of authorities"/>
    <w:lsdException w:qFormat="1" w:unhideWhenUsed="0" w:uiPriority="0" w:name="macro"/>
    <w:lsdException w:qFormat="1" w:unhideWhenUsed="0" w:uiPriority="0" w:name="toa heading"/>
    <w:lsdException w:qFormat="1" w:unhideWhenUsed="0" w:uiPriority="0" w:name="List"/>
    <w:lsdException w:qFormat="1" w:unhideWhenUsed="0" w:uiPriority="0" w:name="List Bullet"/>
    <w:lsdException w:qFormat="1" w:unhideWhenUsed="0" w:uiPriority="0" w:name="List Number"/>
    <w:lsdException w:qFormat="1" w:unhideWhenUsed="0" w:uiPriority="0" w:name="List 2"/>
    <w:lsdException w:qFormat="1" w:unhideWhenUsed="0" w:uiPriority="0" w:name="List 3"/>
    <w:lsdException w:qFormat="1" w:unhideWhenUsed="0" w:uiPriority="0" w:name="List 4"/>
    <w:lsdException w:qFormat="1" w:unhideWhenUsed="0" w:uiPriority="0" w:name="List 5"/>
    <w:lsdException w:qFormat="1" w:unhideWhenUsed="0" w:uiPriority="0" w:name="List Bullet 2"/>
    <w:lsdException w:qFormat="1" w:unhideWhenUsed="0" w:uiPriority="0" w:name="List Bullet 3"/>
    <w:lsdException w:qFormat="1" w:unhideWhenUsed="0" w:uiPriority="0" w:name="List Bullet 4"/>
    <w:lsdException w:qFormat="1" w:unhideWhenUsed="0" w:uiPriority="0" w:name="List Bullet 5"/>
    <w:lsdException w:qFormat="1" w:unhideWhenUsed="0" w:uiPriority="0" w:name="List Number 2"/>
    <w:lsdException w:qFormat="1" w:unhideWhenUsed="0" w:uiPriority="0" w:name="List Number 3"/>
    <w:lsdException w:qFormat="1" w:unhideWhenUsed="0" w:uiPriority="0" w:name="List Number 4"/>
    <w:lsdException w:qFormat="1" w:unhideWhenUsed="0" w:uiPriority="0" w:name="List Number 5"/>
    <w:lsdException w:qFormat="1" w:unhideWhenUsed="0" w:uiPriority="0" w:name="Title"/>
    <w:lsdException w:qFormat="1" w:unhideWhenUsed="0" w:uiPriority="0" w:name="Closing"/>
    <w:lsdException w:qFormat="1" w:unhideWhenUsed="0" w:uiPriority="0" w:name="Signature"/>
    <w:lsdException w:uiPriority="1" w:semiHidden="0" w:name="Default Paragraph Font"/>
    <w:lsdException w:qFormat="1" w:unhideWhenUsed="0" w:uiPriority="0" w:name="Body Text"/>
    <w:lsdException w:qFormat="1" w:unhideWhenUsed="0" w:uiPriority="0" w:name="Body Text Indent"/>
    <w:lsdException w:qFormat="1" w:unhideWhenUsed="0" w:uiPriority="0" w:name="List Continue"/>
    <w:lsdException w:qFormat="1" w:unhideWhenUsed="0" w:uiPriority="0" w:name="List Continue 2"/>
    <w:lsdException w:qFormat="1" w:unhideWhenUsed="0" w:uiPriority="0" w:name="List Continue 3"/>
    <w:lsdException w:qFormat="1" w:unhideWhenUsed="0" w:uiPriority="0" w:name="List Continue 4"/>
    <w:lsdException w:qFormat="1" w:unhideWhenUsed="0" w:uiPriority="0" w:name="List Continue 5"/>
    <w:lsdException w:qFormat="1" w:unhideWhenUsed="0" w:uiPriority="0" w:name="Message Header"/>
    <w:lsdException w:qFormat="1" w:unhideWhenUsed="0" w:uiPriority="0" w:name="Subtitle"/>
    <w:lsdException w:qFormat="1" w:unhideWhenUsed="0" w:uiPriority="0" w:name="Salutation"/>
    <w:lsdException w:qFormat="1" w:unhideWhenUsed="0" w:uiPriority="0" w:name="Date"/>
    <w:lsdException w:qFormat="1" w:unhideWhenUsed="0" w:uiPriority="0" w:name="Body Text First Indent"/>
    <w:lsdException w:qFormat="1" w:unhideWhenUsed="0" w:uiPriority="0" w:name="Body Text First Indent 2"/>
    <w:lsdException w:qFormat="1" w:unhideWhenUsed="0" w:uiPriority="0" w:name="Note Heading"/>
    <w:lsdException w:qFormat="1" w:unhideWhenUsed="0" w:uiPriority="0" w:name="Body Text 2"/>
    <w:lsdException w:qFormat="1" w:unhideWhenUsed="0" w:uiPriority="0" w:name="Body Text 3"/>
    <w:lsdException w:qFormat="1" w:unhideWhenUsed="0" w:uiPriority="0" w:name="Body Text Indent 2"/>
    <w:lsdException w:qFormat="1" w:unhideWhenUsed="0" w:uiPriority="0" w:name="Body Text Indent 3"/>
    <w:lsdException w:qFormat="1" w:unhideWhenUsed="0" w:uiPriority="0" w:name="Block Text"/>
    <w:lsdException w:qFormat="1" w:unhideWhenUsed="0" w:uiPriority="99" w:semiHidden="0" w:name="Hyperlink"/>
    <w:lsdException w:qFormat="1" w:uiPriority="0" w:name="FollowedHyperlink"/>
    <w:lsdException w:qFormat="1" w:unhideWhenUsed="0" w:uiPriority="22" w:semiHidden="0" w:name="Strong"/>
    <w:lsdException w:qFormat="1" w:unhideWhenUsed="0" w:uiPriority="0" w:name="Emphasis"/>
    <w:lsdException w:qFormat="1" w:unhideWhenUsed="0" w:uiPriority="0" w:name="Document Map"/>
    <w:lsdException w:qFormat="1" w:unhideWhenUsed="0" w:uiPriority="0" w:name="Plain Text"/>
    <w:lsdException w:qFormat="1" w:unhideWhenUsed="0" w:uiPriority="0" w:name="E-mail Signature"/>
    <w:lsdException w:qFormat="1" w:unhideWhenUsed="0" w:uiPriority="99" w:semiHidden="0" w:name="Normal (Web)"/>
    <w:lsdException w:uiPriority="0" w:name="HTML Acronym"/>
    <w:lsdException w:qFormat="1" w:unhideWhenUsed="0" w:uiPriority="0" w:name="HTML Address"/>
    <w:lsdException w:uiPriority="0" w:name="HTML Cite"/>
    <w:lsdException w:uiPriority="0" w:name="HTML Code"/>
    <w:lsdException w:uiPriority="0" w:name="HTML Definition"/>
    <w:lsdException w:uiPriority="0" w:name="HTML Keyboard"/>
    <w:lsdException w:qFormat="1" w:unhideWhenUsed="0" w:uiPriority="0" w:name="HTML Preformatted"/>
    <w:lsdException w:uiPriority="0" w:name="HTML Sample"/>
    <w:lsdException w:uiPriority="0" w:name="HTML Typewriter"/>
    <w:lsdException w:uiPriority="0" w:name="HTML Variable"/>
    <w:lsdException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39" w:semiHidden="0" w:name="Table Grid"/>
    <w:lsdException w:uiPriority="0" w:name="Table Theme"/>
    <w:lsdException w:qFormat="1" w:uiPriority="99" w:semiHidden="0" w:name="Placeholder Text"/>
    <w:lsdException w:qFormat="1" w:unhideWhenUsed="0" w:uiPriority="1"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name="List Paragraph"/>
    <w:lsdException w:qFormat="1" w:unhideWhenUsed="0" w:uiPriority="29" w:name="Quote"/>
    <w:lsdException w:qFormat="1" w:unhideWhenUsed="0"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lang w:val="en-US" w:eastAsia="en-US" w:bidi="ar-SA"/>
    </w:rPr>
  </w:style>
  <w:style w:type="paragraph" w:styleId="3">
    <w:name w:val="heading 1"/>
    <w:basedOn w:val="1"/>
    <w:next w:val="1"/>
    <w:link w:val="96"/>
    <w:qFormat/>
    <w:uiPriority w:val="9"/>
    <w:pPr>
      <w:keepNext/>
      <w:spacing w:before="240" w:after="60"/>
      <w:outlineLvl w:val="0"/>
    </w:pPr>
    <w:rPr>
      <w:b/>
      <w:bCs/>
      <w:kern w:val="32"/>
      <w:szCs w:val="24"/>
    </w:rPr>
  </w:style>
  <w:style w:type="paragraph" w:styleId="4">
    <w:name w:val="heading 2"/>
    <w:basedOn w:val="1"/>
    <w:next w:val="1"/>
    <w:link w:val="97"/>
    <w:semiHidden/>
    <w:qFormat/>
    <w:uiPriority w:val="0"/>
    <w:pPr>
      <w:keepNext/>
      <w:spacing w:before="240" w:after="60"/>
      <w:outlineLvl w:val="1"/>
    </w:pPr>
    <w:rPr>
      <w:rFonts w:ascii="Cambria" w:hAnsi="Cambria"/>
      <w:b/>
      <w:bCs/>
      <w:i/>
      <w:iCs/>
      <w:sz w:val="28"/>
      <w:szCs w:val="28"/>
    </w:rPr>
  </w:style>
  <w:style w:type="paragraph" w:styleId="5">
    <w:name w:val="heading 3"/>
    <w:basedOn w:val="1"/>
    <w:next w:val="1"/>
    <w:semiHidden/>
    <w:qFormat/>
    <w:uiPriority w:val="0"/>
    <w:pPr>
      <w:keepNext/>
      <w:spacing w:line="480" w:lineRule="auto"/>
      <w:outlineLvl w:val="2"/>
    </w:pPr>
    <w:rPr>
      <w:rFonts w:ascii="Times" w:hAnsi="Times" w:eastAsia="Times"/>
      <w:b/>
    </w:rPr>
  </w:style>
  <w:style w:type="paragraph" w:styleId="6">
    <w:name w:val="heading 4"/>
    <w:basedOn w:val="1"/>
    <w:next w:val="1"/>
    <w:semiHidden/>
    <w:qFormat/>
    <w:uiPriority w:val="0"/>
    <w:pPr>
      <w:keepNext/>
      <w:spacing w:line="480" w:lineRule="auto"/>
      <w:outlineLvl w:val="3"/>
    </w:pPr>
    <w:rPr>
      <w:rFonts w:ascii="Times" w:hAnsi="Times"/>
      <w:b/>
      <w:color w:val="0000FF"/>
      <w:sz w:val="44"/>
    </w:rPr>
  </w:style>
  <w:style w:type="paragraph" w:styleId="7">
    <w:name w:val="heading 5"/>
    <w:basedOn w:val="1"/>
    <w:next w:val="1"/>
    <w:link w:val="98"/>
    <w:semiHidden/>
    <w:qFormat/>
    <w:uiPriority w:val="0"/>
    <w:pPr>
      <w:spacing w:before="240" w:after="60"/>
      <w:outlineLvl w:val="4"/>
    </w:pPr>
    <w:rPr>
      <w:rFonts w:ascii="Calibri" w:hAnsi="Calibri"/>
      <w:b/>
      <w:bCs/>
      <w:i/>
      <w:iCs/>
      <w:sz w:val="26"/>
      <w:szCs w:val="26"/>
    </w:rPr>
  </w:style>
  <w:style w:type="paragraph" w:styleId="8">
    <w:name w:val="heading 6"/>
    <w:basedOn w:val="1"/>
    <w:next w:val="1"/>
    <w:link w:val="99"/>
    <w:semiHidden/>
    <w:qFormat/>
    <w:uiPriority w:val="0"/>
    <w:pPr>
      <w:spacing w:before="240" w:after="60"/>
      <w:outlineLvl w:val="5"/>
    </w:pPr>
    <w:rPr>
      <w:rFonts w:ascii="Calibri" w:hAnsi="Calibri"/>
      <w:b/>
      <w:bCs/>
      <w:sz w:val="22"/>
      <w:szCs w:val="22"/>
    </w:rPr>
  </w:style>
  <w:style w:type="paragraph" w:styleId="9">
    <w:name w:val="heading 7"/>
    <w:basedOn w:val="1"/>
    <w:next w:val="1"/>
    <w:link w:val="100"/>
    <w:semiHidden/>
    <w:qFormat/>
    <w:uiPriority w:val="0"/>
    <w:pPr>
      <w:spacing w:before="240" w:after="60"/>
      <w:outlineLvl w:val="6"/>
    </w:pPr>
    <w:rPr>
      <w:rFonts w:ascii="Calibri" w:hAnsi="Calibri"/>
      <w:szCs w:val="24"/>
    </w:rPr>
  </w:style>
  <w:style w:type="paragraph" w:styleId="10">
    <w:name w:val="heading 8"/>
    <w:basedOn w:val="1"/>
    <w:next w:val="1"/>
    <w:link w:val="101"/>
    <w:semiHidden/>
    <w:qFormat/>
    <w:uiPriority w:val="0"/>
    <w:pPr>
      <w:spacing w:before="240" w:after="60"/>
      <w:outlineLvl w:val="7"/>
    </w:pPr>
    <w:rPr>
      <w:rFonts w:ascii="Calibri" w:hAnsi="Calibri"/>
      <w:i/>
      <w:iCs/>
      <w:szCs w:val="24"/>
    </w:rPr>
  </w:style>
  <w:style w:type="paragraph" w:styleId="11">
    <w:name w:val="heading 9"/>
    <w:basedOn w:val="1"/>
    <w:next w:val="1"/>
    <w:link w:val="102"/>
    <w:semiHidden/>
    <w:qFormat/>
    <w:uiPriority w:val="0"/>
    <w:pPr>
      <w:spacing w:before="240" w:after="60"/>
      <w:outlineLvl w:val="8"/>
    </w:pPr>
    <w:rPr>
      <w:rFonts w:ascii="Cambria" w:hAnsi="Cambria"/>
      <w:sz w:val="22"/>
      <w:szCs w:val="22"/>
    </w:rPr>
  </w:style>
  <w:style w:type="character" w:default="1" w:styleId="90">
    <w:name w:val="Default Paragraph Font"/>
    <w:unhideWhenUsed/>
    <w:uiPriority w:val="1"/>
  </w:style>
  <w:style w:type="table" w:default="1" w:styleId="88">
    <w:name w:val="Normal Table"/>
    <w:semiHidden/>
    <w:unhideWhenUsed/>
    <w:uiPriority w:val="99"/>
    <w:tblPr>
      <w:tblCellMar>
        <w:top w:w="0" w:type="dxa"/>
        <w:left w:w="108" w:type="dxa"/>
        <w:bottom w:w="0" w:type="dxa"/>
        <w:right w:w="108" w:type="dxa"/>
      </w:tblCellMar>
    </w:tblPr>
  </w:style>
  <w:style w:type="paragraph" w:styleId="2">
    <w:name w:val="macro"/>
    <w:link w:val="132"/>
    <w:semiHidden/>
    <w:qFormat/>
    <w:uiPriority w:val="0"/>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eastAsiaTheme="minorEastAsia"/>
      <w:lang w:val="en-US" w:eastAsia="en-US" w:bidi="ar-SA"/>
    </w:rPr>
  </w:style>
  <w:style w:type="paragraph" w:styleId="12">
    <w:name w:val="List 3"/>
    <w:basedOn w:val="1"/>
    <w:semiHidden/>
    <w:qFormat/>
    <w:uiPriority w:val="0"/>
    <w:pPr>
      <w:ind w:left="1080" w:hanging="360"/>
      <w:contextualSpacing/>
    </w:pPr>
  </w:style>
  <w:style w:type="paragraph" w:styleId="13">
    <w:name w:val="toc 7"/>
    <w:basedOn w:val="1"/>
    <w:next w:val="1"/>
    <w:autoRedefine/>
    <w:semiHidden/>
    <w:qFormat/>
    <w:uiPriority w:val="0"/>
    <w:pPr>
      <w:ind w:left="1440"/>
    </w:pPr>
  </w:style>
  <w:style w:type="paragraph" w:styleId="14">
    <w:name w:val="List Number 2"/>
    <w:basedOn w:val="1"/>
    <w:semiHidden/>
    <w:qFormat/>
    <w:uiPriority w:val="0"/>
    <w:pPr>
      <w:numPr>
        <w:ilvl w:val="0"/>
        <w:numId w:val="1"/>
      </w:numPr>
      <w:contextualSpacing/>
    </w:pPr>
  </w:style>
  <w:style w:type="paragraph" w:styleId="15">
    <w:name w:val="table of authorities"/>
    <w:basedOn w:val="1"/>
    <w:next w:val="1"/>
    <w:semiHidden/>
    <w:qFormat/>
    <w:uiPriority w:val="0"/>
    <w:pPr>
      <w:ind w:left="240" w:hanging="240"/>
    </w:pPr>
  </w:style>
  <w:style w:type="paragraph" w:styleId="16">
    <w:name w:val="Note Heading"/>
    <w:basedOn w:val="1"/>
    <w:next w:val="1"/>
    <w:link w:val="135"/>
    <w:semiHidden/>
    <w:qFormat/>
    <w:uiPriority w:val="0"/>
  </w:style>
  <w:style w:type="paragraph" w:styleId="17">
    <w:name w:val="List Bullet 4"/>
    <w:basedOn w:val="1"/>
    <w:semiHidden/>
    <w:qFormat/>
    <w:uiPriority w:val="0"/>
    <w:pPr>
      <w:numPr>
        <w:ilvl w:val="0"/>
        <w:numId w:val="2"/>
      </w:numPr>
      <w:contextualSpacing/>
    </w:pPr>
  </w:style>
  <w:style w:type="paragraph" w:styleId="18">
    <w:name w:val="index 8"/>
    <w:basedOn w:val="1"/>
    <w:next w:val="1"/>
    <w:autoRedefine/>
    <w:semiHidden/>
    <w:qFormat/>
    <w:uiPriority w:val="0"/>
    <w:pPr>
      <w:ind w:left="1920" w:hanging="240"/>
    </w:pPr>
  </w:style>
  <w:style w:type="paragraph" w:styleId="19">
    <w:name w:val="E-mail Signature"/>
    <w:basedOn w:val="1"/>
    <w:link w:val="122"/>
    <w:semiHidden/>
    <w:qFormat/>
    <w:uiPriority w:val="0"/>
  </w:style>
  <w:style w:type="paragraph" w:styleId="20">
    <w:name w:val="List Number"/>
    <w:basedOn w:val="1"/>
    <w:semiHidden/>
    <w:qFormat/>
    <w:uiPriority w:val="0"/>
    <w:pPr>
      <w:numPr>
        <w:ilvl w:val="0"/>
        <w:numId w:val="3"/>
      </w:numPr>
      <w:contextualSpacing/>
    </w:pPr>
  </w:style>
  <w:style w:type="paragraph" w:styleId="21">
    <w:name w:val="Normal Indent"/>
    <w:basedOn w:val="1"/>
    <w:semiHidden/>
    <w:qFormat/>
    <w:uiPriority w:val="0"/>
    <w:pPr>
      <w:ind w:left="720"/>
    </w:pPr>
  </w:style>
  <w:style w:type="paragraph" w:styleId="22">
    <w:name w:val="caption"/>
    <w:basedOn w:val="1"/>
    <w:next w:val="1"/>
    <w:semiHidden/>
    <w:qFormat/>
    <w:uiPriority w:val="0"/>
    <w:rPr>
      <w:b/>
      <w:bCs/>
      <w:sz w:val="20"/>
    </w:rPr>
  </w:style>
  <w:style w:type="paragraph" w:styleId="23">
    <w:name w:val="index 5"/>
    <w:basedOn w:val="1"/>
    <w:next w:val="1"/>
    <w:autoRedefine/>
    <w:semiHidden/>
    <w:qFormat/>
    <w:uiPriority w:val="0"/>
    <w:pPr>
      <w:ind w:left="1200" w:hanging="240"/>
    </w:pPr>
  </w:style>
  <w:style w:type="paragraph" w:styleId="24">
    <w:name w:val="List Bullet"/>
    <w:basedOn w:val="1"/>
    <w:semiHidden/>
    <w:qFormat/>
    <w:uiPriority w:val="0"/>
    <w:pPr>
      <w:numPr>
        <w:ilvl w:val="0"/>
        <w:numId w:val="4"/>
      </w:numPr>
      <w:contextualSpacing/>
    </w:pPr>
  </w:style>
  <w:style w:type="paragraph" w:styleId="25">
    <w:name w:val="envelope address"/>
    <w:basedOn w:val="1"/>
    <w:semiHidden/>
    <w:qFormat/>
    <w:uiPriority w:val="0"/>
    <w:pPr>
      <w:framePr w:w="7920" w:h="1980" w:hRule="exact" w:hSpace="180" w:wrap="auto" w:vAnchor="margin" w:hAnchor="page" w:xAlign="center" w:yAlign="bottom"/>
      <w:ind w:left="2880"/>
    </w:pPr>
    <w:rPr>
      <w:rFonts w:ascii="Cambria" w:hAnsi="Cambria"/>
      <w:szCs w:val="24"/>
    </w:rPr>
  </w:style>
  <w:style w:type="paragraph" w:styleId="26">
    <w:name w:val="Document Map"/>
    <w:basedOn w:val="1"/>
    <w:link w:val="121"/>
    <w:semiHidden/>
    <w:qFormat/>
    <w:uiPriority w:val="0"/>
    <w:rPr>
      <w:rFonts w:ascii="Tahoma" w:hAnsi="Tahoma" w:cs="Tahoma"/>
      <w:sz w:val="16"/>
      <w:szCs w:val="16"/>
    </w:rPr>
  </w:style>
  <w:style w:type="paragraph" w:styleId="27">
    <w:name w:val="toa heading"/>
    <w:basedOn w:val="1"/>
    <w:next w:val="1"/>
    <w:semiHidden/>
    <w:qFormat/>
    <w:uiPriority w:val="0"/>
    <w:pPr>
      <w:spacing w:before="120"/>
    </w:pPr>
    <w:rPr>
      <w:rFonts w:ascii="Cambria" w:hAnsi="Cambria"/>
      <w:b/>
      <w:bCs/>
      <w:szCs w:val="24"/>
    </w:rPr>
  </w:style>
  <w:style w:type="paragraph" w:styleId="28">
    <w:name w:val="annotation text"/>
    <w:basedOn w:val="1"/>
    <w:link w:val="118"/>
    <w:qFormat/>
    <w:uiPriority w:val="99"/>
    <w:rPr>
      <w:sz w:val="20"/>
    </w:rPr>
  </w:style>
  <w:style w:type="paragraph" w:styleId="29">
    <w:name w:val="index 6"/>
    <w:basedOn w:val="1"/>
    <w:next w:val="1"/>
    <w:autoRedefine/>
    <w:semiHidden/>
    <w:qFormat/>
    <w:uiPriority w:val="0"/>
    <w:pPr>
      <w:ind w:left="1440" w:hanging="240"/>
    </w:pPr>
  </w:style>
  <w:style w:type="paragraph" w:styleId="30">
    <w:name w:val="Salutation"/>
    <w:basedOn w:val="1"/>
    <w:next w:val="1"/>
    <w:link w:val="139"/>
    <w:semiHidden/>
    <w:qFormat/>
    <w:uiPriority w:val="0"/>
  </w:style>
  <w:style w:type="paragraph" w:styleId="31">
    <w:name w:val="Body Text 3"/>
    <w:basedOn w:val="1"/>
    <w:link w:val="111"/>
    <w:semiHidden/>
    <w:qFormat/>
    <w:uiPriority w:val="0"/>
    <w:pPr>
      <w:spacing w:after="120"/>
    </w:pPr>
    <w:rPr>
      <w:sz w:val="16"/>
      <w:szCs w:val="16"/>
    </w:rPr>
  </w:style>
  <w:style w:type="paragraph" w:styleId="32">
    <w:name w:val="Closing"/>
    <w:basedOn w:val="1"/>
    <w:link w:val="117"/>
    <w:semiHidden/>
    <w:qFormat/>
    <w:uiPriority w:val="0"/>
    <w:pPr>
      <w:ind w:left="4320"/>
    </w:pPr>
  </w:style>
  <w:style w:type="paragraph" w:styleId="33">
    <w:name w:val="List Bullet 3"/>
    <w:basedOn w:val="1"/>
    <w:semiHidden/>
    <w:qFormat/>
    <w:uiPriority w:val="0"/>
    <w:pPr>
      <w:numPr>
        <w:ilvl w:val="0"/>
        <w:numId w:val="5"/>
      </w:numPr>
      <w:contextualSpacing/>
    </w:pPr>
  </w:style>
  <w:style w:type="paragraph" w:styleId="34">
    <w:name w:val="Body Text"/>
    <w:basedOn w:val="1"/>
    <w:link w:val="109"/>
    <w:semiHidden/>
    <w:qFormat/>
    <w:uiPriority w:val="0"/>
    <w:pPr>
      <w:spacing w:after="120"/>
    </w:pPr>
  </w:style>
  <w:style w:type="paragraph" w:styleId="35">
    <w:name w:val="Body Text Indent"/>
    <w:basedOn w:val="1"/>
    <w:link w:val="113"/>
    <w:semiHidden/>
    <w:qFormat/>
    <w:uiPriority w:val="0"/>
    <w:pPr>
      <w:spacing w:after="120"/>
      <w:ind w:left="360"/>
    </w:pPr>
  </w:style>
  <w:style w:type="paragraph" w:styleId="36">
    <w:name w:val="List Number 3"/>
    <w:basedOn w:val="1"/>
    <w:semiHidden/>
    <w:qFormat/>
    <w:uiPriority w:val="0"/>
    <w:pPr>
      <w:numPr>
        <w:ilvl w:val="0"/>
        <w:numId w:val="6"/>
      </w:numPr>
      <w:contextualSpacing/>
    </w:pPr>
  </w:style>
  <w:style w:type="paragraph" w:styleId="37">
    <w:name w:val="List 2"/>
    <w:basedOn w:val="1"/>
    <w:semiHidden/>
    <w:qFormat/>
    <w:uiPriority w:val="0"/>
    <w:pPr>
      <w:ind w:left="720" w:hanging="360"/>
      <w:contextualSpacing/>
    </w:pPr>
  </w:style>
  <w:style w:type="paragraph" w:styleId="38">
    <w:name w:val="List Continue"/>
    <w:basedOn w:val="1"/>
    <w:semiHidden/>
    <w:qFormat/>
    <w:uiPriority w:val="0"/>
    <w:pPr>
      <w:spacing w:after="120"/>
      <w:ind w:left="360"/>
      <w:contextualSpacing/>
    </w:pPr>
  </w:style>
  <w:style w:type="paragraph" w:styleId="39">
    <w:name w:val="Block Text"/>
    <w:basedOn w:val="1"/>
    <w:semiHidden/>
    <w:qFormat/>
    <w:uiPriority w:val="0"/>
    <w:pPr>
      <w:spacing w:after="120"/>
      <w:ind w:left="1440" w:right="1440"/>
    </w:pPr>
  </w:style>
  <w:style w:type="paragraph" w:styleId="40">
    <w:name w:val="List Bullet 2"/>
    <w:basedOn w:val="1"/>
    <w:semiHidden/>
    <w:qFormat/>
    <w:uiPriority w:val="0"/>
    <w:pPr>
      <w:numPr>
        <w:ilvl w:val="0"/>
        <w:numId w:val="7"/>
      </w:numPr>
      <w:contextualSpacing/>
    </w:pPr>
  </w:style>
  <w:style w:type="paragraph" w:styleId="41">
    <w:name w:val="HTML Address"/>
    <w:basedOn w:val="1"/>
    <w:link w:val="127"/>
    <w:semiHidden/>
    <w:qFormat/>
    <w:uiPriority w:val="0"/>
    <w:rPr>
      <w:i/>
      <w:iCs/>
    </w:rPr>
  </w:style>
  <w:style w:type="paragraph" w:styleId="42">
    <w:name w:val="index 4"/>
    <w:basedOn w:val="1"/>
    <w:next w:val="1"/>
    <w:autoRedefine/>
    <w:semiHidden/>
    <w:qFormat/>
    <w:uiPriority w:val="0"/>
    <w:pPr>
      <w:ind w:left="960" w:hanging="240"/>
    </w:pPr>
  </w:style>
  <w:style w:type="paragraph" w:styleId="43">
    <w:name w:val="toc 5"/>
    <w:basedOn w:val="1"/>
    <w:next w:val="1"/>
    <w:autoRedefine/>
    <w:semiHidden/>
    <w:qFormat/>
    <w:uiPriority w:val="0"/>
    <w:pPr>
      <w:ind w:left="960"/>
    </w:pPr>
  </w:style>
  <w:style w:type="paragraph" w:styleId="44">
    <w:name w:val="toc 3"/>
    <w:basedOn w:val="1"/>
    <w:next w:val="1"/>
    <w:autoRedefine/>
    <w:semiHidden/>
    <w:qFormat/>
    <w:uiPriority w:val="0"/>
    <w:pPr>
      <w:ind w:left="480"/>
    </w:pPr>
  </w:style>
  <w:style w:type="paragraph" w:styleId="45">
    <w:name w:val="Plain Text"/>
    <w:basedOn w:val="1"/>
    <w:link w:val="136"/>
    <w:semiHidden/>
    <w:qFormat/>
    <w:uiPriority w:val="0"/>
    <w:rPr>
      <w:rFonts w:ascii="Courier New" w:hAnsi="Courier New" w:cs="Courier New"/>
      <w:sz w:val="20"/>
    </w:rPr>
  </w:style>
  <w:style w:type="paragraph" w:styleId="46">
    <w:name w:val="List Bullet 5"/>
    <w:basedOn w:val="1"/>
    <w:semiHidden/>
    <w:qFormat/>
    <w:uiPriority w:val="0"/>
    <w:pPr>
      <w:numPr>
        <w:ilvl w:val="0"/>
        <w:numId w:val="8"/>
      </w:numPr>
      <w:contextualSpacing/>
    </w:pPr>
  </w:style>
  <w:style w:type="paragraph" w:styleId="47">
    <w:name w:val="List Number 4"/>
    <w:basedOn w:val="1"/>
    <w:semiHidden/>
    <w:qFormat/>
    <w:uiPriority w:val="0"/>
    <w:pPr>
      <w:numPr>
        <w:ilvl w:val="0"/>
        <w:numId w:val="9"/>
      </w:numPr>
      <w:contextualSpacing/>
    </w:pPr>
  </w:style>
  <w:style w:type="paragraph" w:styleId="48">
    <w:name w:val="toc 8"/>
    <w:basedOn w:val="1"/>
    <w:next w:val="1"/>
    <w:autoRedefine/>
    <w:semiHidden/>
    <w:qFormat/>
    <w:uiPriority w:val="0"/>
    <w:pPr>
      <w:ind w:left="1680"/>
    </w:pPr>
  </w:style>
  <w:style w:type="paragraph" w:styleId="49">
    <w:name w:val="index 3"/>
    <w:basedOn w:val="1"/>
    <w:next w:val="1"/>
    <w:autoRedefine/>
    <w:semiHidden/>
    <w:qFormat/>
    <w:uiPriority w:val="0"/>
    <w:pPr>
      <w:ind w:left="720" w:hanging="240"/>
    </w:pPr>
  </w:style>
  <w:style w:type="paragraph" w:styleId="50">
    <w:name w:val="Date"/>
    <w:basedOn w:val="1"/>
    <w:next w:val="1"/>
    <w:link w:val="120"/>
    <w:semiHidden/>
    <w:qFormat/>
    <w:uiPriority w:val="0"/>
  </w:style>
  <w:style w:type="paragraph" w:styleId="51">
    <w:name w:val="Body Text Indent 2"/>
    <w:basedOn w:val="1"/>
    <w:link w:val="115"/>
    <w:semiHidden/>
    <w:qFormat/>
    <w:uiPriority w:val="0"/>
    <w:pPr>
      <w:spacing w:after="120" w:line="480" w:lineRule="auto"/>
      <w:ind w:left="360"/>
    </w:pPr>
  </w:style>
  <w:style w:type="paragraph" w:styleId="52">
    <w:name w:val="endnote text"/>
    <w:basedOn w:val="1"/>
    <w:link w:val="123"/>
    <w:semiHidden/>
    <w:qFormat/>
    <w:uiPriority w:val="0"/>
    <w:rPr>
      <w:sz w:val="20"/>
    </w:rPr>
  </w:style>
  <w:style w:type="paragraph" w:styleId="53">
    <w:name w:val="List Continue 5"/>
    <w:basedOn w:val="1"/>
    <w:semiHidden/>
    <w:qFormat/>
    <w:uiPriority w:val="0"/>
    <w:pPr>
      <w:spacing w:after="120"/>
      <w:ind w:left="1800"/>
      <w:contextualSpacing/>
    </w:pPr>
  </w:style>
  <w:style w:type="paragraph" w:styleId="54">
    <w:name w:val="Balloon Text"/>
    <w:basedOn w:val="1"/>
    <w:link w:val="107"/>
    <w:semiHidden/>
    <w:qFormat/>
    <w:uiPriority w:val="0"/>
    <w:rPr>
      <w:rFonts w:ascii="Tahoma" w:hAnsi="Tahoma" w:cs="Tahoma"/>
      <w:sz w:val="16"/>
      <w:szCs w:val="16"/>
    </w:rPr>
  </w:style>
  <w:style w:type="paragraph" w:styleId="55">
    <w:name w:val="footer"/>
    <w:basedOn w:val="1"/>
    <w:link w:val="124"/>
    <w:qFormat/>
    <w:uiPriority w:val="99"/>
    <w:pPr>
      <w:tabs>
        <w:tab w:val="center" w:pos="4680"/>
        <w:tab w:val="right" w:pos="9360"/>
      </w:tabs>
    </w:pPr>
  </w:style>
  <w:style w:type="paragraph" w:styleId="56">
    <w:name w:val="envelope return"/>
    <w:basedOn w:val="1"/>
    <w:semiHidden/>
    <w:qFormat/>
    <w:uiPriority w:val="0"/>
    <w:rPr>
      <w:rFonts w:ascii="Cambria" w:hAnsi="Cambria"/>
      <w:sz w:val="20"/>
    </w:rPr>
  </w:style>
  <w:style w:type="paragraph" w:styleId="57">
    <w:name w:val="header"/>
    <w:basedOn w:val="1"/>
    <w:link w:val="126"/>
    <w:qFormat/>
    <w:uiPriority w:val="99"/>
    <w:pPr>
      <w:tabs>
        <w:tab w:val="center" w:pos="4680"/>
        <w:tab w:val="right" w:pos="9360"/>
      </w:tabs>
    </w:pPr>
  </w:style>
  <w:style w:type="paragraph" w:styleId="58">
    <w:name w:val="Signature"/>
    <w:basedOn w:val="1"/>
    <w:link w:val="140"/>
    <w:semiHidden/>
    <w:qFormat/>
    <w:uiPriority w:val="0"/>
    <w:pPr>
      <w:ind w:left="4320"/>
    </w:pPr>
  </w:style>
  <w:style w:type="paragraph" w:styleId="59">
    <w:name w:val="toc 1"/>
    <w:basedOn w:val="1"/>
    <w:next w:val="1"/>
    <w:autoRedefine/>
    <w:semiHidden/>
    <w:qFormat/>
    <w:uiPriority w:val="0"/>
  </w:style>
  <w:style w:type="paragraph" w:styleId="60">
    <w:name w:val="List Continue 4"/>
    <w:basedOn w:val="1"/>
    <w:semiHidden/>
    <w:qFormat/>
    <w:uiPriority w:val="0"/>
    <w:pPr>
      <w:spacing w:after="120"/>
      <w:ind w:left="1440"/>
      <w:contextualSpacing/>
    </w:pPr>
  </w:style>
  <w:style w:type="paragraph" w:styleId="61">
    <w:name w:val="toc 4"/>
    <w:basedOn w:val="1"/>
    <w:next w:val="1"/>
    <w:autoRedefine/>
    <w:semiHidden/>
    <w:qFormat/>
    <w:uiPriority w:val="0"/>
    <w:pPr>
      <w:ind w:left="720"/>
    </w:pPr>
  </w:style>
  <w:style w:type="paragraph" w:styleId="62">
    <w:name w:val="index heading"/>
    <w:basedOn w:val="1"/>
    <w:next w:val="63"/>
    <w:semiHidden/>
    <w:qFormat/>
    <w:uiPriority w:val="0"/>
    <w:rPr>
      <w:rFonts w:ascii="Cambria" w:hAnsi="Cambria"/>
      <w:b/>
      <w:bCs/>
    </w:rPr>
  </w:style>
  <w:style w:type="paragraph" w:styleId="63">
    <w:name w:val="index 1"/>
    <w:basedOn w:val="1"/>
    <w:next w:val="1"/>
    <w:autoRedefine/>
    <w:semiHidden/>
    <w:qFormat/>
    <w:uiPriority w:val="0"/>
    <w:pPr>
      <w:ind w:left="240" w:hanging="240"/>
    </w:pPr>
  </w:style>
  <w:style w:type="paragraph" w:styleId="64">
    <w:name w:val="Subtitle"/>
    <w:basedOn w:val="1"/>
    <w:next w:val="1"/>
    <w:link w:val="141"/>
    <w:semiHidden/>
    <w:qFormat/>
    <w:uiPriority w:val="0"/>
    <w:pPr>
      <w:spacing w:after="60"/>
      <w:jc w:val="center"/>
      <w:outlineLvl w:val="1"/>
    </w:pPr>
    <w:rPr>
      <w:rFonts w:ascii="Cambria" w:hAnsi="Cambria"/>
      <w:szCs w:val="24"/>
    </w:rPr>
  </w:style>
  <w:style w:type="paragraph" w:styleId="65">
    <w:name w:val="List Number 5"/>
    <w:basedOn w:val="1"/>
    <w:semiHidden/>
    <w:qFormat/>
    <w:uiPriority w:val="0"/>
    <w:pPr>
      <w:numPr>
        <w:ilvl w:val="0"/>
        <w:numId w:val="10"/>
      </w:numPr>
      <w:contextualSpacing/>
    </w:pPr>
  </w:style>
  <w:style w:type="paragraph" w:styleId="66">
    <w:name w:val="List"/>
    <w:basedOn w:val="1"/>
    <w:semiHidden/>
    <w:qFormat/>
    <w:uiPriority w:val="0"/>
    <w:pPr>
      <w:ind w:left="360" w:hanging="360"/>
      <w:contextualSpacing/>
    </w:pPr>
  </w:style>
  <w:style w:type="paragraph" w:styleId="67">
    <w:name w:val="footnote text"/>
    <w:basedOn w:val="1"/>
    <w:link w:val="125"/>
    <w:semiHidden/>
    <w:qFormat/>
    <w:uiPriority w:val="0"/>
    <w:rPr>
      <w:sz w:val="20"/>
    </w:rPr>
  </w:style>
  <w:style w:type="paragraph" w:styleId="68">
    <w:name w:val="toc 6"/>
    <w:basedOn w:val="1"/>
    <w:next w:val="1"/>
    <w:autoRedefine/>
    <w:semiHidden/>
    <w:qFormat/>
    <w:uiPriority w:val="0"/>
    <w:pPr>
      <w:ind w:left="1200"/>
    </w:pPr>
  </w:style>
  <w:style w:type="paragraph" w:styleId="69">
    <w:name w:val="List 5"/>
    <w:basedOn w:val="1"/>
    <w:semiHidden/>
    <w:qFormat/>
    <w:uiPriority w:val="0"/>
    <w:pPr>
      <w:ind w:left="1800" w:hanging="360"/>
      <w:contextualSpacing/>
    </w:pPr>
  </w:style>
  <w:style w:type="paragraph" w:styleId="70">
    <w:name w:val="Body Text Indent 3"/>
    <w:basedOn w:val="1"/>
    <w:link w:val="116"/>
    <w:semiHidden/>
    <w:qFormat/>
    <w:uiPriority w:val="0"/>
    <w:pPr>
      <w:spacing w:after="120"/>
      <w:ind w:left="360"/>
    </w:pPr>
    <w:rPr>
      <w:sz w:val="16"/>
      <w:szCs w:val="16"/>
    </w:rPr>
  </w:style>
  <w:style w:type="paragraph" w:styleId="71">
    <w:name w:val="index 7"/>
    <w:basedOn w:val="1"/>
    <w:next w:val="1"/>
    <w:autoRedefine/>
    <w:semiHidden/>
    <w:qFormat/>
    <w:uiPriority w:val="0"/>
    <w:pPr>
      <w:ind w:left="1680" w:hanging="240"/>
    </w:pPr>
  </w:style>
  <w:style w:type="paragraph" w:styleId="72">
    <w:name w:val="index 9"/>
    <w:basedOn w:val="1"/>
    <w:next w:val="1"/>
    <w:autoRedefine/>
    <w:semiHidden/>
    <w:qFormat/>
    <w:uiPriority w:val="0"/>
    <w:pPr>
      <w:ind w:left="2160" w:hanging="240"/>
    </w:pPr>
  </w:style>
  <w:style w:type="paragraph" w:styleId="73">
    <w:name w:val="table of figures"/>
    <w:basedOn w:val="1"/>
    <w:next w:val="1"/>
    <w:semiHidden/>
    <w:qFormat/>
    <w:uiPriority w:val="0"/>
  </w:style>
  <w:style w:type="paragraph" w:styleId="74">
    <w:name w:val="toc 2"/>
    <w:basedOn w:val="1"/>
    <w:next w:val="1"/>
    <w:autoRedefine/>
    <w:semiHidden/>
    <w:qFormat/>
    <w:uiPriority w:val="0"/>
    <w:pPr>
      <w:ind w:left="240"/>
    </w:pPr>
  </w:style>
  <w:style w:type="paragraph" w:styleId="75">
    <w:name w:val="toc 9"/>
    <w:basedOn w:val="1"/>
    <w:next w:val="1"/>
    <w:autoRedefine/>
    <w:semiHidden/>
    <w:qFormat/>
    <w:uiPriority w:val="0"/>
    <w:pPr>
      <w:ind w:left="1920"/>
    </w:pPr>
  </w:style>
  <w:style w:type="paragraph" w:styleId="76">
    <w:name w:val="Body Text 2"/>
    <w:basedOn w:val="1"/>
    <w:link w:val="110"/>
    <w:semiHidden/>
    <w:qFormat/>
    <w:uiPriority w:val="0"/>
    <w:pPr>
      <w:spacing w:after="120" w:line="480" w:lineRule="auto"/>
    </w:pPr>
  </w:style>
  <w:style w:type="paragraph" w:styleId="77">
    <w:name w:val="List 4"/>
    <w:basedOn w:val="1"/>
    <w:semiHidden/>
    <w:qFormat/>
    <w:uiPriority w:val="0"/>
    <w:pPr>
      <w:ind w:left="1440" w:hanging="360"/>
      <w:contextualSpacing/>
    </w:pPr>
  </w:style>
  <w:style w:type="paragraph" w:styleId="78">
    <w:name w:val="List Continue 2"/>
    <w:basedOn w:val="1"/>
    <w:semiHidden/>
    <w:qFormat/>
    <w:uiPriority w:val="0"/>
    <w:pPr>
      <w:spacing w:after="120"/>
      <w:ind w:left="720"/>
      <w:contextualSpacing/>
    </w:pPr>
  </w:style>
  <w:style w:type="paragraph" w:styleId="79">
    <w:name w:val="Message Header"/>
    <w:basedOn w:val="1"/>
    <w:link w:val="133"/>
    <w:semiHidden/>
    <w:qFormat/>
    <w:uiPriority w:val="0"/>
    <w:pPr>
      <w:pBdr>
        <w:top w:val="single" w:color="auto" w:sz="6" w:space="1"/>
        <w:left w:val="single" w:color="auto" w:sz="6" w:space="1"/>
        <w:bottom w:val="single" w:color="auto" w:sz="6" w:space="1"/>
        <w:right w:val="single" w:color="auto" w:sz="6" w:space="1"/>
      </w:pBdr>
      <w:shd w:val="pct20" w:color="auto" w:fill="auto"/>
      <w:ind w:left="1080" w:hanging="1080"/>
    </w:pPr>
    <w:rPr>
      <w:rFonts w:ascii="Cambria" w:hAnsi="Cambria"/>
      <w:szCs w:val="24"/>
    </w:rPr>
  </w:style>
  <w:style w:type="paragraph" w:styleId="80">
    <w:name w:val="HTML Preformatted"/>
    <w:basedOn w:val="1"/>
    <w:link w:val="128"/>
    <w:semiHidden/>
    <w:qFormat/>
    <w:uiPriority w:val="0"/>
    <w:rPr>
      <w:rFonts w:ascii="Courier New" w:hAnsi="Courier New" w:cs="Courier New"/>
      <w:sz w:val="20"/>
    </w:rPr>
  </w:style>
  <w:style w:type="paragraph" w:styleId="81">
    <w:name w:val="Normal (Web)"/>
    <w:basedOn w:val="1"/>
    <w:qFormat/>
    <w:uiPriority w:val="99"/>
    <w:rPr>
      <w:szCs w:val="24"/>
    </w:rPr>
  </w:style>
  <w:style w:type="paragraph" w:styleId="82">
    <w:name w:val="List Continue 3"/>
    <w:basedOn w:val="1"/>
    <w:semiHidden/>
    <w:qFormat/>
    <w:uiPriority w:val="0"/>
    <w:pPr>
      <w:spacing w:after="120"/>
      <w:ind w:left="1080"/>
      <w:contextualSpacing/>
    </w:pPr>
  </w:style>
  <w:style w:type="paragraph" w:styleId="83">
    <w:name w:val="index 2"/>
    <w:basedOn w:val="1"/>
    <w:next w:val="1"/>
    <w:autoRedefine/>
    <w:semiHidden/>
    <w:qFormat/>
    <w:uiPriority w:val="0"/>
    <w:pPr>
      <w:ind w:left="480" w:hanging="240"/>
    </w:pPr>
  </w:style>
  <w:style w:type="paragraph" w:styleId="84">
    <w:name w:val="Title"/>
    <w:basedOn w:val="1"/>
    <w:next w:val="1"/>
    <w:link w:val="142"/>
    <w:semiHidden/>
    <w:qFormat/>
    <w:uiPriority w:val="0"/>
    <w:pPr>
      <w:spacing w:before="240" w:after="60"/>
      <w:jc w:val="center"/>
      <w:outlineLvl w:val="0"/>
    </w:pPr>
    <w:rPr>
      <w:rFonts w:ascii="Cambria" w:hAnsi="Cambria"/>
      <w:b/>
      <w:bCs/>
      <w:kern w:val="28"/>
      <w:sz w:val="32"/>
      <w:szCs w:val="32"/>
    </w:rPr>
  </w:style>
  <w:style w:type="paragraph" w:styleId="85">
    <w:name w:val="annotation subject"/>
    <w:basedOn w:val="28"/>
    <w:next w:val="28"/>
    <w:link w:val="119"/>
    <w:semiHidden/>
    <w:qFormat/>
    <w:uiPriority w:val="0"/>
    <w:rPr>
      <w:b/>
      <w:bCs/>
    </w:rPr>
  </w:style>
  <w:style w:type="paragraph" w:styleId="86">
    <w:name w:val="Body Text First Indent"/>
    <w:basedOn w:val="34"/>
    <w:link w:val="112"/>
    <w:semiHidden/>
    <w:qFormat/>
    <w:uiPriority w:val="0"/>
    <w:pPr>
      <w:ind w:firstLine="210"/>
    </w:pPr>
  </w:style>
  <w:style w:type="paragraph" w:styleId="87">
    <w:name w:val="Body Text First Indent 2"/>
    <w:basedOn w:val="35"/>
    <w:link w:val="114"/>
    <w:semiHidden/>
    <w:qFormat/>
    <w:uiPriority w:val="0"/>
    <w:pPr>
      <w:ind w:firstLine="210"/>
    </w:pPr>
  </w:style>
  <w:style w:type="table" w:styleId="89">
    <w:name w:val="Table Grid"/>
    <w:basedOn w:val="88"/>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1">
    <w:name w:val="Strong"/>
    <w:qFormat/>
    <w:uiPriority w:val="22"/>
    <w:rPr>
      <w:b/>
      <w:bCs/>
    </w:rPr>
  </w:style>
  <w:style w:type="character" w:styleId="92">
    <w:name w:val="page number"/>
    <w:basedOn w:val="90"/>
    <w:semiHidden/>
    <w:qFormat/>
    <w:uiPriority w:val="0"/>
  </w:style>
  <w:style w:type="character" w:styleId="93">
    <w:name w:val="FollowedHyperlink"/>
    <w:semiHidden/>
    <w:unhideWhenUsed/>
    <w:qFormat/>
    <w:uiPriority w:val="0"/>
    <w:rPr>
      <w:color w:val="800080"/>
      <w:u w:val="single"/>
    </w:rPr>
  </w:style>
  <w:style w:type="character" w:styleId="94">
    <w:name w:val="Hyperlink"/>
    <w:qFormat/>
    <w:uiPriority w:val="99"/>
    <w:rPr>
      <w:color w:val="0000FF"/>
      <w:u w:val="single"/>
    </w:rPr>
  </w:style>
  <w:style w:type="character" w:styleId="95">
    <w:name w:val="annotation reference"/>
    <w:unhideWhenUsed/>
    <w:qFormat/>
    <w:uiPriority w:val="99"/>
    <w:rPr>
      <w:sz w:val="16"/>
      <w:szCs w:val="16"/>
    </w:rPr>
  </w:style>
  <w:style w:type="character" w:customStyle="1" w:styleId="96">
    <w:name w:val="标题 1 字符"/>
    <w:link w:val="3"/>
    <w:qFormat/>
    <w:uiPriority w:val="9"/>
    <w:rPr>
      <w:b/>
      <w:bCs/>
      <w:kern w:val="32"/>
      <w:sz w:val="24"/>
      <w:szCs w:val="24"/>
    </w:rPr>
  </w:style>
  <w:style w:type="character" w:customStyle="1" w:styleId="97">
    <w:name w:val="标题 2 字符"/>
    <w:link w:val="4"/>
    <w:semiHidden/>
    <w:qFormat/>
    <w:uiPriority w:val="0"/>
    <w:rPr>
      <w:rFonts w:ascii="Cambria" w:hAnsi="Cambria"/>
      <w:b/>
      <w:bCs/>
      <w:i/>
      <w:iCs/>
      <w:sz w:val="28"/>
      <w:szCs w:val="28"/>
    </w:rPr>
  </w:style>
  <w:style w:type="character" w:customStyle="1" w:styleId="98">
    <w:name w:val="标题 5 字符"/>
    <w:link w:val="7"/>
    <w:semiHidden/>
    <w:qFormat/>
    <w:uiPriority w:val="0"/>
    <w:rPr>
      <w:rFonts w:ascii="Calibri" w:hAnsi="Calibri"/>
      <w:b/>
      <w:bCs/>
      <w:i/>
      <w:iCs/>
      <w:sz w:val="26"/>
      <w:szCs w:val="26"/>
    </w:rPr>
  </w:style>
  <w:style w:type="character" w:customStyle="1" w:styleId="99">
    <w:name w:val="标题 6 字符"/>
    <w:link w:val="8"/>
    <w:semiHidden/>
    <w:qFormat/>
    <w:uiPriority w:val="0"/>
    <w:rPr>
      <w:rFonts w:ascii="Calibri" w:hAnsi="Calibri"/>
      <w:b/>
      <w:bCs/>
      <w:sz w:val="22"/>
      <w:szCs w:val="22"/>
    </w:rPr>
  </w:style>
  <w:style w:type="character" w:customStyle="1" w:styleId="100">
    <w:name w:val="标题 7 字符"/>
    <w:link w:val="9"/>
    <w:semiHidden/>
    <w:qFormat/>
    <w:uiPriority w:val="0"/>
    <w:rPr>
      <w:rFonts w:ascii="Calibri" w:hAnsi="Calibri"/>
      <w:sz w:val="24"/>
      <w:szCs w:val="24"/>
    </w:rPr>
  </w:style>
  <w:style w:type="character" w:customStyle="1" w:styleId="101">
    <w:name w:val="标题 8 字符"/>
    <w:link w:val="10"/>
    <w:semiHidden/>
    <w:qFormat/>
    <w:uiPriority w:val="0"/>
    <w:rPr>
      <w:rFonts w:ascii="Calibri" w:hAnsi="Calibri"/>
      <w:i/>
      <w:iCs/>
      <w:sz w:val="24"/>
      <w:szCs w:val="24"/>
    </w:rPr>
  </w:style>
  <w:style w:type="character" w:customStyle="1" w:styleId="102">
    <w:name w:val="标题 9 字符"/>
    <w:link w:val="11"/>
    <w:semiHidden/>
    <w:qFormat/>
    <w:uiPriority w:val="0"/>
    <w:rPr>
      <w:rFonts w:ascii="Cambria" w:hAnsi="Cambria"/>
      <w:sz w:val="22"/>
      <w:szCs w:val="22"/>
    </w:rPr>
  </w:style>
  <w:style w:type="paragraph" w:customStyle="1" w:styleId="103">
    <w:name w:val="SM Heading"/>
    <w:basedOn w:val="3"/>
    <w:qFormat/>
    <w:uiPriority w:val="0"/>
  </w:style>
  <w:style w:type="paragraph" w:customStyle="1" w:styleId="104">
    <w:name w:val="SM Subheading"/>
    <w:basedOn w:val="1"/>
    <w:qFormat/>
    <w:uiPriority w:val="0"/>
    <w:rPr>
      <w:u w:val="words"/>
    </w:rPr>
  </w:style>
  <w:style w:type="paragraph" w:customStyle="1" w:styleId="105">
    <w:name w:val="SM Text"/>
    <w:basedOn w:val="1"/>
    <w:qFormat/>
    <w:uiPriority w:val="0"/>
    <w:pPr>
      <w:ind w:firstLine="480"/>
    </w:pPr>
  </w:style>
  <w:style w:type="paragraph" w:customStyle="1" w:styleId="106">
    <w:name w:val="SM caption"/>
    <w:basedOn w:val="105"/>
    <w:qFormat/>
    <w:uiPriority w:val="0"/>
    <w:pPr>
      <w:ind w:firstLine="0"/>
    </w:pPr>
  </w:style>
  <w:style w:type="character" w:customStyle="1" w:styleId="107">
    <w:name w:val="批注框文本 字符"/>
    <w:link w:val="54"/>
    <w:semiHidden/>
    <w:qFormat/>
    <w:uiPriority w:val="0"/>
    <w:rPr>
      <w:rFonts w:ascii="Tahoma" w:hAnsi="Tahoma" w:cs="Tahoma"/>
      <w:sz w:val="16"/>
      <w:szCs w:val="16"/>
    </w:rPr>
  </w:style>
  <w:style w:type="paragraph" w:customStyle="1" w:styleId="108">
    <w:name w:val="书目1"/>
    <w:basedOn w:val="1"/>
    <w:next w:val="1"/>
    <w:semiHidden/>
    <w:qFormat/>
    <w:uiPriority w:val="37"/>
  </w:style>
  <w:style w:type="character" w:customStyle="1" w:styleId="109">
    <w:name w:val="正文文本 字符"/>
    <w:link w:val="34"/>
    <w:semiHidden/>
    <w:qFormat/>
    <w:uiPriority w:val="0"/>
    <w:rPr>
      <w:sz w:val="24"/>
    </w:rPr>
  </w:style>
  <w:style w:type="character" w:customStyle="1" w:styleId="110">
    <w:name w:val="正文文本 2 字符"/>
    <w:link w:val="76"/>
    <w:semiHidden/>
    <w:qFormat/>
    <w:uiPriority w:val="0"/>
    <w:rPr>
      <w:sz w:val="24"/>
    </w:rPr>
  </w:style>
  <w:style w:type="character" w:customStyle="1" w:styleId="111">
    <w:name w:val="正文文本 3 字符"/>
    <w:link w:val="31"/>
    <w:semiHidden/>
    <w:qFormat/>
    <w:uiPriority w:val="0"/>
    <w:rPr>
      <w:sz w:val="16"/>
      <w:szCs w:val="16"/>
    </w:rPr>
  </w:style>
  <w:style w:type="character" w:customStyle="1" w:styleId="112">
    <w:name w:val="正文文本首行缩进 字符"/>
    <w:link w:val="86"/>
    <w:semiHidden/>
    <w:qFormat/>
    <w:uiPriority w:val="0"/>
    <w:rPr>
      <w:sz w:val="24"/>
    </w:rPr>
  </w:style>
  <w:style w:type="character" w:customStyle="1" w:styleId="113">
    <w:name w:val="正文文本缩进 字符"/>
    <w:link w:val="35"/>
    <w:semiHidden/>
    <w:qFormat/>
    <w:uiPriority w:val="0"/>
    <w:rPr>
      <w:sz w:val="24"/>
    </w:rPr>
  </w:style>
  <w:style w:type="character" w:customStyle="1" w:styleId="114">
    <w:name w:val="正文文本首行缩进 2 字符"/>
    <w:link w:val="87"/>
    <w:semiHidden/>
    <w:qFormat/>
    <w:uiPriority w:val="0"/>
    <w:rPr>
      <w:sz w:val="24"/>
    </w:rPr>
  </w:style>
  <w:style w:type="character" w:customStyle="1" w:styleId="115">
    <w:name w:val="正文文本缩进 2 字符"/>
    <w:link w:val="51"/>
    <w:semiHidden/>
    <w:qFormat/>
    <w:uiPriority w:val="0"/>
    <w:rPr>
      <w:sz w:val="24"/>
    </w:rPr>
  </w:style>
  <w:style w:type="character" w:customStyle="1" w:styleId="116">
    <w:name w:val="正文文本缩进 3 字符"/>
    <w:link w:val="70"/>
    <w:semiHidden/>
    <w:qFormat/>
    <w:uiPriority w:val="0"/>
    <w:rPr>
      <w:sz w:val="16"/>
      <w:szCs w:val="16"/>
    </w:rPr>
  </w:style>
  <w:style w:type="character" w:customStyle="1" w:styleId="117">
    <w:name w:val="结束语 字符"/>
    <w:link w:val="32"/>
    <w:semiHidden/>
    <w:qFormat/>
    <w:uiPriority w:val="0"/>
    <w:rPr>
      <w:sz w:val="24"/>
    </w:rPr>
  </w:style>
  <w:style w:type="character" w:customStyle="1" w:styleId="118">
    <w:name w:val="批注文字 字符"/>
    <w:basedOn w:val="90"/>
    <w:link w:val="28"/>
    <w:semiHidden/>
    <w:qFormat/>
    <w:uiPriority w:val="0"/>
  </w:style>
  <w:style w:type="character" w:customStyle="1" w:styleId="119">
    <w:name w:val="批注主题 字符"/>
    <w:link w:val="85"/>
    <w:semiHidden/>
    <w:qFormat/>
    <w:uiPriority w:val="0"/>
    <w:rPr>
      <w:b/>
      <w:bCs/>
    </w:rPr>
  </w:style>
  <w:style w:type="character" w:customStyle="1" w:styleId="120">
    <w:name w:val="日期 字符"/>
    <w:link w:val="50"/>
    <w:semiHidden/>
    <w:qFormat/>
    <w:uiPriority w:val="0"/>
    <w:rPr>
      <w:sz w:val="24"/>
    </w:rPr>
  </w:style>
  <w:style w:type="character" w:customStyle="1" w:styleId="121">
    <w:name w:val="文档结构图 字符"/>
    <w:link w:val="26"/>
    <w:semiHidden/>
    <w:qFormat/>
    <w:uiPriority w:val="0"/>
    <w:rPr>
      <w:rFonts w:ascii="Tahoma" w:hAnsi="Tahoma" w:cs="Tahoma"/>
      <w:sz w:val="16"/>
      <w:szCs w:val="16"/>
    </w:rPr>
  </w:style>
  <w:style w:type="character" w:customStyle="1" w:styleId="122">
    <w:name w:val="电子邮件签名 字符"/>
    <w:link w:val="19"/>
    <w:semiHidden/>
    <w:qFormat/>
    <w:uiPriority w:val="0"/>
    <w:rPr>
      <w:sz w:val="24"/>
    </w:rPr>
  </w:style>
  <w:style w:type="character" w:customStyle="1" w:styleId="123">
    <w:name w:val="尾注文本 字符"/>
    <w:basedOn w:val="90"/>
    <w:link w:val="52"/>
    <w:semiHidden/>
    <w:qFormat/>
    <w:uiPriority w:val="0"/>
  </w:style>
  <w:style w:type="character" w:customStyle="1" w:styleId="124">
    <w:name w:val="页脚 字符"/>
    <w:link w:val="55"/>
    <w:qFormat/>
    <w:uiPriority w:val="99"/>
    <w:rPr>
      <w:sz w:val="24"/>
    </w:rPr>
  </w:style>
  <w:style w:type="character" w:customStyle="1" w:styleId="125">
    <w:name w:val="脚注文本 字符"/>
    <w:basedOn w:val="90"/>
    <w:link w:val="67"/>
    <w:semiHidden/>
    <w:qFormat/>
    <w:uiPriority w:val="0"/>
  </w:style>
  <w:style w:type="character" w:customStyle="1" w:styleId="126">
    <w:name w:val="页眉 字符"/>
    <w:link w:val="57"/>
    <w:qFormat/>
    <w:uiPriority w:val="99"/>
    <w:rPr>
      <w:sz w:val="24"/>
    </w:rPr>
  </w:style>
  <w:style w:type="character" w:customStyle="1" w:styleId="127">
    <w:name w:val="HTML 地址 字符"/>
    <w:link w:val="41"/>
    <w:semiHidden/>
    <w:qFormat/>
    <w:uiPriority w:val="0"/>
    <w:rPr>
      <w:i/>
      <w:iCs/>
      <w:sz w:val="24"/>
    </w:rPr>
  </w:style>
  <w:style w:type="character" w:customStyle="1" w:styleId="128">
    <w:name w:val="HTML 预设格式 字符"/>
    <w:link w:val="80"/>
    <w:semiHidden/>
    <w:qFormat/>
    <w:uiPriority w:val="0"/>
    <w:rPr>
      <w:rFonts w:ascii="Courier New" w:hAnsi="Courier New" w:cs="Courier New"/>
    </w:rPr>
  </w:style>
  <w:style w:type="paragraph" w:styleId="129">
    <w:name w:val="Intense Quote"/>
    <w:basedOn w:val="1"/>
    <w:next w:val="1"/>
    <w:link w:val="130"/>
    <w:semiHidden/>
    <w:qFormat/>
    <w:uiPriority w:val="30"/>
    <w:pPr>
      <w:pBdr>
        <w:bottom w:val="single" w:color="4F81BD" w:sz="4" w:space="4"/>
      </w:pBdr>
      <w:spacing w:before="200" w:after="280"/>
      <w:ind w:left="936" w:right="936"/>
    </w:pPr>
    <w:rPr>
      <w:b/>
      <w:bCs/>
      <w:i/>
      <w:iCs/>
      <w:color w:val="4F81BD"/>
    </w:rPr>
  </w:style>
  <w:style w:type="character" w:customStyle="1" w:styleId="130">
    <w:name w:val="明显引用 字符"/>
    <w:link w:val="129"/>
    <w:semiHidden/>
    <w:qFormat/>
    <w:uiPriority w:val="30"/>
    <w:rPr>
      <w:b/>
      <w:bCs/>
      <w:i/>
      <w:iCs/>
      <w:color w:val="4F81BD"/>
      <w:sz w:val="24"/>
    </w:rPr>
  </w:style>
  <w:style w:type="paragraph" w:styleId="131">
    <w:name w:val="List Paragraph"/>
    <w:basedOn w:val="1"/>
    <w:semiHidden/>
    <w:qFormat/>
    <w:uiPriority w:val="34"/>
    <w:pPr>
      <w:ind w:left="720"/>
    </w:pPr>
  </w:style>
  <w:style w:type="character" w:customStyle="1" w:styleId="132">
    <w:name w:val="宏文本 字符"/>
    <w:link w:val="2"/>
    <w:semiHidden/>
    <w:qFormat/>
    <w:uiPriority w:val="0"/>
    <w:rPr>
      <w:rFonts w:ascii="Courier New" w:hAnsi="Courier New" w:cs="Courier New"/>
      <w:lang w:val="en-US" w:eastAsia="en-US" w:bidi="ar-SA"/>
    </w:rPr>
  </w:style>
  <w:style w:type="character" w:customStyle="1" w:styleId="133">
    <w:name w:val="信息标题 字符"/>
    <w:link w:val="79"/>
    <w:semiHidden/>
    <w:qFormat/>
    <w:uiPriority w:val="0"/>
    <w:rPr>
      <w:rFonts w:ascii="Cambria" w:hAnsi="Cambria"/>
      <w:sz w:val="24"/>
      <w:szCs w:val="24"/>
      <w:shd w:val="pct20" w:color="auto" w:fill="auto"/>
    </w:rPr>
  </w:style>
  <w:style w:type="paragraph" w:styleId="134">
    <w:name w:val="No Spacing"/>
    <w:semiHidden/>
    <w:qFormat/>
    <w:uiPriority w:val="1"/>
    <w:rPr>
      <w:rFonts w:ascii="Times New Roman" w:hAnsi="Times New Roman" w:cs="Times New Roman" w:eastAsiaTheme="minorEastAsia"/>
      <w:sz w:val="24"/>
      <w:lang w:val="en-US" w:eastAsia="en-US" w:bidi="ar-SA"/>
    </w:rPr>
  </w:style>
  <w:style w:type="character" w:customStyle="1" w:styleId="135">
    <w:name w:val="注释标题 字符"/>
    <w:link w:val="16"/>
    <w:semiHidden/>
    <w:qFormat/>
    <w:uiPriority w:val="0"/>
    <w:rPr>
      <w:sz w:val="24"/>
    </w:rPr>
  </w:style>
  <w:style w:type="character" w:customStyle="1" w:styleId="136">
    <w:name w:val="纯文本 字符"/>
    <w:link w:val="45"/>
    <w:semiHidden/>
    <w:qFormat/>
    <w:uiPriority w:val="0"/>
    <w:rPr>
      <w:rFonts w:ascii="Courier New" w:hAnsi="Courier New" w:cs="Courier New"/>
    </w:rPr>
  </w:style>
  <w:style w:type="paragraph" w:styleId="137">
    <w:name w:val="Quote"/>
    <w:basedOn w:val="1"/>
    <w:next w:val="1"/>
    <w:link w:val="138"/>
    <w:semiHidden/>
    <w:qFormat/>
    <w:uiPriority w:val="29"/>
    <w:rPr>
      <w:i/>
      <w:iCs/>
      <w:color w:val="000000"/>
    </w:rPr>
  </w:style>
  <w:style w:type="character" w:customStyle="1" w:styleId="138">
    <w:name w:val="引用 字符"/>
    <w:link w:val="137"/>
    <w:semiHidden/>
    <w:qFormat/>
    <w:uiPriority w:val="29"/>
    <w:rPr>
      <w:i/>
      <w:iCs/>
      <w:color w:val="000000"/>
      <w:sz w:val="24"/>
    </w:rPr>
  </w:style>
  <w:style w:type="character" w:customStyle="1" w:styleId="139">
    <w:name w:val="称呼 字符"/>
    <w:link w:val="30"/>
    <w:semiHidden/>
    <w:qFormat/>
    <w:uiPriority w:val="0"/>
    <w:rPr>
      <w:sz w:val="24"/>
    </w:rPr>
  </w:style>
  <w:style w:type="character" w:customStyle="1" w:styleId="140">
    <w:name w:val="签名 字符"/>
    <w:link w:val="58"/>
    <w:semiHidden/>
    <w:qFormat/>
    <w:uiPriority w:val="0"/>
    <w:rPr>
      <w:sz w:val="24"/>
    </w:rPr>
  </w:style>
  <w:style w:type="character" w:customStyle="1" w:styleId="141">
    <w:name w:val="副标题 字符"/>
    <w:link w:val="64"/>
    <w:semiHidden/>
    <w:qFormat/>
    <w:uiPriority w:val="0"/>
    <w:rPr>
      <w:rFonts w:ascii="Cambria" w:hAnsi="Cambria"/>
      <w:sz w:val="24"/>
      <w:szCs w:val="24"/>
    </w:rPr>
  </w:style>
  <w:style w:type="character" w:customStyle="1" w:styleId="142">
    <w:name w:val="标题 字符"/>
    <w:link w:val="84"/>
    <w:semiHidden/>
    <w:qFormat/>
    <w:uiPriority w:val="0"/>
    <w:rPr>
      <w:rFonts w:ascii="Cambria" w:hAnsi="Cambria"/>
      <w:b/>
      <w:bCs/>
      <w:kern w:val="28"/>
      <w:sz w:val="32"/>
      <w:szCs w:val="32"/>
    </w:rPr>
  </w:style>
  <w:style w:type="paragraph" w:customStyle="1" w:styleId="143">
    <w:name w:val="TOC 标题1"/>
    <w:basedOn w:val="3"/>
    <w:next w:val="1"/>
    <w:semiHidden/>
    <w:unhideWhenUsed/>
    <w:qFormat/>
    <w:uiPriority w:val="39"/>
    <w:pPr>
      <w:outlineLvl w:val="9"/>
    </w:pPr>
    <w:rPr>
      <w:rFonts w:ascii="Cambria" w:hAnsi="Cambria"/>
      <w:sz w:val="32"/>
      <w:szCs w:val="32"/>
    </w:rPr>
  </w:style>
  <w:style w:type="character" w:customStyle="1" w:styleId="144">
    <w:name w:val="未处理的提及1"/>
    <w:basedOn w:val="90"/>
    <w:semiHidden/>
    <w:unhideWhenUsed/>
    <w:qFormat/>
    <w:uiPriority w:val="99"/>
    <w:rPr>
      <w:color w:val="808080"/>
      <w:shd w:val="clear" w:color="auto" w:fill="E6E6E6"/>
    </w:rPr>
  </w:style>
  <w:style w:type="paragraph" w:customStyle="1" w:styleId="145">
    <w:name w:val="修订1"/>
    <w:hidden/>
    <w:semiHidden/>
    <w:qFormat/>
    <w:uiPriority w:val="99"/>
    <w:rPr>
      <w:rFonts w:ascii="Times New Roman" w:hAnsi="Times New Roman" w:cs="Times New Roman" w:eastAsiaTheme="minorEastAsia"/>
      <w:sz w:val="24"/>
      <w:lang w:val="en-US" w:eastAsia="en-US" w:bidi="ar-SA"/>
    </w:rPr>
  </w:style>
  <w:style w:type="paragraph" w:customStyle="1" w:styleId="146">
    <w:name w:val="Paragraph"/>
    <w:basedOn w:val="1"/>
    <w:qFormat/>
    <w:uiPriority w:val="0"/>
    <w:pPr>
      <w:spacing w:before="120"/>
      <w:ind w:firstLine="720"/>
    </w:pPr>
    <w:rPr>
      <w:rFonts w:eastAsia="Times New Roman"/>
      <w:szCs w:val="24"/>
    </w:rPr>
  </w:style>
  <w:style w:type="paragraph" w:customStyle="1" w:styleId="147">
    <w:name w:val="H1"/>
    <w:basedOn w:val="3"/>
    <w:qFormat/>
    <w:uiPriority w:val="0"/>
    <w:pPr>
      <w:keepNext w:val="0"/>
      <w:spacing w:before="460" w:after="230" w:line="230" w:lineRule="atLeast"/>
    </w:pPr>
    <w:rPr>
      <w:rFonts w:ascii="Arial" w:hAnsi="Arial" w:eastAsia="MS Mincho"/>
      <w:bCs w:val="0"/>
      <w:kern w:val="0"/>
      <w:sz w:val="22"/>
      <w:szCs w:val="20"/>
      <w:lang w:eastAsia="ja-JP"/>
    </w:rPr>
  </w:style>
  <w:style w:type="paragraph" w:customStyle="1" w:styleId="148">
    <w:name w:val="EndNote Bibliography Title"/>
    <w:basedOn w:val="1"/>
    <w:link w:val="149"/>
    <w:qFormat/>
    <w:uiPriority w:val="0"/>
    <w:pPr>
      <w:widowControl w:val="0"/>
      <w:jc w:val="center"/>
    </w:pPr>
    <w:rPr>
      <w:rFonts w:ascii="等线" w:hAnsi="等线" w:eastAsia="等线"/>
      <w:kern w:val="2"/>
      <w:sz w:val="20"/>
      <w:szCs w:val="22"/>
      <w:lang w:eastAsia="zh-CN"/>
    </w:rPr>
  </w:style>
  <w:style w:type="character" w:customStyle="1" w:styleId="149">
    <w:name w:val="EndNote Bibliography Title 字符"/>
    <w:link w:val="148"/>
    <w:qFormat/>
    <w:uiPriority w:val="0"/>
    <w:rPr>
      <w:rFonts w:ascii="等线" w:hAnsi="等线" w:eastAsia="等线"/>
      <w:kern w:val="2"/>
      <w:szCs w:val="22"/>
      <w:lang w:eastAsia="zh-CN"/>
    </w:rPr>
  </w:style>
  <w:style w:type="paragraph" w:customStyle="1" w:styleId="150">
    <w:name w:val="EndNote Bibliography"/>
    <w:basedOn w:val="1"/>
    <w:link w:val="151"/>
    <w:qFormat/>
    <w:uiPriority w:val="0"/>
    <w:pPr>
      <w:widowControl w:val="0"/>
      <w:jc w:val="both"/>
    </w:pPr>
    <w:rPr>
      <w:rFonts w:ascii="等线" w:hAnsi="等线" w:eastAsia="等线"/>
      <w:kern w:val="2"/>
      <w:sz w:val="20"/>
      <w:szCs w:val="22"/>
      <w:lang w:eastAsia="zh-CN"/>
    </w:rPr>
  </w:style>
  <w:style w:type="character" w:customStyle="1" w:styleId="151">
    <w:name w:val="EndNote Bibliography 字符"/>
    <w:link w:val="150"/>
    <w:qFormat/>
    <w:uiPriority w:val="0"/>
    <w:rPr>
      <w:rFonts w:ascii="等线" w:hAnsi="等线" w:eastAsia="等线"/>
      <w:kern w:val="2"/>
      <w:szCs w:val="22"/>
      <w:lang w:eastAsia="zh-CN"/>
    </w:rPr>
  </w:style>
  <w:style w:type="paragraph" w:customStyle="1" w:styleId="152">
    <w:name w:val="修订11"/>
    <w:semiHidden/>
    <w:qFormat/>
    <w:uiPriority w:val="99"/>
    <w:rPr>
      <w:rFonts w:ascii="等线" w:hAnsi="等线" w:eastAsia="等线" w:cs="Times New Roman"/>
      <w:kern w:val="2"/>
      <w:sz w:val="21"/>
      <w:szCs w:val="22"/>
      <w:lang w:val="en-US" w:eastAsia="zh-CN" w:bidi="ar-SA"/>
    </w:rPr>
  </w:style>
  <w:style w:type="paragraph" w:customStyle="1" w:styleId="153">
    <w:name w:val="修订2"/>
    <w:unhideWhenUsed/>
    <w:qFormat/>
    <w:uiPriority w:val="99"/>
    <w:rPr>
      <w:rFonts w:ascii="等线" w:hAnsi="等线" w:eastAsia="等线" w:cs="Times New Roman"/>
      <w:kern w:val="2"/>
      <w:sz w:val="21"/>
      <w:szCs w:val="22"/>
      <w:lang w:val="en-US" w:eastAsia="zh-CN" w:bidi="ar-SA"/>
    </w:rPr>
  </w:style>
  <w:style w:type="character" w:customStyle="1" w:styleId="154">
    <w:name w:val="未处理的提及11"/>
    <w:unhideWhenUsed/>
    <w:qFormat/>
    <w:uiPriority w:val="99"/>
    <w:rPr>
      <w:color w:val="605E5C"/>
      <w:shd w:val="clear" w:color="auto" w:fill="E1DFDD"/>
    </w:rPr>
  </w:style>
  <w:style w:type="paragraph" w:customStyle="1" w:styleId="155">
    <w:name w:val="EndNote Category Heading"/>
    <w:basedOn w:val="1"/>
    <w:link w:val="156"/>
    <w:qFormat/>
    <w:uiPriority w:val="0"/>
    <w:pPr>
      <w:widowControl w:val="0"/>
      <w:spacing w:before="120" w:after="120"/>
    </w:pPr>
    <w:rPr>
      <w:rFonts w:ascii="等线" w:hAnsi="等线" w:eastAsia="等线"/>
      <w:b/>
      <w:kern w:val="2"/>
      <w:sz w:val="21"/>
      <w:szCs w:val="22"/>
      <w:lang w:eastAsia="zh-CN"/>
    </w:rPr>
  </w:style>
  <w:style w:type="character" w:customStyle="1" w:styleId="156">
    <w:name w:val="EndNote Category Heading 字符"/>
    <w:link w:val="155"/>
    <w:qFormat/>
    <w:uiPriority w:val="0"/>
    <w:rPr>
      <w:rFonts w:ascii="等线" w:hAnsi="等线" w:eastAsia="等线"/>
      <w:b/>
      <w:kern w:val="2"/>
      <w:sz w:val="21"/>
      <w:szCs w:val="22"/>
      <w:lang w:eastAsia="zh-CN"/>
    </w:rPr>
  </w:style>
  <w:style w:type="character" w:styleId="157">
    <w:name w:val="Placeholder Text"/>
    <w:basedOn w:val="90"/>
    <w:unhideWhenUsed/>
    <w:qFormat/>
    <w:uiPriority w:val="99"/>
    <w:rPr>
      <w:color w:val="666666"/>
    </w:rPr>
  </w:style>
  <w:style w:type="character" w:customStyle="1" w:styleId="158">
    <w:name w:val="MTEquationSection"/>
    <w:basedOn w:val="90"/>
    <w:qFormat/>
    <w:uiPriority w:val="0"/>
    <w:rPr>
      <w:vanish/>
      <w:color w:val="FF0000"/>
      <w:sz w:val="36"/>
      <w:szCs w:val="36"/>
    </w:rPr>
  </w:style>
  <w:style w:type="paragraph" w:customStyle="1" w:styleId="159">
    <w:name w:val="MTDisplayEquation"/>
    <w:basedOn w:val="1"/>
    <w:next w:val="1"/>
    <w:link w:val="160"/>
    <w:qFormat/>
    <w:uiPriority w:val="0"/>
    <w:pPr>
      <w:tabs>
        <w:tab w:val="center" w:pos="4680"/>
        <w:tab w:val="right" w:pos="9360"/>
      </w:tabs>
      <w:jc w:val="center"/>
    </w:pPr>
    <w:rPr>
      <w:szCs w:val="24"/>
    </w:rPr>
  </w:style>
  <w:style w:type="character" w:customStyle="1" w:styleId="160">
    <w:name w:val="MTDisplayEquation 字符"/>
    <w:basedOn w:val="90"/>
    <w:link w:val="159"/>
    <w:qFormat/>
    <w:uiPriority w:val="0"/>
    <w:rPr>
      <w:sz w:val="24"/>
      <w:szCs w:val="24"/>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4.tiff"/><Relationship Id="rId83" Type="http://schemas.openxmlformats.org/officeDocument/2006/relationships/fontTable" Target="fontTable.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75.tiff"/><Relationship Id="rId8" Type="http://schemas.openxmlformats.org/officeDocument/2006/relationships/image" Target="media/image3.tiff"/><Relationship Id="rId79" Type="http://schemas.openxmlformats.org/officeDocument/2006/relationships/image" Target="media/image74.tiff"/><Relationship Id="rId78" Type="http://schemas.openxmlformats.org/officeDocument/2006/relationships/image" Target="media/image73.tiff"/><Relationship Id="rId77" Type="http://schemas.openxmlformats.org/officeDocument/2006/relationships/image" Target="media/image72.tiff"/><Relationship Id="rId76" Type="http://schemas.openxmlformats.org/officeDocument/2006/relationships/image" Target="media/image71.tiff"/><Relationship Id="rId75" Type="http://schemas.openxmlformats.org/officeDocument/2006/relationships/image" Target="media/image70.tiff"/><Relationship Id="rId74" Type="http://schemas.openxmlformats.org/officeDocument/2006/relationships/image" Target="media/image69.tiff"/><Relationship Id="rId73" Type="http://schemas.openxmlformats.org/officeDocument/2006/relationships/image" Target="media/image68.tiff"/><Relationship Id="rId72" Type="http://schemas.openxmlformats.org/officeDocument/2006/relationships/image" Target="media/image67.tiff"/><Relationship Id="rId71" Type="http://schemas.openxmlformats.org/officeDocument/2006/relationships/image" Target="media/image66.tiff"/><Relationship Id="rId70" Type="http://schemas.openxmlformats.org/officeDocument/2006/relationships/image" Target="media/image65.tiff"/><Relationship Id="rId7" Type="http://schemas.openxmlformats.org/officeDocument/2006/relationships/image" Target="media/image2.tiff"/><Relationship Id="rId69" Type="http://schemas.openxmlformats.org/officeDocument/2006/relationships/image" Target="media/image64.tiff"/><Relationship Id="rId68" Type="http://schemas.openxmlformats.org/officeDocument/2006/relationships/image" Target="media/image63.tiff"/><Relationship Id="rId67" Type="http://schemas.openxmlformats.org/officeDocument/2006/relationships/image" Target="media/image62.tiff"/><Relationship Id="rId66" Type="http://schemas.openxmlformats.org/officeDocument/2006/relationships/image" Target="media/image61.tiff"/><Relationship Id="rId65" Type="http://schemas.openxmlformats.org/officeDocument/2006/relationships/image" Target="media/image60.tiff"/><Relationship Id="rId64" Type="http://schemas.openxmlformats.org/officeDocument/2006/relationships/image" Target="media/image59.tiff"/><Relationship Id="rId63" Type="http://schemas.openxmlformats.org/officeDocument/2006/relationships/image" Target="media/image58.tiff"/><Relationship Id="rId62" Type="http://schemas.openxmlformats.org/officeDocument/2006/relationships/image" Target="media/image57.tiff"/><Relationship Id="rId61" Type="http://schemas.openxmlformats.org/officeDocument/2006/relationships/image" Target="media/image56.tiff"/><Relationship Id="rId60" Type="http://schemas.openxmlformats.org/officeDocument/2006/relationships/image" Target="media/image55.tiff"/><Relationship Id="rId6" Type="http://schemas.openxmlformats.org/officeDocument/2006/relationships/image" Target="media/image1.emf"/><Relationship Id="rId59" Type="http://schemas.openxmlformats.org/officeDocument/2006/relationships/image" Target="media/image54.wmf"/><Relationship Id="rId58" Type="http://schemas.openxmlformats.org/officeDocument/2006/relationships/image" Target="media/image53.tiff"/><Relationship Id="rId57" Type="http://schemas.openxmlformats.org/officeDocument/2006/relationships/image" Target="media/image52.tiff"/><Relationship Id="rId56" Type="http://schemas.openxmlformats.org/officeDocument/2006/relationships/image" Target="media/image51.wmf"/><Relationship Id="rId55" Type="http://schemas.openxmlformats.org/officeDocument/2006/relationships/image" Target="media/image50.wmf"/><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tiff"/><Relationship Id="rId18" Type="http://schemas.openxmlformats.org/officeDocument/2006/relationships/image" Target="media/image13.tiff"/><Relationship Id="rId17" Type="http://schemas.openxmlformats.org/officeDocument/2006/relationships/image" Target="media/image12.tiff"/><Relationship Id="rId16" Type="http://schemas.openxmlformats.org/officeDocument/2006/relationships/image" Target="media/image11.tiff"/><Relationship Id="rId15" Type="http://schemas.openxmlformats.org/officeDocument/2006/relationships/image" Target="media/image10.tiff"/><Relationship Id="rId14" Type="http://schemas.openxmlformats.org/officeDocument/2006/relationships/image" Target="media/image9.tiff"/><Relationship Id="rId13" Type="http://schemas.openxmlformats.org/officeDocument/2006/relationships/image" Target="media/image8.tiff"/><Relationship Id="rId12" Type="http://schemas.openxmlformats.org/officeDocument/2006/relationships/image" Target="media/image7.tiff"/><Relationship Id="rId11" Type="http://schemas.openxmlformats.org/officeDocument/2006/relationships/image" Target="media/image6.tiff"/><Relationship Id="rId10" Type="http://schemas.openxmlformats.org/officeDocument/2006/relationships/image" Target="media/image5.tiff"/><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AAAS</Company>
  <Pages>33</Pages>
  <Words>5850</Words>
  <Characters>32988</Characters>
  <Lines>277</Lines>
  <Paragraphs>78</Paragraphs>
  <TotalTime>265</TotalTime>
  <ScaleCrop>false</ScaleCrop>
  <LinksUpToDate>false</LinksUpToDate>
  <CharactersWithSpaces>38515</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2022-11-11T22:05:00Z</dcterms:created>
  <dc:creator>Brooks Hanson</dc:creator>
  <cp:lastModifiedBy>刘俊扬</cp:lastModifiedBy>
  <cp:lastPrinted>2018-01-11T19:53:00Z</cp:lastPrinted>
  <dcterms:modified xsi:type="dcterms:W3CDTF">2025-09-18T14:26:50Z</dcterms:modified>
  <dc:title>Supporting Online Material for</dc:title>
  <cp:revision>1382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eyJoZGlkIjoiMzEwNTM5NzYwMDRjMzkwZTVkZjY2ODkwMGIxNGU0OTUiLCJ1c2VySWQiOiI5MjE3MzkyMDYifQ==</vt:lpwstr>
  </property>
  <property fmtid="{D5CDD505-2E9C-101B-9397-08002B2CF9AE}" pid="3" name="KSOProductBuildVer">
    <vt:lpwstr>2052-12.1.0.22529</vt:lpwstr>
  </property>
  <property fmtid="{D5CDD505-2E9C-101B-9397-08002B2CF9AE}" pid="4" name="ICV">
    <vt:lpwstr>FA3A044D427F42ACBF6F843F29C9955C_13</vt:lpwstr>
  </property>
  <property fmtid="{D5CDD505-2E9C-101B-9397-08002B2CF9AE}" pid="5" name="MTWinEqns">
    <vt:bool>true</vt:bool>
  </property>
  <property fmtid="{D5CDD505-2E9C-101B-9397-08002B2CF9AE}" pid="6" name="MTEquationSection">
    <vt:lpwstr>1</vt:lpwstr>
  </property>
  <property fmtid="{D5CDD505-2E9C-101B-9397-08002B2CF9AE}" pid="7" name="MTEquationNumber2">
    <vt:lpwstr>#E1</vt:lpwstr>
  </property>
  <property fmtid="{D5CDD505-2E9C-101B-9397-08002B2CF9AE}" pid="8" name="MTEqnNumsOnRight">
    <vt:bool>true</vt:bool>
  </property>
</Properties>
</file>