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E4A52" w14:textId="574751CF" w:rsidR="001F61C5" w:rsidRPr="002036CB" w:rsidRDefault="001F61C5" w:rsidP="003B32D5">
      <w:pPr>
        <w:pStyle w:val="1"/>
        <w:rPr>
          <w:rFonts w:ascii="Times New Roman" w:hAnsi="Times New Roman" w:cs="Times New Roman"/>
          <w:b/>
          <w:bCs/>
          <w:sz w:val="24"/>
          <w:szCs w:val="24"/>
        </w:rPr>
      </w:pPr>
      <w:r w:rsidRPr="002036CB">
        <w:rPr>
          <w:rFonts w:ascii="Times New Roman" w:hAnsi="Times New Roman" w:cs="Times New Roman"/>
          <w:b/>
          <w:bCs/>
          <w:sz w:val="24"/>
          <w:szCs w:val="24"/>
        </w:rPr>
        <w:t>Electronic supplementary material</w:t>
      </w:r>
    </w:p>
    <w:p w14:paraId="6E387072" w14:textId="417551D0" w:rsidR="00B76FE0" w:rsidRPr="002036CB" w:rsidRDefault="00C94645" w:rsidP="00B76FE0">
      <w:pPr>
        <w:pStyle w:val="C-BodyText"/>
        <w:rPr>
          <w:noProof/>
          <w:szCs w:val="24"/>
          <w:lang w:eastAsia="ja-JP"/>
        </w:rPr>
      </w:pPr>
      <w:r w:rsidRPr="002036CB">
        <w:rPr>
          <w:noProof/>
          <w:sz w:val="21"/>
          <w:szCs w:val="21"/>
          <w:lang w:eastAsia="ja-JP"/>
        </w:rPr>
        <w:drawing>
          <wp:inline distT="0" distB="0" distL="0" distR="0" wp14:anchorId="1FFF8323" wp14:editId="452235A2">
            <wp:extent cx="5400675" cy="5400675"/>
            <wp:effectExtent l="0" t="0" r="9525" b="9525"/>
            <wp:docPr id="144694420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5400675"/>
                    </a:xfrm>
                    <a:prstGeom prst="rect">
                      <a:avLst/>
                    </a:prstGeom>
                    <a:noFill/>
                    <a:ln>
                      <a:noFill/>
                    </a:ln>
                  </pic:spPr>
                </pic:pic>
              </a:graphicData>
            </a:graphic>
          </wp:inline>
        </w:drawing>
      </w:r>
    </w:p>
    <w:p w14:paraId="787396DD" w14:textId="34B711DA" w:rsidR="00B76FE0" w:rsidRPr="002036CB" w:rsidRDefault="00C94645" w:rsidP="00B76FE0">
      <w:pPr>
        <w:pStyle w:val="C-Footnote"/>
        <w:rPr>
          <w:sz w:val="18"/>
          <w:szCs w:val="18"/>
          <w:lang w:eastAsia="ja-JP"/>
        </w:rPr>
      </w:pPr>
      <w:r w:rsidRPr="002036CB">
        <w:rPr>
          <w:rFonts w:hint="eastAsia"/>
          <w:noProof/>
          <w:sz w:val="18"/>
          <w:szCs w:val="18"/>
          <w:lang w:eastAsia="ja-JP"/>
        </w:rPr>
        <w:lastRenderedPageBreak/>
        <w:drawing>
          <wp:inline distT="0" distB="0" distL="0" distR="0" wp14:anchorId="5566B79E" wp14:editId="1A40DB1A">
            <wp:extent cx="5400675" cy="5400675"/>
            <wp:effectExtent l="0" t="0" r="9525" b="9525"/>
            <wp:docPr id="159881316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675" cy="5400675"/>
                    </a:xfrm>
                    <a:prstGeom prst="rect">
                      <a:avLst/>
                    </a:prstGeom>
                    <a:noFill/>
                    <a:ln>
                      <a:noFill/>
                    </a:ln>
                  </pic:spPr>
                </pic:pic>
              </a:graphicData>
            </a:graphic>
          </wp:inline>
        </w:drawing>
      </w:r>
      <w:r w:rsidR="00B76FE0" w:rsidRPr="002036CB">
        <w:rPr>
          <w:rFonts w:hint="eastAsia"/>
          <w:sz w:val="18"/>
          <w:szCs w:val="18"/>
          <w:lang w:eastAsia="ja-JP"/>
        </w:rPr>
        <w:t>Mean + S</w:t>
      </w:r>
      <w:r w:rsidR="000D445E" w:rsidRPr="002036CB">
        <w:rPr>
          <w:rFonts w:hint="eastAsia"/>
          <w:sz w:val="18"/>
          <w:szCs w:val="18"/>
          <w:lang w:eastAsia="ja-JP"/>
        </w:rPr>
        <w:t>.</w:t>
      </w:r>
      <w:r w:rsidR="00B76FE0" w:rsidRPr="002036CB">
        <w:rPr>
          <w:rFonts w:hint="eastAsia"/>
          <w:sz w:val="18"/>
          <w:szCs w:val="18"/>
          <w:lang w:eastAsia="ja-JP"/>
        </w:rPr>
        <w:t>D</w:t>
      </w:r>
      <w:r w:rsidR="000D445E" w:rsidRPr="002036CB">
        <w:rPr>
          <w:rFonts w:hint="eastAsia"/>
          <w:sz w:val="18"/>
          <w:szCs w:val="18"/>
          <w:lang w:eastAsia="ja-JP"/>
        </w:rPr>
        <w:t>.</w:t>
      </w:r>
      <w:r w:rsidR="00B76FE0" w:rsidRPr="002036CB">
        <w:rPr>
          <w:rFonts w:hint="eastAsia"/>
          <w:sz w:val="18"/>
          <w:szCs w:val="18"/>
          <w:lang w:eastAsia="ja-JP"/>
        </w:rPr>
        <w:t>, N = 18 per treatment</w:t>
      </w:r>
    </w:p>
    <w:p w14:paraId="6EC193F1" w14:textId="6BBA91DE" w:rsidR="00B76FE0" w:rsidRPr="002036CB" w:rsidRDefault="00B76FE0" w:rsidP="00B76FE0">
      <w:pPr>
        <w:pStyle w:val="C-Footnote"/>
        <w:rPr>
          <w:sz w:val="18"/>
          <w:szCs w:val="18"/>
          <w:lang w:eastAsia="ja-JP"/>
        </w:rPr>
      </w:pPr>
      <w:r w:rsidRPr="002036CB">
        <w:rPr>
          <w:rFonts w:hint="eastAsia"/>
          <w:sz w:val="18"/>
          <w:szCs w:val="18"/>
          <w:lang w:eastAsia="ja-JP"/>
        </w:rPr>
        <w:t xml:space="preserve">Plasma concentrations below the lower limit of quantification (&lt; </w:t>
      </w:r>
      <w:r w:rsidRPr="002036CB">
        <w:rPr>
          <w:sz w:val="18"/>
          <w:szCs w:val="18"/>
          <w:lang w:eastAsia="ja-JP"/>
        </w:rPr>
        <w:t xml:space="preserve">10 </w:t>
      </w:r>
      <w:r w:rsidRPr="002036CB">
        <w:rPr>
          <w:rFonts w:hint="eastAsia"/>
          <w:sz w:val="18"/>
          <w:szCs w:val="18"/>
          <w:lang w:eastAsia="ja-JP"/>
        </w:rPr>
        <w:t>ng/mL) are set to zero</w:t>
      </w:r>
      <w:r w:rsidRPr="002036CB">
        <w:rPr>
          <w:sz w:val="18"/>
          <w:szCs w:val="18"/>
          <w:lang w:eastAsia="ja-JP"/>
        </w:rPr>
        <w:t xml:space="preserve"> in the data summarization</w:t>
      </w:r>
      <w:r w:rsidRPr="002036CB">
        <w:rPr>
          <w:rFonts w:hint="eastAsia"/>
          <w:sz w:val="18"/>
          <w:szCs w:val="18"/>
          <w:lang w:eastAsia="ja-JP"/>
        </w:rPr>
        <w:t>.</w:t>
      </w:r>
    </w:p>
    <w:p w14:paraId="58A8E072" w14:textId="680C64EA" w:rsidR="00C279BE" w:rsidRPr="002036CB" w:rsidRDefault="00C279BE" w:rsidP="00B76FE0">
      <w:pPr>
        <w:pStyle w:val="C-Footnote"/>
        <w:rPr>
          <w:sz w:val="18"/>
          <w:szCs w:val="18"/>
          <w:lang w:eastAsia="ja-JP"/>
        </w:rPr>
      </w:pPr>
      <w:r w:rsidRPr="002036CB">
        <w:rPr>
          <w:sz w:val="18"/>
          <w:szCs w:val="18"/>
          <w:lang w:eastAsia="ja-JP"/>
        </w:rPr>
        <w:t xml:space="preserve">PK </w:t>
      </w:r>
      <w:r w:rsidRPr="002036CB">
        <w:rPr>
          <w:rFonts w:hint="eastAsia"/>
          <w:sz w:val="18"/>
          <w:szCs w:val="18"/>
          <w:lang w:eastAsia="ja-JP"/>
        </w:rPr>
        <w:t>p</w:t>
      </w:r>
      <w:r w:rsidRPr="002036CB">
        <w:rPr>
          <w:sz w:val="18"/>
          <w:szCs w:val="18"/>
          <w:lang w:eastAsia="ja-JP"/>
        </w:rPr>
        <w:t>harmacokinetic</w:t>
      </w:r>
      <w:r w:rsidRPr="002036CB">
        <w:rPr>
          <w:rFonts w:hint="eastAsia"/>
          <w:sz w:val="18"/>
          <w:szCs w:val="18"/>
          <w:lang w:eastAsia="ja-JP"/>
        </w:rPr>
        <w:t>,</w:t>
      </w:r>
      <w:r w:rsidRPr="002036CB">
        <w:rPr>
          <w:sz w:val="18"/>
          <w:szCs w:val="18"/>
          <w:lang w:eastAsia="ja-JP"/>
        </w:rPr>
        <w:t xml:space="preserve"> S</w:t>
      </w:r>
      <w:r w:rsidR="000D445E" w:rsidRPr="002036CB">
        <w:rPr>
          <w:rFonts w:hint="eastAsia"/>
          <w:sz w:val="18"/>
          <w:szCs w:val="18"/>
          <w:lang w:eastAsia="ja-JP"/>
        </w:rPr>
        <w:t>.</w:t>
      </w:r>
      <w:r w:rsidRPr="002036CB">
        <w:rPr>
          <w:sz w:val="18"/>
          <w:szCs w:val="18"/>
          <w:lang w:eastAsia="ja-JP"/>
        </w:rPr>
        <w:t>D</w:t>
      </w:r>
      <w:r w:rsidR="000D445E" w:rsidRPr="002036CB">
        <w:rPr>
          <w:rFonts w:hint="eastAsia"/>
          <w:sz w:val="18"/>
          <w:szCs w:val="18"/>
          <w:lang w:eastAsia="ja-JP"/>
        </w:rPr>
        <w:t>.</w:t>
      </w:r>
      <w:r w:rsidRPr="002036CB">
        <w:rPr>
          <w:sz w:val="18"/>
          <w:szCs w:val="18"/>
          <w:lang w:eastAsia="ja-JP"/>
        </w:rPr>
        <w:t xml:space="preserve"> </w:t>
      </w:r>
      <w:r w:rsidRPr="002036CB">
        <w:rPr>
          <w:rFonts w:hint="eastAsia"/>
          <w:sz w:val="18"/>
          <w:szCs w:val="18"/>
          <w:lang w:eastAsia="ja-JP"/>
        </w:rPr>
        <w:t>s</w:t>
      </w:r>
      <w:r w:rsidRPr="002036CB">
        <w:rPr>
          <w:sz w:val="18"/>
          <w:szCs w:val="18"/>
          <w:lang w:eastAsia="ja-JP"/>
        </w:rPr>
        <w:t>tandard deviation</w:t>
      </w:r>
    </w:p>
    <w:p w14:paraId="4F9C96D9" w14:textId="77777777" w:rsidR="00B76FE0" w:rsidRPr="002036CB" w:rsidRDefault="00B76FE0" w:rsidP="00B76FE0">
      <w:pPr>
        <w:rPr>
          <w:rFonts w:ascii="Times New Roman" w:hAnsi="Times New Roman"/>
          <w:b/>
          <w:bCs/>
          <w:sz w:val="21"/>
          <w:szCs w:val="21"/>
        </w:rPr>
      </w:pPr>
    </w:p>
    <w:p w14:paraId="4553D88D" w14:textId="0B8CD34E" w:rsidR="00B76FE0" w:rsidRPr="002036CB" w:rsidRDefault="00B76FE0" w:rsidP="00B76FE0">
      <w:pPr>
        <w:rPr>
          <w:rFonts w:ascii="Arial" w:hAnsi="Arial" w:cs="Arial"/>
          <w:sz w:val="20"/>
          <w:szCs w:val="20"/>
        </w:rPr>
      </w:pPr>
      <w:r w:rsidRPr="002036CB">
        <w:rPr>
          <w:rFonts w:ascii="Arial" w:hAnsi="Arial" w:cs="Arial"/>
          <w:b/>
          <w:bCs/>
          <w:sz w:val="20"/>
          <w:szCs w:val="20"/>
        </w:rPr>
        <w:t xml:space="preserve">Figure </w:t>
      </w:r>
      <w:r w:rsidR="00892167" w:rsidRPr="002036CB">
        <w:rPr>
          <w:rFonts w:ascii="Arial" w:hAnsi="Arial" w:cs="Arial" w:hint="eastAsia"/>
          <w:b/>
          <w:bCs/>
          <w:sz w:val="20"/>
          <w:szCs w:val="20"/>
        </w:rPr>
        <w:t>S</w:t>
      </w:r>
      <w:r w:rsidRPr="002036CB">
        <w:rPr>
          <w:rFonts w:ascii="Arial" w:hAnsi="Arial" w:cs="Arial"/>
          <w:b/>
          <w:bCs/>
          <w:sz w:val="20"/>
          <w:szCs w:val="20"/>
        </w:rPr>
        <w:t>1</w:t>
      </w:r>
      <w:r w:rsidR="002A6001" w:rsidRPr="002036CB">
        <w:rPr>
          <w:rFonts w:ascii="Arial" w:hAnsi="Arial" w:cs="Arial" w:hint="eastAsia"/>
          <w:b/>
          <w:bCs/>
          <w:sz w:val="20"/>
          <w:szCs w:val="20"/>
        </w:rPr>
        <w:t>.</w:t>
      </w:r>
      <w:r w:rsidRPr="002036CB">
        <w:rPr>
          <w:rFonts w:ascii="Arial" w:hAnsi="Arial" w:cs="Arial"/>
          <w:b/>
          <w:bCs/>
          <w:sz w:val="20"/>
          <w:szCs w:val="20"/>
        </w:rPr>
        <w:t xml:space="preserve"> Mean plasma concentration-time profiles of TAS-115</w:t>
      </w:r>
      <w:r w:rsidR="000D445E" w:rsidRPr="002036CB">
        <w:rPr>
          <w:rFonts w:ascii="Arial" w:hAnsi="Arial" w:cs="Arial" w:hint="eastAsia"/>
          <w:b/>
          <w:bCs/>
          <w:sz w:val="20"/>
          <w:szCs w:val="20"/>
        </w:rPr>
        <w:t>.</w:t>
      </w:r>
      <w:r w:rsidRPr="002036CB">
        <w:rPr>
          <w:rFonts w:ascii="Arial" w:hAnsi="Arial" w:cs="Arial"/>
          <w:b/>
          <w:bCs/>
          <w:sz w:val="20"/>
          <w:szCs w:val="20"/>
        </w:rPr>
        <w:t xml:space="preserve"> </w:t>
      </w:r>
      <w:r w:rsidR="000D445E" w:rsidRPr="002036CB">
        <w:rPr>
          <w:rFonts w:ascii="Arial" w:hAnsi="Arial" w:cs="Arial"/>
          <w:sz w:val="20"/>
          <w:szCs w:val="20"/>
        </w:rPr>
        <w:t xml:space="preserve">Plots show data for TAS-115 </w:t>
      </w:r>
      <w:r w:rsidRPr="002036CB">
        <w:rPr>
          <w:rFonts w:ascii="Arial" w:hAnsi="Arial" w:cs="Arial"/>
          <w:sz w:val="20"/>
          <w:szCs w:val="20"/>
        </w:rPr>
        <w:t xml:space="preserve">following the first oral administration of TAS-115 </w:t>
      </w:r>
      <w:r w:rsidR="000D445E" w:rsidRPr="002036CB">
        <w:rPr>
          <w:rFonts w:ascii="Arial" w:hAnsi="Arial" w:cs="Arial"/>
          <w:sz w:val="20"/>
          <w:szCs w:val="20"/>
        </w:rPr>
        <w:t>(</w:t>
      </w:r>
      <w:r w:rsidRPr="002036CB">
        <w:rPr>
          <w:rFonts w:ascii="Arial" w:hAnsi="Arial" w:cs="Arial"/>
          <w:sz w:val="20"/>
          <w:szCs w:val="20"/>
        </w:rPr>
        <w:t>250 mg alone</w:t>
      </w:r>
      <w:r w:rsidR="000D445E" w:rsidRPr="002036CB">
        <w:rPr>
          <w:rFonts w:ascii="Arial" w:hAnsi="Arial" w:cs="Arial"/>
          <w:sz w:val="20"/>
          <w:szCs w:val="20"/>
        </w:rPr>
        <w:t>)</w:t>
      </w:r>
      <w:r w:rsidRPr="002036CB">
        <w:rPr>
          <w:rFonts w:ascii="Arial" w:hAnsi="Arial" w:cs="Arial"/>
          <w:sz w:val="20"/>
          <w:szCs w:val="20"/>
        </w:rPr>
        <w:t>, presented in linear (upper panel) and semi-logarithmic (lower panel) scales</w:t>
      </w:r>
      <w:r w:rsidR="000D445E" w:rsidRPr="002036CB">
        <w:rPr>
          <w:rFonts w:ascii="Arial" w:hAnsi="Arial" w:cs="Arial"/>
          <w:sz w:val="20"/>
          <w:szCs w:val="20"/>
        </w:rPr>
        <w:t>.</w:t>
      </w:r>
    </w:p>
    <w:p w14:paraId="3CA76B45" w14:textId="77777777" w:rsidR="00B76FE0" w:rsidRPr="002036CB" w:rsidRDefault="00B76FE0" w:rsidP="00B76FE0">
      <w:pPr>
        <w:rPr>
          <w:rFonts w:ascii="Times New Roman" w:hAnsi="Times New Roman"/>
          <w:b/>
          <w:bCs/>
          <w:sz w:val="21"/>
          <w:szCs w:val="21"/>
        </w:rPr>
      </w:pPr>
    </w:p>
    <w:p w14:paraId="3D001055" w14:textId="2A4C38FA" w:rsidR="00B76FE0" w:rsidRPr="002036CB" w:rsidRDefault="00D0000F" w:rsidP="00B76FE0">
      <w:pPr>
        <w:pStyle w:val="af1"/>
        <w:spacing w:line="276" w:lineRule="auto"/>
        <w:rPr>
          <w:rFonts w:ascii="Times New Roman" w:eastAsia="ＭＳ 明朝" w:hAnsi="Times New Roman"/>
          <w:color w:val="0070C0"/>
          <w:sz w:val="21"/>
          <w:szCs w:val="21"/>
        </w:rPr>
      </w:pPr>
      <w:r w:rsidRPr="002036CB">
        <w:rPr>
          <w:rFonts w:ascii="Times New Roman" w:eastAsia="ＭＳ 明朝" w:hAnsi="Times New Roman"/>
          <w:noProof/>
          <w:color w:val="0070C0"/>
          <w:sz w:val="21"/>
          <w:szCs w:val="21"/>
        </w:rPr>
        <w:lastRenderedPageBreak/>
        <w:drawing>
          <wp:inline distT="0" distB="0" distL="0" distR="0" wp14:anchorId="1A3DFCFD" wp14:editId="27B372EA">
            <wp:extent cx="5400040" cy="1952625"/>
            <wp:effectExtent l="0" t="0" r="0" b="9525"/>
            <wp:docPr id="113280512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952625"/>
                    </a:xfrm>
                    <a:prstGeom prst="rect">
                      <a:avLst/>
                    </a:prstGeom>
                    <a:noFill/>
                    <a:ln>
                      <a:noFill/>
                    </a:ln>
                  </pic:spPr>
                </pic:pic>
              </a:graphicData>
            </a:graphic>
          </wp:inline>
        </w:drawing>
      </w:r>
    </w:p>
    <w:p w14:paraId="467F564F" w14:textId="765245D9" w:rsidR="00B76FE0" w:rsidRPr="002036CB" w:rsidRDefault="00E506F9" w:rsidP="00E506F9">
      <w:pPr>
        <w:pStyle w:val="af1"/>
        <w:spacing w:line="276" w:lineRule="auto"/>
        <w:rPr>
          <w:rFonts w:ascii="Times New Roman" w:eastAsia="ＭＳ 明朝" w:hAnsi="Times New Roman" w:cs="Times New Roman"/>
          <w:color w:val="000000"/>
          <w:sz w:val="18"/>
          <w:szCs w:val="18"/>
        </w:rPr>
      </w:pPr>
      <w:r w:rsidRPr="002036CB">
        <w:rPr>
          <w:rFonts w:ascii="Segoe UI Symbol" w:eastAsia="ＭＳ 明朝" w:hAnsi="Segoe UI Symbol" w:cs="Segoe UI Symbol"/>
          <w:color w:val="000000"/>
          <w:sz w:val="18"/>
          <w:szCs w:val="18"/>
        </w:rPr>
        <w:t>⭘</w:t>
      </w:r>
      <w:r w:rsidRPr="002036CB">
        <w:rPr>
          <w:rFonts w:ascii="Times New Roman" w:eastAsia="ＭＳ 明朝" w:hAnsi="Times New Roman" w:cs="Times New Roman"/>
          <w:color w:val="000000"/>
          <w:sz w:val="18"/>
          <w:szCs w:val="18"/>
        </w:rPr>
        <w:t xml:space="preserve"> CR</w:t>
      </w:r>
      <w:r w:rsidR="00505A9E" w:rsidRPr="002036CB">
        <w:rPr>
          <w:rFonts w:ascii="Times New Roman" w:eastAsia="ＭＳ 明朝" w:hAnsi="Times New Roman" w:cs="Times New Roman" w:hint="eastAsia"/>
          <w:color w:val="000000"/>
          <w:sz w:val="18"/>
          <w:szCs w:val="18"/>
        </w:rPr>
        <w:t xml:space="preserve"> complete response</w:t>
      </w:r>
      <w:r w:rsidRPr="002036CB">
        <w:rPr>
          <w:rFonts w:ascii="Times New Roman" w:eastAsia="ＭＳ 明朝" w:hAnsi="Times New Roman" w:cs="Times New Roman"/>
          <w:color w:val="000000"/>
          <w:sz w:val="18"/>
          <w:szCs w:val="18"/>
        </w:rPr>
        <w:t xml:space="preserve">, </w:t>
      </w:r>
      <w:r w:rsidRPr="002036CB">
        <w:rPr>
          <w:rFonts w:ascii="Segoe UI Symbol" w:eastAsia="ＭＳ 明朝" w:hAnsi="Segoe UI Symbol" w:cs="Segoe UI Symbol"/>
          <w:color w:val="000000"/>
          <w:sz w:val="18"/>
          <w:szCs w:val="18"/>
        </w:rPr>
        <w:t>⬤</w:t>
      </w:r>
      <w:r w:rsidRPr="002036CB">
        <w:rPr>
          <w:rFonts w:ascii="Times New Roman" w:eastAsia="ＭＳ 明朝" w:hAnsi="Times New Roman" w:cs="Times New Roman"/>
          <w:color w:val="000000"/>
          <w:sz w:val="18"/>
          <w:szCs w:val="18"/>
        </w:rPr>
        <w:t xml:space="preserve"> PR</w:t>
      </w:r>
      <w:r w:rsidR="00505A9E" w:rsidRPr="002036CB">
        <w:rPr>
          <w:rFonts w:ascii="Times New Roman" w:eastAsia="ＭＳ 明朝" w:hAnsi="Times New Roman" w:cs="Times New Roman" w:hint="eastAsia"/>
          <w:color w:val="000000"/>
          <w:sz w:val="18"/>
          <w:szCs w:val="18"/>
        </w:rPr>
        <w:t xml:space="preserve"> partial response</w:t>
      </w:r>
      <w:r w:rsidRPr="002036CB">
        <w:rPr>
          <w:rFonts w:ascii="Times New Roman" w:eastAsia="ＭＳ 明朝" w:hAnsi="Times New Roman" w:cs="Times New Roman"/>
          <w:color w:val="000000"/>
          <w:sz w:val="18"/>
          <w:szCs w:val="18"/>
        </w:rPr>
        <w:t xml:space="preserve">, </w:t>
      </w:r>
      <w:r w:rsidRPr="002036CB">
        <w:rPr>
          <w:rFonts w:ascii="ＭＳ 明朝" w:eastAsia="ＭＳ 明朝" w:hAnsi="ＭＳ 明朝" w:cs="ＭＳ 明朝" w:hint="eastAsia"/>
          <w:color w:val="000000"/>
          <w:sz w:val="18"/>
          <w:szCs w:val="18"/>
        </w:rPr>
        <w:t>◇</w:t>
      </w:r>
      <w:r w:rsidRPr="002036CB">
        <w:rPr>
          <w:rFonts w:ascii="Times New Roman" w:eastAsia="ＭＳ 明朝" w:hAnsi="Times New Roman" w:cs="Times New Roman"/>
          <w:color w:val="000000"/>
          <w:sz w:val="18"/>
          <w:szCs w:val="18"/>
        </w:rPr>
        <w:t xml:space="preserve"> SD</w:t>
      </w:r>
      <w:r w:rsidR="00505A9E" w:rsidRPr="002036CB">
        <w:rPr>
          <w:rFonts w:ascii="Times New Roman" w:eastAsia="ＭＳ 明朝" w:hAnsi="Times New Roman" w:cs="Times New Roman" w:hint="eastAsia"/>
          <w:color w:val="000000"/>
          <w:sz w:val="18"/>
          <w:szCs w:val="18"/>
        </w:rPr>
        <w:t xml:space="preserve"> stable disease</w:t>
      </w:r>
      <w:r w:rsidRPr="002036CB">
        <w:rPr>
          <w:rFonts w:ascii="Times New Roman" w:eastAsia="ＭＳ 明朝" w:hAnsi="Times New Roman" w:cs="Times New Roman"/>
          <w:color w:val="000000"/>
          <w:sz w:val="18"/>
          <w:szCs w:val="18"/>
        </w:rPr>
        <w:t xml:space="preserve">, </w:t>
      </w:r>
      <w:r w:rsidRPr="002036CB">
        <w:rPr>
          <w:rFonts w:ascii="Segoe UI Symbol" w:eastAsia="ＭＳ 明朝" w:hAnsi="Segoe UI Symbol" w:cs="Segoe UI Symbol"/>
          <w:color w:val="000000"/>
          <w:sz w:val="18"/>
          <w:szCs w:val="18"/>
        </w:rPr>
        <w:t>☐</w:t>
      </w:r>
      <w:r w:rsidRPr="002036CB">
        <w:rPr>
          <w:rFonts w:ascii="Times New Roman" w:eastAsia="ＭＳ 明朝" w:hAnsi="Times New Roman" w:cs="Times New Roman"/>
          <w:color w:val="000000"/>
          <w:sz w:val="18"/>
          <w:szCs w:val="18"/>
        </w:rPr>
        <w:t xml:space="preserve"> PD</w:t>
      </w:r>
      <w:r w:rsidR="00505A9E" w:rsidRPr="002036CB">
        <w:rPr>
          <w:rFonts w:ascii="Times New Roman" w:eastAsia="ＭＳ 明朝" w:hAnsi="Times New Roman" w:cs="Times New Roman" w:hint="eastAsia"/>
          <w:color w:val="000000"/>
          <w:sz w:val="18"/>
          <w:szCs w:val="18"/>
        </w:rPr>
        <w:t xml:space="preserve"> progressive disease</w:t>
      </w:r>
    </w:p>
    <w:p w14:paraId="23BD754A" w14:textId="090F93DB" w:rsidR="00B76FE0" w:rsidRPr="002036CB" w:rsidRDefault="00B76FE0" w:rsidP="00B76FE0">
      <w:pPr>
        <w:rPr>
          <w:rFonts w:ascii="Arial" w:hAnsi="Arial" w:cs="Arial"/>
          <w:b/>
          <w:bCs/>
          <w:sz w:val="20"/>
          <w:szCs w:val="20"/>
        </w:rPr>
      </w:pPr>
      <w:r w:rsidRPr="002036CB">
        <w:rPr>
          <w:rFonts w:ascii="Arial" w:hAnsi="Arial" w:cs="Arial"/>
          <w:b/>
          <w:bCs/>
          <w:sz w:val="20"/>
          <w:szCs w:val="20"/>
        </w:rPr>
        <w:t xml:space="preserve">Figure </w:t>
      </w:r>
      <w:r w:rsidR="00892167" w:rsidRPr="002036CB">
        <w:rPr>
          <w:rFonts w:ascii="Arial" w:hAnsi="Arial" w:cs="Arial" w:hint="eastAsia"/>
          <w:b/>
          <w:bCs/>
          <w:sz w:val="20"/>
          <w:szCs w:val="20"/>
        </w:rPr>
        <w:t>S</w:t>
      </w:r>
      <w:r w:rsidRPr="002036CB">
        <w:rPr>
          <w:rFonts w:ascii="Arial" w:hAnsi="Arial" w:cs="Arial"/>
          <w:b/>
          <w:bCs/>
          <w:sz w:val="20"/>
          <w:szCs w:val="20"/>
        </w:rPr>
        <w:t>2</w:t>
      </w:r>
      <w:r w:rsidR="002A6001" w:rsidRPr="002036CB">
        <w:rPr>
          <w:rFonts w:ascii="Arial" w:hAnsi="Arial" w:cs="Arial" w:hint="eastAsia"/>
          <w:b/>
          <w:bCs/>
          <w:sz w:val="20"/>
          <w:szCs w:val="20"/>
        </w:rPr>
        <w:t>.</w:t>
      </w:r>
      <w:r w:rsidRPr="002036CB">
        <w:rPr>
          <w:rFonts w:ascii="Arial" w:hAnsi="Arial" w:cs="Arial"/>
          <w:b/>
          <w:bCs/>
          <w:sz w:val="20"/>
          <w:szCs w:val="20"/>
        </w:rPr>
        <w:t xml:space="preserve"> The antitumor effect for each patient </w:t>
      </w:r>
      <w:r w:rsidR="00CB6754" w:rsidRPr="002036CB">
        <w:rPr>
          <w:rFonts w:ascii="Arial" w:hAnsi="Arial" w:cs="Arial" w:hint="eastAsia"/>
          <w:b/>
          <w:bCs/>
          <w:sz w:val="20"/>
          <w:szCs w:val="20"/>
        </w:rPr>
        <w:t xml:space="preserve">presented </w:t>
      </w:r>
      <w:r w:rsidRPr="002036CB">
        <w:rPr>
          <w:rFonts w:ascii="Arial" w:hAnsi="Arial" w:cs="Arial"/>
          <w:b/>
          <w:bCs/>
          <w:sz w:val="20"/>
          <w:szCs w:val="20"/>
        </w:rPr>
        <w:t xml:space="preserve">in </w:t>
      </w:r>
      <w:r w:rsidR="00CB6754" w:rsidRPr="002036CB">
        <w:rPr>
          <w:rFonts w:ascii="Arial" w:hAnsi="Arial" w:cs="Arial" w:hint="eastAsia"/>
          <w:b/>
          <w:bCs/>
          <w:sz w:val="20"/>
          <w:szCs w:val="20"/>
        </w:rPr>
        <w:t xml:space="preserve">a </w:t>
      </w:r>
      <w:r w:rsidRPr="002036CB">
        <w:rPr>
          <w:rFonts w:ascii="Arial" w:hAnsi="Arial" w:cs="Arial"/>
          <w:b/>
          <w:bCs/>
          <w:sz w:val="20"/>
          <w:szCs w:val="20"/>
        </w:rPr>
        <w:t xml:space="preserve">Swimmer </w:t>
      </w:r>
      <w:r w:rsidR="00CB6754" w:rsidRPr="002036CB">
        <w:rPr>
          <w:rFonts w:ascii="Arial" w:hAnsi="Arial" w:cs="Arial" w:hint="eastAsia"/>
          <w:b/>
          <w:bCs/>
          <w:sz w:val="20"/>
          <w:szCs w:val="20"/>
        </w:rPr>
        <w:t>p</w:t>
      </w:r>
      <w:r w:rsidRPr="002036CB">
        <w:rPr>
          <w:rFonts w:ascii="Arial" w:hAnsi="Arial" w:cs="Arial"/>
          <w:b/>
          <w:bCs/>
          <w:sz w:val="20"/>
          <w:szCs w:val="20"/>
        </w:rPr>
        <w:t>lot</w:t>
      </w:r>
    </w:p>
    <w:p w14:paraId="3812F51B" w14:textId="77777777" w:rsidR="00B76FE0" w:rsidRPr="002036CB" w:rsidRDefault="00B76FE0" w:rsidP="00B76FE0">
      <w:pPr>
        <w:rPr>
          <w:rFonts w:ascii="Times New Roman" w:hAnsi="Times New Roman"/>
          <w:sz w:val="21"/>
          <w:szCs w:val="21"/>
        </w:rPr>
      </w:pPr>
    </w:p>
    <w:p w14:paraId="4A51F0D6" w14:textId="61E30F72" w:rsidR="00B76FE0" w:rsidRPr="002036CB" w:rsidRDefault="00B76FE0" w:rsidP="00B76FE0">
      <w:pPr>
        <w:pStyle w:val="af5"/>
        <w:rPr>
          <w:rFonts w:ascii="Arial" w:hAnsi="Arial" w:cs="Arial"/>
          <w:sz w:val="20"/>
          <w:szCs w:val="20"/>
          <w:lang w:bidi="en-US"/>
        </w:rPr>
      </w:pPr>
      <w:r w:rsidRPr="002036CB">
        <w:rPr>
          <w:rFonts w:ascii="Arial" w:hAnsi="Arial" w:cs="Arial"/>
          <w:sz w:val="20"/>
          <w:szCs w:val="20"/>
          <w:lang w:eastAsia="ja-JP" w:bidi="en-US"/>
        </w:rPr>
        <w:t xml:space="preserve">Table </w:t>
      </w:r>
      <w:r w:rsidR="00892167" w:rsidRPr="002036CB">
        <w:rPr>
          <w:rFonts w:ascii="Arial" w:hAnsi="Arial" w:cs="Arial" w:hint="eastAsia"/>
          <w:sz w:val="20"/>
          <w:szCs w:val="20"/>
          <w:lang w:eastAsia="ja-JP" w:bidi="en-US"/>
        </w:rPr>
        <w:t>S</w:t>
      </w:r>
      <w:r w:rsidRPr="002036CB">
        <w:rPr>
          <w:rFonts w:ascii="Arial" w:hAnsi="Arial" w:cs="Arial"/>
          <w:sz w:val="20"/>
          <w:szCs w:val="20"/>
          <w:lang w:eastAsia="ja-JP" w:bidi="en-US"/>
        </w:rPr>
        <w:t>1</w:t>
      </w:r>
      <w:r w:rsidR="002A6001" w:rsidRPr="002036CB">
        <w:rPr>
          <w:rFonts w:ascii="Arial" w:hAnsi="Arial" w:cs="Arial" w:hint="eastAsia"/>
          <w:sz w:val="20"/>
          <w:szCs w:val="20"/>
          <w:lang w:eastAsia="ja-JP" w:bidi="en-US"/>
        </w:rPr>
        <w:t>.</w:t>
      </w:r>
      <w:r w:rsidRPr="002036CB">
        <w:rPr>
          <w:rFonts w:ascii="Arial" w:hAnsi="Arial" w:cs="Arial"/>
          <w:sz w:val="20"/>
          <w:szCs w:val="20"/>
          <w:lang w:eastAsia="ja-JP" w:bidi="en-US"/>
        </w:rPr>
        <w:t xml:space="preserve"> </w:t>
      </w:r>
      <w:r w:rsidRPr="002036CB">
        <w:rPr>
          <w:rFonts w:ascii="Arial" w:hAnsi="Arial" w:cs="Arial"/>
          <w:sz w:val="20"/>
          <w:szCs w:val="20"/>
          <w:lang w:bidi="en-US"/>
        </w:rPr>
        <w:t xml:space="preserve">Blood </w:t>
      </w:r>
      <w:r w:rsidR="00624CC6" w:rsidRPr="002036CB">
        <w:rPr>
          <w:rFonts w:ascii="Arial" w:hAnsi="Arial" w:cs="Arial" w:hint="eastAsia"/>
          <w:sz w:val="20"/>
          <w:szCs w:val="20"/>
          <w:lang w:eastAsia="ja-JP" w:bidi="en-US"/>
        </w:rPr>
        <w:t>s</w:t>
      </w:r>
      <w:r w:rsidRPr="002036CB">
        <w:rPr>
          <w:rFonts w:ascii="Arial" w:hAnsi="Arial" w:cs="Arial"/>
          <w:sz w:val="20"/>
          <w:szCs w:val="20"/>
          <w:lang w:bidi="en-US"/>
        </w:rPr>
        <w:t xml:space="preserve">ampling </w:t>
      </w:r>
      <w:r w:rsidR="00624CC6" w:rsidRPr="002036CB">
        <w:rPr>
          <w:rFonts w:ascii="Arial" w:hAnsi="Arial" w:cs="Arial" w:hint="eastAsia"/>
          <w:sz w:val="20"/>
          <w:szCs w:val="20"/>
          <w:lang w:eastAsia="ja-JP" w:bidi="en-US"/>
        </w:rPr>
        <w:t>t</w:t>
      </w:r>
      <w:r w:rsidRPr="002036CB">
        <w:rPr>
          <w:rFonts w:ascii="Arial" w:hAnsi="Arial" w:cs="Arial"/>
          <w:sz w:val="20"/>
          <w:szCs w:val="20"/>
          <w:lang w:bidi="en-US"/>
        </w:rPr>
        <w:t>ime</w:t>
      </w:r>
      <w:r w:rsidR="00624CC6" w:rsidRPr="002036CB">
        <w:rPr>
          <w:rFonts w:ascii="Arial" w:hAnsi="Arial" w:cs="Arial" w:hint="eastAsia"/>
          <w:sz w:val="20"/>
          <w:szCs w:val="20"/>
          <w:lang w:eastAsia="ja-JP" w:bidi="en-US"/>
        </w:rPr>
        <w:t>-p</w:t>
      </w:r>
      <w:r w:rsidRPr="002036CB">
        <w:rPr>
          <w:rFonts w:ascii="Arial" w:hAnsi="Arial" w:cs="Arial"/>
          <w:sz w:val="20"/>
          <w:szCs w:val="20"/>
          <w:lang w:bidi="en-US"/>
        </w:rPr>
        <w:t xml:space="preserve">oints and </w:t>
      </w:r>
      <w:r w:rsidR="00624CC6" w:rsidRPr="002036CB">
        <w:rPr>
          <w:rFonts w:ascii="Arial" w:hAnsi="Arial" w:cs="Arial" w:hint="eastAsia"/>
          <w:sz w:val="20"/>
          <w:szCs w:val="20"/>
          <w:lang w:eastAsia="ja-JP" w:bidi="en-US"/>
        </w:rPr>
        <w:t>s</w:t>
      </w:r>
      <w:r w:rsidRPr="002036CB">
        <w:rPr>
          <w:rFonts w:ascii="Arial" w:hAnsi="Arial" w:cs="Arial"/>
          <w:sz w:val="20"/>
          <w:szCs w:val="20"/>
          <w:lang w:bidi="en-US"/>
        </w:rPr>
        <w:t xml:space="preserve">ampling </w:t>
      </w:r>
      <w:r w:rsidR="00624CC6" w:rsidRPr="002036CB">
        <w:rPr>
          <w:rFonts w:ascii="Arial" w:hAnsi="Arial" w:cs="Arial" w:hint="eastAsia"/>
          <w:sz w:val="20"/>
          <w:szCs w:val="20"/>
          <w:lang w:eastAsia="ja-JP" w:bidi="en-US"/>
        </w:rPr>
        <w:t>v</w:t>
      </w:r>
      <w:r w:rsidRPr="002036CB">
        <w:rPr>
          <w:rFonts w:ascii="Arial" w:hAnsi="Arial" w:cs="Arial"/>
          <w:sz w:val="20"/>
          <w:szCs w:val="20"/>
          <w:lang w:bidi="en-US"/>
        </w:rPr>
        <w:t xml:space="preserve">olumes for PK </w:t>
      </w:r>
      <w:r w:rsidR="00624CC6" w:rsidRPr="002036CB">
        <w:rPr>
          <w:rFonts w:ascii="Arial" w:hAnsi="Arial" w:cs="Arial" w:hint="eastAsia"/>
          <w:sz w:val="20"/>
          <w:szCs w:val="20"/>
          <w:lang w:eastAsia="ja-JP" w:bidi="en-US"/>
        </w:rPr>
        <w:t>a</w:t>
      </w:r>
      <w:r w:rsidRPr="002036CB">
        <w:rPr>
          <w:rFonts w:ascii="Arial" w:hAnsi="Arial" w:cs="Arial"/>
          <w:sz w:val="20"/>
          <w:szCs w:val="20"/>
          <w:lang w:bidi="en-US"/>
        </w:rPr>
        <w:t>nalyses</w:t>
      </w:r>
    </w:p>
    <w:tbl>
      <w:tblPr>
        <w:tblW w:w="517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00"/>
        <w:gridCol w:w="989"/>
        <w:gridCol w:w="989"/>
        <w:gridCol w:w="852"/>
        <w:gridCol w:w="852"/>
        <w:gridCol w:w="850"/>
        <w:gridCol w:w="850"/>
      </w:tblGrid>
      <w:tr w:rsidR="001673F1" w:rsidRPr="002036CB" w14:paraId="5DC5CB42" w14:textId="77777777" w:rsidTr="001673F1">
        <w:trPr>
          <w:tblHeader/>
        </w:trPr>
        <w:tc>
          <w:tcPr>
            <w:tcW w:w="1936" w:type="pct"/>
            <w:hideMark/>
          </w:tcPr>
          <w:p w14:paraId="44912E63" w14:textId="77777777" w:rsidR="00B76FE0" w:rsidRPr="002036CB" w:rsidRDefault="00B76FE0" w:rsidP="00FF6414">
            <w:pPr>
              <w:pStyle w:val="C-TableText"/>
              <w:rPr>
                <w:rFonts w:ascii="Arial" w:hAnsi="Arial" w:cs="Arial"/>
                <w:b/>
                <w:sz w:val="20"/>
              </w:rPr>
            </w:pPr>
            <w:r w:rsidRPr="002036CB">
              <w:rPr>
                <w:rFonts w:ascii="Arial" w:hAnsi="Arial" w:cs="Arial"/>
                <w:b/>
                <w:sz w:val="20"/>
                <w:lang w:bidi="en-US"/>
              </w:rPr>
              <w:t>Blood sampling time</w:t>
            </w:r>
          </w:p>
        </w:tc>
        <w:tc>
          <w:tcPr>
            <w:tcW w:w="563" w:type="pct"/>
            <w:vAlign w:val="center"/>
          </w:tcPr>
          <w:p w14:paraId="10AD7458" w14:textId="77777777" w:rsidR="00B76FE0" w:rsidRPr="002036CB" w:rsidRDefault="00B76FE0" w:rsidP="00FF6414">
            <w:pPr>
              <w:pStyle w:val="C-TableText"/>
              <w:jc w:val="center"/>
              <w:rPr>
                <w:rFonts w:ascii="Arial" w:hAnsi="Arial" w:cs="Arial"/>
                <w:b/>
                <w:sz w:val="20"/>
              </w:rPr>
            </w:pPr>
            <w:r w:rsidRPr="002036CB">
              <w:rPr>
                <w:rFonts w:ascii="Arial" w:hAnsi="Arial" w:cs="Arial"/>
                <w:b/>
                <w:sz w:val="20"/>
              </w:rPr>
              <w:t>Day −3</w:t>
            </w:r>
          </w:p>
        </w:tc>
        <w:tc>
          <w:tcPr>
            <w:tcW w:w="563" w:type="pct"/>
            <w:vAlign w:val="center"/>
          </w:tcPr>
          <w:p w14:paraId="6955086B" w14:textId="77777777" w:rsidR="00B76FE0" w:rsidRPr="002036CB" w:rsidRDefault="00B76FE0" w:rsidP="00FF6414">
            <w:pPr>
              <w:pStyle w:val="C-TableText"/>
              <w:jc w:val="center"/>
              <w:rPr>
                <w:rFonts w:ascii="Arial" w:hAnsi="Arial" w:cs="Arial"/>
                <w:b/>
                <w:sz w:val="20"/>
              </w:rPr>
            </w:pPr>
            <w:r w:rsidRPr="002036CB">
              <w:rPr>
                <w:rFonts w:ascii="Arial" w:hAnsi="Arial" w:cs="Arial"/>
                <w:b/>
                <w:sz w:val="20"/>
              </w:rPr>
              <w:t>Day −2</w:t>
            </w:r>
          </w:p>
        </w:tc>
        <w:tc>
          <w:tcPr>
            <w:tcW w:w="485" w:type="pct"/>
            <w:vAlign w:val="center"/>
          </w:tcPr>
          <w:p w14:paraId="7E30D067" w14:textId="77777777" w:rsidR="00B76FE0" w:rsidRPr="002036CB" w:rsidRDefault="00B76FE0" w:rsidP="00FF6414">
            <w:pPr>
              <w:pStyle w:val="C-TableText"/>
              <w:jc w:val="center"/>
              <w:rPr>
                <w:rFonts w:ascii="Arial" w:hAnsi="Arial" w:cs="Arial"/>
                <w:b/>
                <w:sz w:val="20"/>
              </w:rPr>
            </w:pPr>
            <w:r w:rsidRPr="002036CB">
              <w:rPr>
                <w:rFonts w:ascii="Arial" w:hAnsi="Arial" w:cs="Arial"/>
                <w:b/>
                <w:sz w:val="20"/>
              </w:rPr>
              <w:t>Day 1</w:t>
            </w:r>
          </w:p>
        </w:tc>
        <w:tc>
          <w:tcPr>
            <w:tcW w:w="485" w:type="pct"/>
            <w:vAlign w:val="center"/>
          </w:tcPr>
          <w:p w14:paraId="31B7EFF6" w14:textId="77777777" w:rsidR="00B76FE0" w:rsidRPr="002036CB" w:rsidRDefault="00B76FE0" w:rsidP="00FF6414">
            <w:pPr>
              <w:pStyle w:val="C-TableText"/>
              <w:jc w:val="center"/>
              <w:rPr>
                <w:rFonts w:ascii="Arial" w:hAnsi="Arial" w:cs="Arial"/>
                <w:b/>
                <w:sz w:val="20"/>
              </w:rPr>
            </w:pPr>
            <w:r w:rsidRPr="002036CB">
              <w:rPr>
                <w:rFonts w:ascii="Arial" w:hAnsi="Arial" w:cs="Arial"/>
                <w:b/>
                <w:sz w:val="20"/>
              </w:rPr>
              <w:t>Day 2</w:t>
            </w:r>
          </w:p>
        </w:tc>
        <w:tc>
          <w:tcPr>
            <w:tcW w:w="484" w:type="pct"/>
            <w:vAlign w:val="center"/>
          </w:tcPr>
          <w:p w14:paraId="787D839C" w14:textId="77777777" w:rsidR="00B76FE0" w:rsidRPr="002036CB" w:rsidRDefault="00B76FE0" w:rsidP="00FF6414">
            <w:pPr>
              <w:pStyle w:val="C-TableText"/>
              <w:jc w:val="center"/>
              <w:rPr>
                <w:rFonts w:ascii="Arial" w:hAnsi="Arial" w:cs="Arial"/>
                <w:b/>
                <w:sz w:val="20"/>
              </w:rPr>
            </w:pPr>
            <w:r w:rsidRPr="002036CB">
              <w:rPr>
                <w:rFonts w:ascii="Arial" w:hAnsi="Arial" w:cs="Arial"/>
                <w:b/>
                <w:sz w:val="20"/>
              </w:rPr>
              <w:t>Day 4</w:t>
            </w:r>
          </w:p>
        </w:tc>
        <w:tc>
          <w:tcPr>
            <w:tcW w:w="484" w:type="pct"/>
            <w:vAlign w:val="center"/>
            <w:hideMark/>
          </w:tcPr>
          <w:p w14:paraId="022EF04F" w14:textId="77777777" w:rsidR="00B76FE0" w:rsidRPr="002036CB" w:rsidRDefault="00B76FE0" w:rsidP="00FF6414">
            <w:pPr>
              <w:pStyle w:val="C-TableText"/>
              <w:jc w:val="center"/>
              <w:rPr>
                <w:rFonts w:ascii="Arial" w:hAnsi="Arial" w:cs="Arial"/>
                <w:b/>
                <w:sz w:val="20"/>
              </w:rPr>
            </w:pPr>
            <w:r w:rsidRPr="002036CB">
              <w:rPr>
                <w:rFonts w:ascii="Arial" w:hAnsi="Arial" w:cs="Arial"/>
                <w:b/>
                <w:sz w:val="20"/>
              </w:rPr>
              <w:t>Day 5</w:t>
            </w:r>
          </w:p>
        </w:tc>
      </w:tr>
      <w:tr w:rsidR="001673F1" w:rsidRPr="002036CB" w14:paraId="18EC9734" w14:textId="77777777" w:rsidTr="001673F1">
        <w:tc>
          <w:tcPr>
            <w:tcW w:w="1936" w:type="pct"/>
          </w:tcPr>
          <w:p w14:paraId="0813848A" w14:textId="77777777" w:rsidR="00B76FE0" w:rsidRPr="002036CB" w:rsidRDefault="00B76FE0" w:rsidP="00FF6414">
            <w:pPr>
              <w:pStyle w:val="C-TableText"/>
              <w:rPr>
                <w:rFonts w:ascii="Arial" w:hAnsi="Arial" w:cs="Arial"/>
                <w:sz w:val="20"/>
              </w:rPr>
            </w:pPr>
            <w:r w:rsidRPr="002036CB">
              <w:rPr>
                <w:rFonts w:ascii="Arial" w:hAnsi="Arial" w:cs="Arial"/>
                <w:sz w:val="20"/>
                <w:lang w:bidi="en-US"/>
              </w:rPr>
              <w:t xml:space="preserve">Pre-dose (within −60 minutes or −30 minutes) </w:t>
            </w:r>
            <w:r w:rsidRPr="002036CB">
              <w:rPr>
                <w:rFonts w:ascii="Arial" w:hAnsi="Arial" w:cs="Arial"/>
                <w:sz w:val="20"/>
                <w:vertAlign w:val="superscript"/>
                <w:lang w:bidi="en-US"/>
              </w:rPr>
              <w:t>a</w:t>
            </w:r>
          </w:p>
        </w:tc>
        <w:tc>
          <w:tcPr>
            <w:tcW w:w="563" w:type="pct"/>
            <w:vAlign w:val="center"/>
          </w:tcPr>
          <w:p w14:paraId="6FD05947"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563" w:type="pct"/>
            <w:vAlign w:val="center"/>
          </w:tcPr>
          <w:p w14:paraId="26FDED02"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767A3513"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49530174"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4" w:type="pct"/>
            <w:vAlign w:val="center"/>
          </w:tcPr>
          <w:p w14:paraId="106B9A2F"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 xml:space="preserve">x </w:t>
            </w:r>
            <w:r w:rsidRPr="002036CB">
              <w:rPr>
                <w:rFonts w:ascii="Arial" w:hAnsi="Arial" w:cs="Arial"/>
                <w:sz w:val="20"/>
                <w:vertAlign w:val="superscript"/>
              </w:rPr>
              <w:t>c</w:t>
            </w:r>
          </w:p>
        </w:tc>
        <w:tc>
          <w:tcPr>
            <w:tcW w:w="484" w:type="pct"/>
            <w:vAlign w:val="center"/>
          </w:tcPr>
          <w:p w14:paraId="0B06A4CA"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 xml:space="preserve">x </w:t>
            </w:r>
            <w:r w:rsidRPr="002036CB">
              <w:rPr>
                <w:rFonts w:ascii="Arial" w:hAnsi="Arial" w:cs="Arial"/>
                <w:sz w:val="20"/>
                <w:vertAlign w:val="superscript"/>
              </w:rPr>
              <w:t>c</w:t>
            </w:r>
          </w:p>
        </w:tc>
      </w:tr>
      <w:tr w:rsidR="001673F1" w:rsidRPr="002036CB" w14:paraId="7038DAE2" w14:textId="77777777" w:rsidTr="001673F1">
        <w:tc>
          <w:tcPr>
            <w:tcW w:w="1936" w:type="pct"/>
          </w:tcPr>
          <w:p w14:paraId="477153BF" w14:textId="77777777" w:rsidR="00B76FE0" w:rsidRPr="002036CB" w:rsidRDefault="00B76FE0" w:rsidP="00FF6414">
            <w:pPr>
              <w:pStyle w:val="C-TableText"/>
              <w:rPr>
                <w:rFonts w:ascii="Arial" w:hAnsi="Arial" w:cs="Arial"/>
                <w:sz w:val="20"/>
              </w:rPr>
            </w:pPr>
            <w:r w:rsidRPr="002036CB">
              <w:rPr>
                <w:rFonts w:ascii="Arial" w:hAnsi="Arial" w:cs="Arial"/>
                <w:sz w:val="20"/>
                <w:lang w:bidi="en-US"/>
              </w:rPr>
              <w:t>0.25 hours post-dose (±5 minutes)</w:t>
            </w:r>
            <w:r w:rsidRPr="002036CB">
              <w:rPr>
                <w:rFonts w:ascii="Arial" w:hAnsi="Arial" w:cs="Arial"/>
                <w:sz w:val="20"/>
                <w:vertAlign w:val="superscript"/>
                <w:lang w:bidi="en-US"/>
              </w:rPr>
              <w:t xml:space="preserve"> b</w:t>
            </w:r>
          </w:p>
        </w:tc>
        <w:tc>
          <w:tcPr>
            <w:tcW w:w="563" w:type="pct"/>
            <w:vAlign w:val="center"/>
          </w:tcPr>
          <w:p w14:paraId="61A6A685" w14:textId="77777777" w:rsidR="00B76FE0" w:rsidRPr="002036CB" w:rsidRDefault="00B76FE0" w:rsidP="00FF6414">
            <w:pPr>
              <w:pStyle w:val="C-TableText"/>
              <w:jc w:val="center"/>
              <w:rPr>
                <w:rFonts w:ascii="Arial" w:hAnsi="Arial" w:cs="Arial"/>
                <w:sz w:val="20"/>
                <w:lang w:eastAsia="zh-TW"/>
              </w:rPr>
            </w:pPr>
          </w:p>
        </w:tc>
        <w:tc>
          <w:tcPr>
            <w:tcW w:w="563" w:type="pct"/>
            <w:vAlign w:val="center"/>
          </w:tcPr>
          <w:p w14:paraId="514F17E1"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6253EB3A" w14:textId="77777777" w:rsidR="00B76FE0" w:rsidRPr="002036CB" w:rsidRDefault="00B76FE0" w:rsidP="00FF6414">
            <w:pPr>
              <w:pStyle w:val="C-TableText"/>
              <w:jc w:val="center"/>
              <w:rPr>
                <w:rFonts w:ascii="Arial" w:hAnsi="Arial" w:cs="Arial"/>
                <w:sz w:val="20"/>
              </w:rPr>
            </w:pPr>
          </w:p>
        </w:tc>
        <w:tc>
          <w:tcPr>
            <w:tcW w:w="485" w:type="pct"/>
            <w:vAlign w:val="center"/>
          </w:tcPr>
          <w:p w14:paraId="4873FDC4" w14:textId="77777777" w:rsidR="00B76FE0" w:rsidRPr="002036CB" w:rsidRDefault="00B76FE0" w:rsidP="00FF6414">
            <w:pPr>
              <w:pStyle w:val="C-TableText"/>
              <w:jc w:val="center"/>
              <w:rPr>
                <w:rFonts w:ascii="Arial" w:hAnsi="Arial" w:cs="Arial"/>
                <w:sz w:val="20"/>
              </w:rPr>
            </w:pPr>
          </w:p>
        </w:tc>
        <w:tc>
          <w:tcPr>
            <w:tcW w:w="484" w:type="pct"/>
            <w:vAlign w:val="center"/>
          </w:tcPr>
          <w:p w14:paraId="24DB1F0C" w14:textId="77777777" w:rsidR="00B76FE0" w:rsidRPr="002036CB" w:rsidRDefault="00B76FE0" w:rsidP="00FF6414">
            <w:pPr>
              <w:pStyle w:val="C-TableText"/>
              <w:jc w:val="center"/>
              <w:rPr>
                <w:rFonts w:ascii="Arial" w:hAnsi="Arial" w:cs="Arial"/>
                <w:sz w:val="20"/>
              </w:rPr>
            </w:pPr>
          </w:p>
        </w:tc>
        <w:tc>
          <w:tcPr>
            <w:tcW w:w="484" w:type="pct"/>
            <w:vAlign w:val="center"/>
          </w:tcPr>
          <w:p w14:paraId="0542D6D8"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r>
      <w:tr w:rsidR="001673F1" w:rsidRPr="002036CB" w14:paraId="6F56CA1A" w14:textId="77777777" w:rsidTr="001673F1">
        <w:tc>
          <w:tcPr>
            <w:tcW w:w="1936" w:type="pct"/>
          </w:tcPr>
          <w:p w14:paraId="5031F5B4" w14:textId="77777777" w:rsidR="00B76FE0" w:rsidRPr="002036CB" w:rsidRDefault="00B76FE0" w:rsidP="00FF6414">
            <w:pPr>
              <w:pStyle w:val="C-TableText"/>
              <w:rPr>
                <w:rFonts w:ascii="Arial" w:hAnsi="Arial" w:cs="Arial"/>
                <w:sz w:val="20"/>
              </w:rPr>
            </w:pPr>
            <w:r w:rsidRPr="002036CB">
              <w:rPr>
                <w:rFonts w:ascii="Arial" w:hAnsi="Arial" w:cs="Arial"/>
                <w:sz w:val="20"/>
                <w:lang w:bidi="en-US"/>
              </w:rPr>
              <w:t>0.5 hours post-dose (±5 minutes)</w:t>
            </w:r>
            <w:r w:rsidRPr="002036CB">
              <w:rPr>
                <w:rFonts w:ascii="Arial" w:hAnsi="Arial" w:cs="Arial"/>
                <w:sz w:val="20"/>
                <w:vertAlign w:val="superscript"/>
                <w:lang w:bidi="en-US"/>
              </w:rPr>
              <w:t xml:space="preserve"> b</w:t>
            </w:r>
          </w:p>
        </w:tc>
        <w:tc>
          <w:tcPr>
            <w:tcW w:w="563" w:type="pct"/>
            <w:vAlign w:val="center"/>
          </w:tcPr>
          <w:p w14:paraId="27ABDFEC"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563" w:type="pct"/>
            <w:vAlign w:val="center"/>
          </w:tcPr>
          <w:p w14:paraId="07BA18EF"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095B4525"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0D785863" w14:textId="77777777" w:rsidR="00B76FE0" w:rsidRPr="002036CB" w:rsidRDefault="00B76FE0" w:rsidP="00FF6414">
            <w:pPr>
              <w:pStyle w:val="C-TableText"/>
              <w:jc w:val="center"/>
              <w:rPr>
                <w:rFonts w:ascii="Arial" w:hAnsi="Arial" w:cs="Arial"/>
                <w:sz w:val="20"/>
              </w:rPr>
            </w:pPr>
          </w:p>
        </w:tc>
        <w:tc>
          <w:tcPr>
            <w:tcW w:w="484" w:type="pct"/>
            <w:vAlign w:val="center"/>
          </w:tcPr>
          <w:p w14:paraId="5CE38D6D"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4" w:type="pct"/>
            <w:vAlign w:val="center"/>
          </w:tcPr>
          <w:p w14:paraId="20B58908"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r>
      <w:tr w:rsidR="001673F1" w:rsidRPr="002036CB" w14:paraId="54678913" w14:textId="77777777" w:rsidTr="001673F1">
        <w:tc>
          <w:tcPr>
            <w:tcW w:w="1936" w:type="pct"/>
          </w:tcPr>
          <w:p w14:paraId="6F942B3F" w14:textId="77777777" w:rsidR="00B76FE0" w:rsidRPr="002036CB" w:rsidRDefault="00B76FE0" w:rsidP="00FF6414">
            <w:pPr>
              <w:pStyle w:val="C-TableText"/>
              <w:rPr>
                <w:rFonts w:ascii="Arial" w:hAnsi="Arial" w:cs="Arial"/>
                <w:sz w:val="20"/>
              </w:rPr>
            </w:pPr>
            <w:proofErr w:type="gramStart"/>
            <w:r w:rsidRPr="002036CB">
              <w:rPr>
                <w:rFonts w:ascii="Arial" w:hAnsi="Arial" w:cs="Arial"/>
                <w:sz w:val="20"/>
                <w:lang w:bidi="en-US"/>
              </w:rPr>
              <w:t>1 hour</w:t>
            </w:r>
            <w:proofErr w:type="gramEnd"/>
            <w:r w:rsidRPr="002036CB">
              <w:rPr>
                <w:rFonts w:ascii="Arial" w:hAnsi="Arial" w:cs="Arial"/>
                <w:sz w:val="20"/>
                <w:lang w:bidi="en-US"/>
              </w:rPr>
              <w:t xml:space="preserve"> post-dose (±5 minutes)</w:t>
            </w:r>
            <w:r w:rsidRPr="002036CB">
              <w:rPr>
                <w:rFonts w:ascii="Arial" w:hAnsi="Arial" w:cs="Arial"/>
                <w:sz w:val="20"/>
                <w:vertAlign w:val="superscript"/>
                <w:lang w:bidi="en-US"/>
              </w:rPr>
              <w:t xml:space="preserve"> b</w:t>
            </w:r>
          </w:p>
        </w:tc>
        <w:tc>
          <w:tcPr>
            <w:tcW w:w="563" w:type="pct"/>
            <w:vAlign w:val="center"/>
          </w:tcPr>
          <w:p w14:paraId="224C0DFE"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563" w:type="pct"/>
            <w:vAlign w:val="center"/>
          </w:tcPr>
          <w:p w14:paraId="5AC197B9"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4FE674DD"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571E2843" w14:textId="77777777" w:rsidR="00B76FE0" w:rsidRPr="002036CB" w:rsidRDefault="00B76FE0" w:rsidP="00FF6414">
            <w:pPr>
              <w:pStyle w:val="C-TableText"/>
              <w:jc w:val="center"/>
              <w:rPr>
                <w:rFonts w:ascii="Arial" w:hAnsi="Arial" w:cs="Arial"/>
                <w:sz w:val="20"/>
              </w:rPr>
            </w:pPr>
          </w:p>
        </w:tc>
        <w:tc>
          <w:tcPr>
            <w:tcW w:w="484" w:type="pct"/>
            <w:vAlign w:val="center"/>
          </w:tcPr>
          <w:p w14:paraId="3AFB7459"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4" w:type="pct"/>
            <w:vAlign w:val="center"/>
          </w:tcPr>
          <w:p w14:paraId="5BAB4449"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r>
      <w:tr w:rsidR="001673F1" w:rsidRPr="002036CB" w14:paraId="71E5A343" w14:textId="77777777" w:rsidTr="001673F1">
        <w:tc>
          <w:tcPr>
            <w:tcW w:w="1936" w:type="pct"/>
          </w:tcPr>
          <w:p w14:paraId="23026E9A" w14:textId="77777777" w:rsidR="00B76FE0" w:rsidRPr="002036CB" w:rsidRDefault="00B76FE0" w:rsidP="00FF6414">
            <w:pPr>
              <w:pStyle w:val="C-TableText"/>
              <w:rPr>
                <w:rFonts w:ascii="Arial" w:hAnsi="Arial" w:cs="Arial"/>
                <w:sz w:val="20"/>
              </w:rPr>
            </w:pPr>
            <w:r w:rsidRPr="002036CB">
              <w:rPr>
                <w:rFonts w:ascii="Arial" w:hAnsi="Arial" w:cs="Arial"/>
                <w:sz w:val="20"/>
                <w:lang w:bidi="en-US"/>
              </w:rPr>
              <w:t>2 hours post-dose (±10 minutes)</w:t>
            </w:r>
            <w:r w:rsidRPr="002036CB">
              <w:rPr>
                <w:rFonts w:ascii="Arial" w:hAnsi="Arial" w:cs="Arial"/>
                <w:sz w:val="20"/>
                <w:vertAlign w:val="superscript"/>
                <w:lang w:bidi="en-US"/>
              </w:rPr>
              <w:t xml:space="preserve"> b</w:t>
            </w:r>
          </w:p>
        </w:tc>
        <w:tc>
          <w:tcPr>
            <w:tcW w:w="563" w:type="pct"/>
            <w:vAlign w:val="center"/>
          </w:tcPr>
          <w:p w14:paraId="2F59D579"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563" w:type="pct"/>
            <w:vAlign w:val="center"/>
          </w:tcPr>
          <w:p w14:paraId="245F6065"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7A01C992"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319EDFCC" w14:textId="77777777" w:rsidR="00B76FE0" w:rsidRPr="002036CB" w:rsidRDefault="00B76FE0" w:rsidP="00FF6414">
            <w:pPr>
              <w:pStyle w:val="C-TableText"/>
              <w:jc w:val="center"/>
              <w:rPr>
                <w:rFonts w:ascii="Arial" w:hAnsi="Arial" w:cs="Arial"/>
                <w:sz w:val="20"/>
              </w:rPr>
            </w:pPr>
          </w:p>
        </w:tc>
        <w:tc>
          <w:tcPr>
            <w:tcW w:w="484" w:type="pct"/>
            <w:vAlign w:val="center"/>
          </w:tcPr>
          <w:p w14:paraId="36FC7565"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4" w:type="pct"/>
            <w:vAlign w:val="center"/>
          </w:tcPr>
          <w:p w14:paraId="0E3066D5"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r>
      <w:tr w:rsidR="001673F1" w:rsidRPr="002036CB" w14:paraId="4B708B14" w14:textId="77777777" w:rsidTr="001673F1">
        <w:tc>
          <w:tcPr>
            <w:tcW w:w="1936" w:type="pct"/>
          </w:tcPr>
          <w:p w14:paraId="11B52FCA" w14:textId="77777777" w:rsidR="00B76FE0" w:rsidRPr="002036CB" w:rsidRDefault="00B76FE0" w:rsidP="00FF6414">
            <w:pPr>
              <w:pStyle w:val="C-TableText"/>
              <w:rPr>
                <w:rFonts w:ascii="Arial" w:hAnsi="Arial" w:cs="Arial"/>
                <w:sz w:val="20"/>
              </w:rPr>
            </w:pPr>
            <w:r w:rsidRPr="002036CB">
              <w:rPr>
                <w:rFonts w:ascii="Arial" w:hAnsi="Arial" w:cs="Arial"/>
                <w:sz w:val="20"/>
                <w:lang w:bidi="en-US"/>
              </w:rPr>
              <w:t>3 hours post-dose (±10 minutes)</w:t>
            </w:r>
            <w:r w:rsidRPr="002036CB">
              <w:rPr>
                <w:rFonts w:ascii="Arial" w:hAnsi="Arial" w:cs="Arial"/>
                <w:sz w:val="20"/>
                <w:vertAlign w:val="superscript"/>
                <w:lang w:bidi="en-US"/>
              </w:rPr>
              <w:t xml:space="preserve"> b</w:t>
            </w:r>
          </w:p>
        </w:tc>
        <w:tc>
          <w:tcPr>
            <w:tcW w:w="563" w:type="pct"/>
            <w:vAlign w:val="center"/>
          </w:tcPr>
          <w:p w14:paraId="6EF701F7"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563" w:type="pct"/>
            <w:vAlign w:val="center"/>
          </w:tcPr>
          <w:p w14:paraId="151359AB"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2263AF31" w14:textId="77777777" w:rsidR="00B76FE0" w:rsidRPr="002036CB" w:rsidRDefault="00B76FE0" w:rsidP="00FF6414">
            <w:pPr>
              <w:pStyle w:val="C-TableText"/>
              <w:jc w:val="center"/>
              <w:rPr>
                <w:rFonts w:ascii="Arial" w:hAnsi="Arial" w:cs="Arial"/>
                <w:sz w:val="20"/>
              </w:rPr>
            </w:pPr>
          </w:p>
        </w:tc>
        <w:tc>
          <w:tcPr>
            <w:tcW w:w="485" w:type="pct"/>
            <w:vAlign w:val="center"/>
          </w:tcPr>
          <w:p w14:paraId="6544BBDF" w14:textId="77777777" w:rsidR="00B76FE0" w:rsidRPr="002036CB" w:rsidRDefault="00B76FE0" w:rsidP="00FF6414">
            <w:pPr>
              <w:pStyle w:val="C-TableText"/>
              <w:jc w:val="center"/>
              <w:rPr>
                <w:rFonts w:ascii="Arial" w:hAnsi="Arial" w:cs="Arial"/>
                <w:sz w:val="20"/>
              </w:rPr>
            </w:pPr>
          </w:p>
        </w:tc>
        <w:tc>
          <w:tcPr>
            <w:tcW w:w="484" w:type="pct"/>
            <w:vAlign w:val="center"/>
          </w:tcPr>
          <w:p w14:paraId="18E84862"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4" w:type="pct"/>
            <w:vAlign w:val="center"/>
          </w:tcPr>
          <w:p w14:paraId="222DA06F"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r>
      <w:tr w:rsidR="001673F1" w:rsidRPr="002036CB" w14:paraId="117DC0F0" w14:textId="77777777" w:rsidTr="001673F1">
        <w:tc>
          <w:tcPr>
            <w:tcW w:w="1936" w:type="pct"/>
          </w:tcPr>
          <w:p w14:paraId="3794666B" w14:textId="77777777" w:rsidR="00B76FE0" w:rsidRPr="002036CB" w:rsidRDefault="00B76FE0" w:rsidP="00FF6414">
            <w:pPr>
              <w:pStyle w:val="C-TableText"/>
              <w:rPr>
                <w:rFonts w:ascii="Arial" w:hAnsi="Arial" w:cs="Arial"/>
                <w:sz w:val="20"/>
              </w:rPr>
            </w:pPr>
            <w:r w:rsidRPr="002036CB">
              <w:rPr>
                <w:rFonts w:ascii="Arial" w:hAnsi="Arial" w:cs="Arial"/>
                <w:sz w:val="20"/>
                <w:lang w:bidi="en-US"/>
              </w:rPr>
              <w:t>4 hours post-dose (±30 minutes)</w:t>
            </w:r>
            <w:r w:rsidRPr="002036CB">
              <w:rPr>
                <w:rFonts w:ascii="Arial" w:hAnsi="Arial" w:cs="Arial"/>
                <w:sz w:val="20"/>
                <w:vertAlign w:val="superscript"/>
                <w:lang w:bidi="en-US"/>
              </w:rPr>
              <w:t xml:space="preserve"> b</w:t>
            </w:r>
          </w:p>
        </w:tc>
        <w:tc>
          <w:tcPr>
            <w:tcW w:w="563" w:type="pct"/>
            <w:vAlign w:val="center"/>
          </w:tcPr>
          <w:p w14:paraId="5329DCC7"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563" w:type="pct"/>
            <w:vAlign w:val="center"/>
          </w:tcPr>
          <w:p w14:paraId="0807AA32"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2918E2DC"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3AC3C938" w14:textId="77777777" w:rsidR="00B76FE0" w:rsidRPr="002036CB" w:rsidRDefault="00B76FE0" w:rsidP="00FF6414">
            <w:pPr>
              <w:pStyle w:val="C-TableText"/>
              <w:jc w:val="center"/>
              <w:rPr>
                <w:rFonts w:ascii="Arial" w:hAnsi="Arial" w:cs="Arial"/>
                <w:sz w:val="20"/>
              </w:rPr>
            </w:pPr>
          </w:p>
        </w:tc>
        <w:tc>
          <w:tcPr>
            <w:tcW w:w="484" w:type="pct"/>
            <w:vAlign w:val="center"/>
          </w:tcPr>
          <w:p w14:paraId="040B4523"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4" w:type="pct"/>
            <w:vAlign w:val="center"/>
          </w:tcPr>
          <w:p w14:paraId="3F67F062"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r>
      <w:tr w:rsidR="001673F1" w:rsidRPr="002036CB" w14:paraId="2E268046" w14:textId="77777777" w:rsidTr="001673F1">
        <w:tc>
          <w:tcPr>
            <w:tcW w:w="1936" w:type="pct"/>
          </w:tcPr>
          <w:p w14:paraId="205F68CB" w14:textId="77777777" w:rsidR="00B76FE0" w:rsidRPr="002036CB" w:rsidRDefault="00B76FE0" w:rsidP="00FF6414">
            <w:pPr>
              <w:pStyle w:val="C-TableText"/>
              <w:rPr>
                <w:rFonts w:ascii="Arial" w:hAnsi="Arial" w:cs="Arial"/>
                <w:sz w:val="20"/>
              </w:rPr>
            </w:pPr>
            <w:r w:rsidRPr="002036CB">
              <w:rPr>
                <w:rFonts w:ascii="Arial" w:hAnsi="Arial" w:cs="Arial"/>
                <w:sz w:val="20"/>
                <w:lang w:bidi="en-US"/>
              </w:rPr>
              <w:t>6 hours post-dose (±30 minutes)</w:t>
            </w:r>
            <w:r w:rsidRPr="002036CB">
              <w:rPr>
                <w:rFonts w:ascii="Arial" w:hAnsi="Arial" w:cs="Arial"/>
                <w:sz w:val="20"/>
                <w:vertAlign w:val="superscript"/>
                <w:lang w:bidi="en-US"/>
              </w:rPr>
              <w:t xml:space="preserve"> b</w:t>
            </w:r>
          </w:p>
        </w:tc>
        <w:tc>
          <w:tcPr>
            <w:tcW w:w="563" w:type="pct"/>
            <w:vAlign w:val="center"/>
          </w:tcPr>
          <w:p w14:paraId="0743F0AB"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563" w:type="pct"/>
            <w:vAlign w:val="center"/>
          </w:tcPr>
          <w:p w14:paraId="54747715"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13094BDB"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66AFC143" w14:textId="77777777" w:rsidR="00B76FE0" w:rsidRPr="002036CB" w:rsidRDefault="00B76FE0" w:rsidP="00FF6414">
            <w:pPr>
              <w:pStyle w:val="C-TableText"/>
              <w:jc w:val="center"/>
              <w:rPr>
                <w:rFonts w:ascii="Arial" w:hAnsi="Arial" w:cs="Arial"/>
                <w:sz w:val="20"/>
              </w:rPr>
            </w:pPr>
          </w:p>
        </w:tc>
        <w:tc>
          <w:tcPr>
            <w:tcW w:w="484" w:type="pct"/>
            <w:vAlign w:val="center"/>
          </w:tcPr>
          <w:p w14:paraId="7F9603B9"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4" w:type="pct"/>
            <w:vAlign w:val="center"/>
          </w:tcPr>
          <w:p w14:paraId="3919CEFD"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r>
      <w:tr w:rsidR="001673F1" w:rsidRPr="002036CB" w14:paraId="5E6A42E9" w14:textId="77777777" w:rsidTr="001673F1">
        <w:tc>
          <w:tcPr>
            <w:tcW w:w="1936" w:type="pct"/>
          </w:tcPr>
          <w:p w14:paraId="1613D865" w14:textId="77777777" w:rsidR="00B76FE0" w:rsidRPr="002036CB" w:rsidRDefault="00B76FE0" w:rsidP="00FF6414">
            <w:pPr>
              <w:pStyle w:val="C-TableText"/>
              <w:rPr>
                <w:rFonts w:ascii="Arial" w:hAnsi="Arial" w:cs="Arial"/>
                <w:sz w:val="20"/>
              </w:rPr>
            </w:pPr>
            <w:r w:rsidRPr="002036CB">
              <w:rPr>
                <w:rFonts w:ascii="Arial" w:hAnsi="Arial" w:cs="Arial"/>
                <w:sz w:val="20"/>
                <w:lang w:bidi="en-US"/>
              </w:rPr>
              <w:t>8 hours post-dose (±30 minutes)</w:t>
            </w:r>
            <w:r w:rsidRPr="002036CB">
              <w:rPr>
                <w:rFonts w:ascii="Arial" w:hAnsi="Arial" w:cs="Arial"/>
                <w:sz w:val="20"/>
                <w:vertAlign w:val="superscript"/>
                <w:lang w:bidi="en-US"/>
              </w:rPr>
              <w:t xml:space="preserve"> b</w:t>
            </w:r>
          </w:p>
        </w:tc>
        <w:tc>
          <w:tcPr>
            <w:tcW w:w="563" w:type="pct"/>
            <w:vAlign w:val="center"/>
          </w:tcPr>
          <w:p w14:paraId="126161CD"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563" w:type="pct"/>
            <w:vAlign w:val="center"/>
          </w:tcPr>
          <w:p w14:paraId="3CF1B769"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20160AFE"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08B06F92" w14:textId="77777777" w:rsidR="00B76FE0" w:rsidRPr="002036CB" w:rsidRDefault="00B76FE0" w:rsidP="00FF6414">
            <w:pPr>
              <w:pStyle w:val="C-TableText"/>
              <w:jc w:val="center"/>
              <w:rPr>
                <w:rFonts w:ascii="Arial" w:hAnsi="Arial" w:cs="Arial"/>
                <w:sz w:val="20"/>
              </w:rPr>
            </w:pPr>
          </w:p>
        </w:tc>
        <w:tc>
          <w:tcPr>
            <w:tcW w:w="484" w:type="pct"/>
            <w:vAlign w:val="center"/>
          </w:tcPr>
          <w:p w14:paraId="73B4D77A"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4" w:type="pct"/>
            <w:vAlign w:val="center"/>
          </w:tcPr>
          <w:p w14:paraId="7BBB604C"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r>
      <w:tr w:rsidR="001673F1" w:rsidRPr="002036CB" w14:paraId="621BD196" w14:textId="77777777" w:rsidTr="001673F1">
        <w:tc>
          <w:tcPr>
            <w:tcW w:w="1936" w:type="pct"/>
          </w:tcPr>
          <w:p w14:paraId="2D95D5DD" w14:textId="77777777" w:rsidR="00B76FE0" w:rsidRPr="002036CB" w:rsidRDefault="00B76FE0" w:rsidP="00FF6414">
            <w:pPr>
              <w:pStyle w:val="C-TableText"/>
              <w:rPr>
                <w:rFonts w:ascii="Arial" w:hAnsi="Arial" w:cs="Arial"/>
                <w:sz w:val="20"/>
              </w:rPr>
            </w:pPr>
            <w:r w:rsidRPr="002036CB">
              <w:rPr>
                <w:rFonts w:ascii="Arial" w:hAnsi="Arial" w:cs="Arial"/>
                <w:sz w:val="20"/>
                <w:lang w:bidi="en-US"/>
              </w:rPr>
              <w:t>24 hours post-dose (±60 minutes)</w:t>
            </w:r>
            <w:r w:rsidRPr="002036CB">
              <w:rPr>
                <w:rFonts w:ascii="Arial" w:hAnsi="Arial" w:cs="Arial"/>
                <w:sz w:val="20"/>
                <w:vertAlign w:val="superscript"/>
                <w:lang w:bidi="en-US"/>
              </w:rPr>
              <w:t xml:space="preserve"> b</w:t>
            </w:r>
          </w:p>
        </w:tc>
        <w:tc>
          <w:tcPr>
            <w:tcW w:w="563" w:type="pct"/>
            <w:vAlign w:val="center"/>
          </w:tcPr>
          <w:p w14:paraId="683A445E" w14:textId="77777777" w:rsidR="00B76FE0" w:rsidRPr="002036CB" w:rsidRDefault="00B76FE0" w:rsidP="00FF6414">
            <w:pPr>
              <w:pStyle w:val="C-TableText"/>
              <w:jc w:val="center"/>
              <w:rPr>
                <w:rFonts w:ascii="Arial" w:hAnsi="Arial" w:cs="Arial"/>
                <w:sz w:val="20"/>
                <w:lang w:eastAsia="zh-TW"/>
              </w:rPr>
            </w:pPr>
          </w:p>
        </w:tc>
        <w:tc>
          <w:tcPr>
            <w:tcW w:w="563" w:type="pct"/>
            <w:vAlign w:val="center"/>
          </w:tcPr>
          <w:p w14:paraId="1E5DB61F"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c>
          <w:tcPr>
            <w:tcW w:w="485" w:type="pct"/>
            <w:vAlign w:val="center"/>
          </w:tcPr>
          <w:p w14:paraId="0C20934A" w14:textId="77777777" w:rsidR="00B76FE0" w:rsidRPr="002036CB" w:rsidRDefault="00B76FE0" w:rsidP="00FF6414">
            <w:pPr>
              <w:pStyle w:val="C-TableText"/>
              <w:jc w:val="center"/>
              <w:rPr>
                <w:rFonts w:ascii="Arial" w:hAnsi="Arial" w:cs="Arial"/>
                <w:sz w:val="20"/>
              </w:rPr>
            </w:pPr>
          </w:p>
        </w:tc>
        <w:tc>
          <w:tcPr>
            <w:tcW w:w="485" w:type="pct"/>
            <w:vAlign w:val="center"/>
          </w:tcPr>
          <w:p w14:paraId="58BF310F" w14:textId="77777777" w:rsidR="00B76FE0" w:rsidRPr="002036CB" w:rsidRDefault="00B76FE0" w:rsidP="00FF6414">
            <w:pPr>
              <w:pStyle w:val="C-TableText"/>
              <w:jc w:val="center"/>
              <w:rPr>
                <w:rFonts w:ascii="Arial" w:hAnsi="Arial" w:cs="Arial"/>
                <w:sz w:val="20"/>
              </w:rPr>
            </w:pPr>
          </w:p>
        </w:tc>
        <w:tc>
          <w:tcPr>
            <w:tcW w:w="484" w:type="pct"/>
            <w:vAlign w:val="center"/>
          </w:tcPr>
          <w:p w14:paraId="39C9E89D" w14:textId="77777777" w:rsidR="00B76FE0" w:rsidRPr="002036CB" w:rsidRDefault="00B76FE0" w:rsidP="00FF6414">
            <w:pPr>
              <w:pStyle w:val="C-TableText"/>
              <w:jc w:val="center"/>
              <w:rPr>
                <w:rFonts w:ascii="Arial" w:hAnsi="Arial" w:cs="Arial"/>
                <w:sz w:val="20"/>
              </w:rPr>
            </w:pPr>
          </w:p>
        </w:tc>
        <w:tc>
          <w:tcPr>
            <w:tcW w:w="484" w:type="pct"/>
            <w:vAlign w:val="center"/>
          </w:tcPr>
          <w:p w14:paraId="11ED928C" w14:textId="77777777" w:rsidR="00B76FE0" w:rsidRPr="002036CB" w:rsidRDefault="00B76FE0" w:rsidP="00FF6414">
            <w:pPr>
              <w:pStyle w:val="C-TableText"/>
              <w:jc w:val="center"/>
              <w:rPr>
                <w:rFonts w:ascii="Arial" w:hAnsi="Arial" w:cs="Arial"/>
                <w:sz w:val="20"/>
              </w:rPr>
            </w:pPr>
            <w:r w:rsidRPr="002036CB">
              <w:rPr>
                <w:rFonts w:ascii="Arial" w:hAnsi="Arial" w:cs="Arial"/>
                <w:sz w:val="20"/>
              </w:rPr>
              <w:t>x</w:t>
            </w:r>
          </w:p>
        </w:tc>
      </w:tr>
    </w:tbl>
    <w:p w14:paraId="60444154" w14:textId="77777777" w:rsidR="00B76FE0" w:rsidRPr="002036CB" w:rsidRDefault="00B76FE0" w:rsidP="00B76FE0">
      <w:pPr>
        <w:pStyle w:val="C-Footnote"/>
        <w:ind w:left="142" w:hanging="142"/>
        <w:rPr>
          <w:rFonts w:cs="Times New Roman"/>
          <w:sz w:val="18"/>
          <w:szCs w:val="18"/>
        </w:rPr>
      </w:pPr>
      <w:proofErr w:type="spellStart"/>
      <w:r w:rsidRPr="002036CB">
        <w:rPr>
          <w:rFonts w:cs="Times New Roman"/>
          <w:sz w:val="18"/>
          <w:szCs w:val="18"/>
          <w:vertAlign w:val="superscript"/>
          <w:lang w:bidi="en-US"/>
        </w:rPr>
        <w:t>a</w:t>
      </w:r>
      <w:proofErr w:type="spellEnd"/>
      <w:r w:rsidRPr="002036CB">
        <w:rPr>
          <w:rFonts w:cs="Times New Roman"/>
          <w:sz w:val="18"/>
          <w:szCs w:val="18"/>
          <w:lang w:bidi="en-US"/>
        </w:rPr>
        <w:tab/>
        <w:t>On Day −3, within 60 minutes before administration of pioglitazone. On Day −2, within 60 minutes before administration of losartan and midazolam. On Day 1, Day 2, Day 4, and Day 5, within 30 minutes before administration of TAS-115.</w:t>
      </w:r>
    </w:p>
    <w:p w14:paraId="358B2B8D" w14:textId="77777777" w:rsidR="00B76FE0" w:rsidRPr="002036CB" w:rsidRDefault="00B76FE0" w:rsidP="00B76FE0">
      <w:pPr>
        <w:pStyle w:val="C-Footnote"/>
        <w:ind w:left="142" w:hanging="142"/>
        <w:rPr>
          <w:rFonts w:cs="Times New Roman"/>
          <w:sz w:val="18"/>
          <w:szCs w:val="18"/>
        </w:rPr>
      </w:pPr>
      <w:r w:rsidRPr="002036CB">
        <w:rPr>
          <w:rFonts w:cs="Times New Roman"/>
          <w:sz w:val="18"/>
          <w:szCs w:val="18"/>
          <w:vertAlign w:val="superscript"/>
          <w:lang w:bidi="en-US"/>
        </w:rPr>
        <w:t>b</w:t>
      </w:r>
      <w:r w:rsidRPr="002036CB">
        <w:rPr>
          <w:rFonts w:cs="Times New Roman"/>
          <w:sz w:val="18"/>
          <w:szCs w:val="18"/>
          <w:lang w:bidi="en-US"/>
        </w:rPr>
        <w:tab/>
        <w:t>On Day −3 and Day 4, the time after administration of pioglitazone. On Day −2 and Day 5, the time after administration of losartan and midazolam. On Day 1 and Day 2, the time after administration of TAS-115.</w:t>
      </w:r>
    </w:p>
    <w:p w14:paraId="3712999D" w14:textId="5ED46613" w:rsidR="00B76FE0" w:rsidRPr="002036CB" w:rsidRDefault="00B76FE0" w:rsidP="00B76FE0">
      <w:pPr>
        <w:pStyle w:val="C-Footnote"/>
        <w:ind w:left="142" w:hanging="142"/>
        <w:rPr>
          <w:rFonts w:cs="Times New Roman"/>
          <w:sz w:val="18"/>
          <w:szCs w:val="18"/>
          <w:lang w:eastAsia="ja-JP" w:bidi="en-US"/>
        </w:rPr>
      </w:pPr>
      <w:r w:rsidRPr="002036CB">
        <w:rPr>
          <w:rFonts w:cs="Times New Roman"/>
          <w:sz w:val="18"/>
          <w:szCs w:val="18"/>
          <w:vertAlign w:val="superscript"/>
          <w:lang w:bidi="en-US"/>
        </w:rPr>
        <w:t>c</w:t>
      </w:r>
      <w:r w:rsidRPr="002036CB">
        <w:rPr>
          <w:rFonts w:cs="Times New Roman"/>
          <w:sz w:val="18"/>
          <w:szCs w:val="18"/>
          <w:lang w:bidi="en-US"/>
        </w:rPr>
        <w:tab/>
        <w:t>Blood sampling volume</w:t>
      </w:r>
      <w:r w:rsidR="00624CC6" w:rsidRPr="002036CB">
        <w:rPr>
          <w:rFonts w:cs="Times New Roman"/>
          <w:sz w:val="18"/>
          <w:szCs w:val="18"/>
          <w:lang w:eastAsia="ja-JP" w:bidi="en-US"/>
        </w:rPr>
        <w:t xml:space="preserve"> was</w:t>
      </w:r>
      <w:r w:rsidRPr="002036CB">
        <w:rPr>
          <w:rFonts w:cs="Times New Roman"/>
          <w:sz w:val="18"/>
          <w:szCs w:val="18"/>
          <w:lang w:bidi="en-US"/>
        </w:rPr>
        <w:t xml:space="preserve"> 4 mL (2 mL at all the other time</w:t>
      </w:r>
      <w:r w:rsidR="00624CC6" w:rsidRPr="002036CB">
        <w:rPr>
          <w:rFonts w:cs="Times New Roman"/>
          <w:sz w:val="18"/>
          <w:szCs w:val="18"/>
          <w:lang w:eastAsia="ja-JP" w:bidi="en-US"/>
        </w:rPr>
        <w:t>-</w:t>
      </w:r>
      <w:r w:rsidRPr="002036CB">
        <w:rPr>
          <w:rFonts w:cs="Times New Roman"/>
          <w:sz w:val="18"/>
          <w:szCs w:val="18"/>
          <w:lang w:bidi="en-US"/>
        </w:rPr>
        <w:t>points)</w:t>
      </w:r>
      <w:r w:rsidR="0028548A" w:rsidRPr="002036CB">
        <w:rPr>
          <w:rFonts w:cs="Times New Roman"/>
          <w:sz w:val="18"/>
          <w:szCs w:val="18"/>
          <w:lang w:eastAsia="ja-JP" w:bidi="en-US"/>
        </w:rPr>
        <w:t>.</w:t>
      </w:r>
    </w:p>
    <w:p w14:paraId="15CE237A" w14:textId="214E78FA" w:rsidR="00624CC6" w:rsidRPr="002036CB" w:rsidRDefault="00624CC6" w:rsidP="00B76FE0">
      <w:pPr>
        <w:pStyle w:val="C-Footnote"/>
        <w:ind w:left="142" w:hanging="142"/>
        <w:rPr>
          <w:rFonts w:cs="Times New Roman"/>
          <w:bCs/>
          <w:sz w:val="18"/>
          <w:szCs w:val="18"/>
        </w:rPr>
      </w:pPr>
      <w:r w:rsidRPr="002036CB">
        <w:rPr>
          <w:rFonts w:cs="Times New Roman"/>
          <w:bCs/>
          <w:sz w:val="18"/>
          <w:szCs w:val="18"/>
        </w:rPr>
        <w:lastRenderedPageBreak/>
        <w:t>PK pharmacokinetic</w:t>
      </w:r>
    </w:p>
    <w:p w14:paraId="7150A87C" w14:textId="77777777" w:rsidR="00F526FC" w:rsidRPr="002036CB" w:rsidRDefault="00F526FC" w:rsidP="00B76FE0">
      <w:pPr>
        <w:pStyle w:val="C-Footnote"/>
        <w:ind w:left="142" w:hanging="142"/>
        <w:rPr>
          <w:bCs/>
          <w:sz w:val="18"/>
          <w:szCs w:val="18"/>
        </w:rPr>
      </w:pPr>
    </w:p>
    <w:p w14:paraId="7B76D817" w14:textId="77777777" w:rsidR="00B76FE0" w:rsidRPr="002036CB" w:rsidRDefault="00B76FE0" w:rsidP="00B76FE0">
      <w:pPr>
        <w:rPr>
          <w:rFonts w:ascii="Times New Roman" w:hAnsi="Times New Roman"/>
          <w:sz w:val="21"/>
          <w:szCs w:val="21"/>
        </w:rPr>
      </w:pPr>
      <w:r w:rsidRPr="002036CB">
        <w:rPr>
          <w:rFonts w:ascii="Times New Roman" w:hAnsi="Times New Roman"/>
          <w:b/>
          <w:bCs/>
          <w:sz w:val="21"/>
          <w:szCs w:val="21"/>
        </w:rPr>
        <w:t>Supplementary methods</w:t>
      </w:r>
    </w:p>
    <w:p w14:paraId="194CDCB3" w14:textId="77777777" w:rsidR="00B76FE0" w:rsidRPr="002036CB" w:rsidRDefault="00B76FE0" w:rsidP="00B76FE0">
      <w:pPr>
        <w:pStyle w:val="C-Heading3"/>
        <w:numPr>
          <w:ilvl w:val="0"/>
          <w:numId w:val="0"/>
        </w:numPr>
        <w:ind w:left="1080" w:hanging="1080"/>
        <w:rPr>
          <w:sz w:val="21"/>
          <w:szCs w:val="21"/>
          <w:lang w:eastAsia="ja-JP"/>
        </w:rPr>
      </w:pPr>
      <w:bookmarkStart w:id="0" w:name="_Ref486941304"/>
      <w:bookmarkStart w:id="1" w:name="_Toc137485940"/>
      <w:r w:rsidRPr="002036CB">
        <w:rPr>
          <w:sz w:val="21"/>
          <w:szCs w:val="21"/>
          <w:lang w:bidi="en-US"/>
        </w:rPr>
        <w:t>Inclusion Criteria</w:t>
      </w:r>
      <w:bookmarkEnd w:id="0"/>
      <w:bookmarkEnd w:id="1"/>
    </w:p>
    <w:p w14:paraId="34BB79B2" w14:textId="77777777" w:rsidR="00B76FE0" w:rsidRPr="002036CB" w:rsidRDefault="00B76FE0" w:rsidP="00B76FE0">
      <w:pPr>
        <w:pStyle w:val="C-BodyText"/>
        <w:rPr>
          <w:color w:val="FF0000"/>
          <w:sz w:val="20"/>
          <w:lang w:eastAsia="ja-JP"/>
        </w:rPr>
      </w:pPr>
      <w:r w:rsidRPr="002036CB">
        <w:rPr>
          <w:sz w:val="20"/>
          <w:lang w:bidi="en-US"/>
        </w:rPr>
        <w:t xml:space="preserve">A patient had to meet </w:t>
      </w:r>
      <w:proofErr w:type="gramStart"/>
      <w:r w:rsidRPr="002036CB">
        <w:rPr>
          <w:sz w:val="20"/>
          <w:lang w:bidi="en-US"/>
        </w:rPr>
        <w:t>all of</w:t>
      </w:r>
      <w:proofErr w:type="gramEnd"/>
      <w:r w:rsidRPr="002036CB">
        <w:rPr>
          <w:sz w:val="20"/>
          <w:lang w:bidi="en-US"/>
        </w:rPr>
        <w:t xml:space="preserve"> the following inclusion criteria to be eligible for participation in this study:</w:t>
      </w:r>
    </w:p>
    <w:p w14:paraId="1738841F" w14:textId="77777777" w:rsidR="00B76FE0" w:rsidRPr="002036CB" w:rsidRDefault="00B76FE0" w:rsidP="00B76FE0">
      <w:pPr>
        <w:pStyle w:val="C-NumberedList"/>
        <w:numPr>
          <w:ilvl w:val="0"/>
          <w:numId w:val="9"/>
        </w:numPr>
        <w:ind w:leftChars="119" w:left="638" w:hangingChars="176" w:hanging="352"/>
        <w:rPr>
          <w:sz w:val="20"/>
          <w:lang w:eastAsia="ja-JP"/>
        </w:rPr>
      </w:pPr>
      <w:r w:rsidRPr="002036CB">
        <w:rPr>
          <w:sz w:val="20"/>
          <w:lang w:bidi="en-US"/>
        </w:rPr>
        <w:t>Written informed consent to participate in this study provided by patients aged ≥ 20 years at the time of informed consent or by their legally acceptable representative for patients aged &lt; 20 years at the time of informed consent (for patients aged &lt; 20 years, assent will be obtained from them wherever possible).</w:t>
      </w:r>
    </w:p>
    <w:p w14:paraId="6E3166A9" w14:textId="77777777" w:rsidR="00B76FE0" w:rsidRPr="002036CB" w:rsidRDefault="00B76FE0" w:rsidP="00B76FE0">
      <w:pPr>
        <w:pStyle w:val="C-NumberedList"/>
        <w:numPr>
          <w:ilvl w:val="0"/>
          <w:numId w:val="9"/>
        </w:numPr>
        <w:ind w:leftChars="119" w:left="638" w:hangingChars="176" w:hanging="352"/>
        <w:rPr>
          <w:sz w:val="20"/>
        </w:rPr>
      </w:pPr>
      <w:r w:rsidRPr="002036CB">
        <w:rPr>
          <w:sz w:val="20"/>
          <w:lang w:bidi="en-US"/>
        </w:rPr>
        <w:t>Is ≥ 20 years of age (≥ 15 years of age for patients with malignant bone tumors) at the time of informed consent</w:t>
      </w:r>
    </w:p>
    <w:p w14:paraId="783C5395" w14:textId="77777777" w:rsidR="00B76FE0" w:rsidRPr="002036CB" w:rsidRDefault="00B76FE0" w:rsidP="00B76FE0">
      <w:pPr>
        <w:pStyle w:val="C-NumberedList"/>
        <w:numPr>
          <w:ilvl w:val="0"/>
          <w:numId w:val="9"/>
        </w:numPr>
        <w:ind w:leftChars="119" w:left="638" w:hangingChars="176" w:hanging="352"/>
        <w:rPr>
          <w:sz w:val="20"/>
        </w:rPr>
      </w:pPr>
      <w:r w:rsidRPr="002036CB">
        <w:rPr>
          <w:sz w:val="20"/>
          <w:lang w:bidi="en-US"/>
        </w:rPr>
        <w:t>Has a histologically or cytologically confirmed solid tumor (malignant tumor)</w:t>
      </w:r>
    </w:p>
    <w:p w14:paraId="3D5F7470" w14:textId="77777777" w:rsidR="00B76FE0" w:rsidRPr="002036CB" w:rsidRDefault="00B76FE0" w:rsidP="00B76FE0">
      <w:pPr>
        <w:pStyle w:val="C-NumberedList"/>
        <w:numPr>
          <w:ilvl w:val="0"/>
          <w:numId w:val="9"/>
        </w:numPr>
        <w:ind w:leftChars="119" w:left="638" w:hangingChars="176" w:hanging="352"/>
        <w:rPr>
          <w:sz w:val="20"/>
          <w:lang w:bidi="en-US"/>
        </w:rPr>
      </w:pPr>
      <w:r w:rsidRPr="002036CB">
        <w:rPr>
          <w:sz w:val="20"/>
          <w:lang w:bidi="en-US"/>
        </w:rPr>
        <w:t>Is refractory or intolerant to standard or similar treatment, or for whom no appropriate treatment is available</w:t>
      </w:r>
    </w:p>
    <w:p w14:paraId="1202C987" w14:textId="77777777" w:rsidR="00B76FE0" w:rsidRPr="002036CB" w:rsidRDefault="00B76FE0" w:rsidP="00B76FE0">
      <w:pPr>
        <w:pStyle w:val="C-NumberedList"/>
        <w:numPr>
          <w:ilvl w:val="0"/>
          <w:numId w:val="9"/>
        </w:numPr>
        <w:ind w:leftChars="119" w:left="638" w:hangingChars="176" w:hanging="352"/>
        <w:rPr>
          <w:sz w:val="20"/>
          <w:lang w:bidi="en-US"/>
        </w:rPr>
      </w:pPr>
      <w:r w:rsidRPr="002036CB">
        <w:rPr>
          <w:sz w:val="20"/>
          <w:lang w:bidi="en-US"/>
        </w:rPr>
        <w:t>Has an evaluable lesion (measurable or non-measurable) confirmed on imaging as per the Response Evaluation Criteria in Solid Tumors (RECIST) version 1.1 within 2 weeks before enrollment</w:t>
      </w:r>
    </w:p>
    <w:p w14:paraId="0FF9F58C" w14:textId="77777777" w:rsidR="00B76FE0" w:rsidRPr="002036CB" w:rsidRDefault="00B76FE0" w:rsidP="00B76FE0">
      <w:pPr>
        <w:pStyle w:val="C-NumberedList"/>
        <w:numPr>
          <w:ilvl w:val="0"/>
          <w:numId w:val="9"/>
        </w:numPr>
        <w:ind w:leftChars="119" w:left="638" w:hangingChars="176" w:hanging="352"/>
        <w:rPr>
          <w:sz w:val="20"/>
          <w:lang w:bidi="en-US"/>
        </w:rPr>
      </w:pPr>
      <w:r w:rsidRPr="002036CB">
        <w:rPr>
          <w:sz w:val="20"/>
          <w:lang w:bidi="en-US"/>
        </w:rPr>
        <w:t>Able to take medication orally</w:t>
      </w:r>
    </w:p>
    <w:p w14:paraId="034DA380" w14:textId="77777777" w:rsidR="00B76FE0" w:rsidRPr="002036CB" w:rsidRDefault="00B76FE0" w:rsidP="00B76FE0">
      <w:pPr>
        <w:pStyle w:val="C-NumberedList"/>
        <w:numPr>
          <w:ilvl w:val="0"/>
          <w:numId w:val="9"/>
        </w:numPr>
        <w:ind w:leftChars="119" w:left="638" w:hangingChars="176" w:hanging="352"/>
        <w:rPr>
          <w:sz w:val="20"/>
          <w:lang w:bidi="en-US"/>
        </w:rPr>
      </w:pPr>
      <w:r w:rsidRPr="002036CB">
        <w:rPr>
          <w:sz w:val="20"/>
          <w:lang w:bidi="en-US"/>
        </w:rPr>
        <w:t>Has an Eastern Cooperative Oncology Group (ECOG) performance status (PS) of 0 to 1</w:t>
      </w:r>
    </w:p>
    <w:p w14:paraId="54861C59" w14:textId="77777777" w:rsidR="00B76FE0" w:rsidRPr="002036CB" w:rsidRDefault="00B76FE0" w:rsidP="00B76FE0">
      <w:pPr>
        <w:pStyle w:val="C-NumberedList"/>
        <w:numPr>
          <w:ilvl w:val="0"/>
          <w:numId w:val="9"/>
        </w:numPr>
        <w:ind w:leftChars="119" w:left="638" w:hangingChars="176" w:hanging="352"/>
        <w:rPr>
          <w:sz w:val="20"/>
          <w:lang w:bidi="en-US"/>
        </w:rPr>
      </w:pPr>
      <w:bookmarkStart w:id="2" w:name="_APV2FTCLBD46292E46406"/>
      <w:r w:rsidRPr="002036CB">
        <w:rPr>
          <w:sz w:val="20"/>
          <w:lang w:bidi="en-US"/>
        </w:rPr>
        <w:t>Women of childbearing potential (WOCBP) must have a negative pregnancy test (urine or serum) within 2 weeks before enrollment (Female patients are not considered to be of childbearing potential if they are permanently sterile [hysterectomy, bilateral salpingectomy, or bilateral oophorectomy] or are post-menopausal [no menses for 12 months without an alternative medical cause].)</w:t>
      </w:r>
      <w:bookmarkEnd w:id="2"/>
    </w:p>
    <w:p w14:paraId="37FA5AAD" w14:textId="77777777" w:rsidR="00B76FE0" w:rsidRPr="002036CB" w:rsidRDefault="00B76FE0" w:rsidP="00B76FE0">
      <w:pPr>
        <w:pStyle w:val="C-NumberedList"/>
        <w:numPr>
          <w:ilvl w:val="0"/>
          <w:numId w:val="9"/>
        </w:numPr>
        <w:ind w:leftChars="119" w:left="638" w:hangingChars="176" w:hanging="352"/>
        <w:rPr>
          <w:sz w:val="20"/>
          <w:lang w:bidi="en-US"/>
        </w:rPr>
      </w:pPr>
      <w:bookmarkStart w:id="3" w:name="_APV2FTCLBD46407E46697"/>
      <w:r w:rsidRPr="002036CB">
        <w:rPr>
          <w:sz w:val="20"/>
          <w:lang w:bidi="en-US"/>
        </w:rPr>
        <w:t>Meets the following criteria for bone marrow, hepatic, and renal functions based on data obtained within 2 weeks before enrollment:</w:t>
      </w:r>
      <w:bookmarkEnd w:id="3"/>
    </w:p>
    <w:p w14:paraId="1A756F40" w14:textId="77777777" w:rsidR="00B76FE0" w:rsidRPr="002036CB" w:rsidRDefault="00B76FE0" w:rsidP="00B76FE0">
      <w:pPr>
        <w:pStyle w:val="C-AlphabeticList"/>
        <w:numPr>
          <w:ilvl w:val="1"/>
          <w:numId w:val="8"/>
        </w:numPr>
        <w:rPr>
          <w:sz w:val="20"/>
          <w:lang w:bidi="en-US"/>
        </w:rPr>
      </w:pPr>
      <w:bookmarkStart w:id="4" w:name="_APV2LISTBD55862E55899"/>
      <w:r w:rsidRPr="002036CB">
        <w:rPr>
          <w:sz w:val="20"/>
          <w:lang w:bidi="en-US"/>
        </w:rPr>
        <w:t>Neutrophil count: ≥ 1500/mm</w:t>
      </w:r>
      <w:r w:rsidRPr="002036CB">
        <w:rPr>
          <w:sz w:val="20"/>
          <w:vertAlign w:val="superscript"/>
          <w:lang w:bidi="en-US"/>
        </w:rPr>
        <w:t>3</w:t>
      </w:r>
      <w:r w:rsidRPr="002036CB">
        <w:rPr>
          <w:sz w:val="20"/>
          <w:lang w:bidi="en-US"/>
        </w:rPr>
        <w:t xml:space="preserve"> (excluding measurements within 7 days after granulocyte colony-stimulating factor [G-CSF] administration</w:t>
      </w:r>
      <w:bookmarkEnd w:id="4"/>
      <w:r w:rsidRPr="002036CB">
        <w:rPr>
          <w:sz w:val="20"/>
          <w:lang w:bidi="en-US"/>
        </w:rPr>
        <w:t>)</w:t>
      </w:r>
    </w:p>
    <w:p w14:paraId="263999E8" w14:textId="77777777" w:rsidR="00B76FE0" w:rsidRPr="002036CB" w:rsidRDefault="00B76FE0" w:rsidP="00B76FE0">
      <w:pPr>
        <w:pStyle w:val="C-AlphabeticList"/>
        <w:numPr>
          <w:ilvl w:val="1"/>
          <w:numId w:val="8"/>
        </w:numPr>
        <w:rPr>
          <w:sz w:val="20"/>
        </w:rPr>
      </w:pPr>
      <w:r w:rsidRPr="002036CB">
        <w:rPr>
          <w:sz w:val="20"/>
          <w:lang w:bidi="en-US"/>
        </w:rPr>
        <w:t>Hemoglobin: ≥ 8.0 g/dL (excluding measurements within 7 days after packed red blood cell or whole blood transfusion</w:t>
      </w:r>
      <w:bookmarkStart w:id="5" w:name="_APV2LISTBD55943E55982"/>
      <w:r w:rsidRPr="002036CB">
        <w:rPr>
          <w:sz w:val="20"/>
          <w:lang w:bidi="en-US"/>
        </w:rPr>
        <w:t>)</w:t>
      </w:r>
    </w:p>
    <w:p w14:paraId="0AD220D7" w14:textId="77777777" w:rsidR="00B76FE0" w:rsidRPr="002036CB" w:rsidRDefault="00B76FE0" w:rsidP="00B76FE0">
      <w:pPr>
        <w:pStyle w:val="C-AlphabeticList"/>
        <w:numPr>
          <w:ilvl w:val="1"/>
          <w:numId w:val="8"/>
        </w:numPr>
        <w:rPr>
          <w:sz w:val="20"/>
        </w:rPr>
      </w:pPr>
      <w:bookmarkStart w:id="6" w:name="_APV2LISTBD55983E56004"/>
      <w:bookmarkEnd w:id="5"/>
      <w:r w:rsidRPr="002036CB">
        <w:rPr>
          <w:sz w:val="20"/>
          <w:lang w:bidi="en-US"/>
        </w:rPr>
        <w:t>Platelet count: ≥ 7.5 × 10</w:t>
      </w:r>
      <w:r w:rsidRPr="002036CB">
        <w:rPr>
          <w:sz w:val="20"/>
          <w:vertAlign w:val="superscript"/>
          <w:lang w:bidi="en-US"/>
        </w:rPr>
        <w:t>4</w:t>
      </w:r>
      <w:r w:rsidRPr="002036CB">
        <w:rPr>
          <w:sz w:val="20"/>
          <w:lang w:bidi="en-US"/>
        </w:rPr>
        <w:t>/mm</w:t>
      </w:r>
      <w:r w:rsidRPr="002036CB">
        <w:rPr>
          <w:sz w:val="20"/>
          <w:vertAlign w:val="superscript"/>
          <w:lang w:bidi="en-US"/>
        </w:rPr>
        <w:t>3</w:t>
      </w:r>
      <w:r w:rsidRPr="002036CB">
        <w:rPr>
          <w:sz w:val="20"/>
          <w:lang w:bidi="en-US"/>
        </w:rPr>
        <w:t xml:space="preserve"> (excluding measurements within 3 days after platelet transfusion)</w:t>
      </w:r>
    </w:p>
    <w:p w14:paraId="3A429D7D" w14:textId="77777777" w:rsidR="00B76FE0" w:rsidRPr="002036CB" w:rsidRDefault="00B76FE0" w:rsidP="00B76FE0">
      <w:pPr>
        <w:pStyle w:val="C-AlphabeticList"/>
        <w:numPr>
          <w:ilvl w:val="1"/>
          <w:numId w:val="8"/>
        </w:numPr>
        <w:rPr>
          <w:sz w:val="20"/>
        </w:rPr>
      </w:pPr>
      <w:r w:rsidRPr="002036CB">
        <w:rPr>
          <w:sz w:val="20"/>
        </w:rPr>
        <w:lastRenderedPageBreak/>
        <w:t>Aspartate aminotransferase</w:t>
      </w:r>
      <w:r w:rsidRPr="002036CB">
        <w:rPr>
          <w:sz w:val="20"/>
          <w:lang w:bidi="en-US"/>
        </w:rPr>
        <w:t xml:space="preserve"> (AST) /</w:t>
      </w:r>
      <w:r w:rsidRPr="002036CB">
        <w:rPr>
          <w:sz w:val="20"/>
          <w:lang w:eastAsia="ja-JP" w:bidi="en-US"/>
        </w:rPr>
        <w:t xml:space="preserve"> a</w:t>
      </w:r>
      <w:r w:rsidRPr="002036CB">
        <w:rPr>
          <w:sz w:val="20"/>
          <w:lang w:bidi="en-US"/>
        </w:rPr>
        <w:t>lanine aminotransferase (ALT): ≤ 3 times the upper limit of the institutional normal range</w:t>
      </w:r>
    </w:p>
    <w:p w14:paraId="28A0A5E5" w14:textId="77777777" w:rsidR="00B76FE0" w:rsidRPr="002036CB" w:rsidRDefault="00B76FE0" w:rsidP="00B76FE0">
      <w:pPr>
        <w:pStyle w:val="C-AlphabeticList"/>
        <w:numPr>
          <w:ilvl w:val="1"/>
          <w:numId w:val="8"/>
        </w:numPr>
        <w:rPr>
          <w:sz w:val="20"/>
        </w:rPr>
      </w:pPr>
      <w:bookmarkStart w:id="7" w:name="_APV2LISTBD56005E56023"/>
      <w:bookmarkEnd w:id="6"/>
      <w:r w:rsidRPr="002036CB">
        <w:rPr>
          <w:sz w:val="20"/>
          <w:lang w:bidi="en-US"/>
        </w:rPr>
        <w:t>Total bilirubin: ≤ 1.5 mg/dL</w:t>
      </w:r>
      <w:bookmarkStart w:id="8" w:name="_APV2LISTBD56024E56057"/>
      <w:bookmarkEnd w:id="7"/>
    </w:p>
    <w:p w14:paraId="360901BB" w14:textId="77777777" w:rsidR="00B76FE0" w:rsidRPr="002036CB" w:rsidRDefault="00B76FE0" w:rsidP="00B76FE0">
      <w:pPr>
        <w:pStyle w:val="C-AlphabeticList"/>
        <w:numPr>
          <w:ilvl w:val="1"/>
          <w:numId w:val="8"/>
        </w:numPr>
        <w:rPr>
          <w:sz w:val="20"/>
        </w:rPr>
      </w:pPr>
      <w:r w:rsidRPr="002036CB">
        <w:rPr>
          <w:sz w:val="20"/>
          <w:lang w:bidi="en-US"/>
        </w:rPr>
        <w:t>Estimated creatinine clearance (</w:t>
      </w:r>
      <w:proofErr w:type="spellStart"/>
      <w:r w:rsidRPr="002036CB">
        <w:rPr>
          <w:sz w:val="20"/>
          <w:lang w:bidi="en-US"/>
        </w:rPr>
        <w:t>Ccr</w:t>
      </w:r>
      <w:proofErr w:type="spellEnd"/>
      <w:r w:rsidRPr="002036CB">
        <w:rPr>
          <w:sz w:val="20"/>
          <w:lang w:bidi="en-US"/>
        </w:rPr>
        <w:t>)*: ≥ 50 mL/min</w:t>
      </w:r>
      <w:bookmarkEnd w:id="8"/>
      <w:r w:rsidRPr="002036CB">
        <w:rPr>
          <w:sz w:val="20"/>
          <w:lang w:bidi="en-US"/>
        </w:rPr>
        <w:br/>
      </w:r>
      <w:bookmarkStart w:id="9" w:name="_APV2LISTBD56058E56076"/>
      <w:r w:rsidRPr="002036CB">
        <w:rPr>
          <w:sz w:val="20"/>
          <w:lang w:bidi="en-US"/>
        </w:rPr>
        <w:t xml:space="preserve">*A measured value will be used if any. </w:t>
      </w:r>
      <w:bookmarkEnd w:id="9"/>
      <w:r w:rsidRPr="002036CB">
        <w:rPr>
          <w:sz w:val="20"/>
          <w:lang w:bidi="en-US"/>
        </w:rPr>
        <w:br/>
      </w:r>
      <w:bookmarkStart w:id="10" w:name="_APV2LISTBD56083E56181"/>
      <w:r w:rsidRPr="002036CB">
        <w:rPr>
          <w:sz w:val="20"/>
          <w:lang w:bidi="en-US"/>
        </w:rPr>
        <w:t xml:space="preserve">Cockcroft-Gault formula: </w:t>
      </w:r>
      <w:proofErr w:type="spellStart"/>
      <w:r w:rsidRPr="002036CB">
        <w:rPr>
          <w:sz w:val="20"/>
          <w:lang w:bidi="en-US"/>
        </w:rPr>
        <w:t>Ccr</w:t>
      </w:r>
      <w:proofErr w:type="spellEnd"/>
      <w:r w:rsidRPr="002036CB">
        <w:rPr>
          <w:sz w:val="20"/>
          <w:lang w:bidi="en-US"/>
        </w:rPr>
        <w:t xml:space="preserve"> (mL/min) = body weight (kg) × (140 – age)</w:t>
      </w:r>
      <w:proofErr w:type="gramStart"/>
      <w:r w:rsidRPr="002036CB">
        <w:rPr>
          <w:sz w:val="20"/>
          <w:lang w:bidi="en-US"/>
        </w:rPr>
        <w:t>/[</w:t>
      </w:r>
      <w:proofErr w:type="gramEnd"/>
      <w:r w:rsidRPr="002036CB">
        <w:rPr>
          <w:sz w:val="20"/>
          <w:lang w:bidi="en-US"/>
        </w:rPr>
        <w:t>72 × serum creatinine (mg/dL)] *For females, the obtained value will be multiplied by 0.85.</w:t>
      </w:r>
      <w:bookmarkEnd w:id="10"/>
    </w:p>
    <w:p w14:paraId="12943DF9" w14:textId="77777777" w:rsidR="00B76FE0" w:rsidRPr="002036CB" w:rsidRDefault="00B76FE0" w:rsidP="00B76FE0">
      <w:pPr>
        <w:pStyle w:val="C-NumberedList"/>
        <w:numPr>
          <w:ilvl w:val="0"/>
          <w:numId w:val="9"/>
        </w:numPr>
        <w:ind w:leftChars="119" w:left="638" w:hangingChars="176" w:hanging="352"/>
        <w:rPr>
          <w:sz w:val="20"/>
          <w:lang w:bidi="en-US"/>
        </w:rPr>
      </w:pPr>
      <w:r w:rsidRPr="002036CB">
        <w:rPr>
          <w:sz w:val="20"/>
          <w:lang w:bidi="en-US"/>
        </w:rPr>
        <w:t>Is expected to survive for at least 90 days after being enrolled in this study</w:t>
      </w:r>
    </w:p>
    <w:p w14:paraId="5C1A4788" w14:textId="77777777" w:rsidR="00B76FE0" w:rsidRPr="002036CB" w:rsidRDefault="00B76FE0" w:rsidP="00B76FE0">
      <w:pPr>
        <w:pStyle w:val="C-NumberedList"/>
        <w:numPr>
          <w:ilvl w:val="0"/>
          <w:numId w:val="9"/>
        </w:numPr>
        <w:ind w:leftChars="119" w:left="638" w:hangingChars="176" w:hanging="352"/>
        <w:rPr>
          <w:sz w:val="20"/>
          <w:lang w:bidi="en-US"/>
        </w:rPr>
      </w:pPr>
      <w:r w:rsidRPr="002036CB">
        <w:rPr>
          <w:sz w:val="20"/>
          <w:lang w:bidi="en-US"/>
        </w:rPr>
        <w:t>Willing and able to comply with the scheduled visits and study procedures</w:t>
      </w:r>
    </w:p>
    <w:p w14:paraId="77371095" w14:textId="77777777" w:rsidR="00B76FE0" w:rsidRPr="002036CB" w:rsidRDefault="00B76FE0" w:rsidP="00B76FE0">
      <w:pPr>
        <w:pStyle w:val="C-Heading3"/>
        <w:numPr>
          <w:ilvl w:val="0"/>
          <w:numId w:val="0"/>
        </w:numPr>
        <w:ind w:left="1080" w:hanging="1080"/>
        <w:rPr>
          <w:sz w:val="20"/>
          <w:lang w:eastAsia="ja-JP"/>
        </w:rPr>
      </w:pPr>
      <w:bookmarkStart w:id="11" w:name="_Ref513470807"/>
      <w:bookmarkStart w:id="12" w:name="_Toc137485941"/>
      <w:r w:rsidRPr="002036CB">
        <w:rPr>
          <w:sz w:val="20"/>
          <w:lang w:bidi="en-US"/>
        </w:rPr>
        <w:t>Exclusion Criteria</w:t>
      </w:r>
      <w:bookmarkEnd w:id="11"/>
      <w:bookmarkEnd w:id="12"/>
    </w:p>
    <w:p w14:paraId="16841EB7" w14:textId="77777777" w:rsidR="00B76FE0" w:rsidRPr="002036CB" w:rsidRDefault="00B76FE0" w:rsidP="00B76FE0">
      <w:pPr>
        <w:pStyle w:val="C-BodyText"/>
        <w:rPr>
          <w:sz w:val="20"/>
        </w:rPr>
      </w:pPr>
      <w:r w:rsidRPr="002036CB">
        <w:rPr>
          <w:sz w:val="20"/>
          <w:lang w:bidi="en-US"/>
        </w:rPr>
        <w:t>A patient must not have met any of the following exclusion criteria to be eligible for participation in this study:</w:t>
      </w:r>
    </w:p>
    <w:p w14:paraId="659B0C40" w14:textId="77777777" w:rsidR="00B76FE0" w:rsidRPr="002036CB" w:rsidRDefault="00B76FE0" w:rsidP="00B76FE0">
      <w:pPr>
        <w:pStyle w:val="C-NumberedList"/>
        <w:numPr>
          <w:ilvl w:val="0"/>
          <w:numId w:val="10"/>
        </w:numPr>
        <w:ind w:leftChars="119" w:left="638" w:hangingChars="176" w:hanging="352"/>
        <w:rPr>
          <w:color w:val="0000FF"/>
          <w:sz w:val="20"/>
          <w:lang w:eastAsia="ja-JP"/>
        </w:rPr>
      </w:pPr>
      <w:r w:rsidRPr="002036CB">
        <w:rPr>
          <w:sz w:val="20"/>
          <w:lang w:bidi="en-US"/>
        </w:rPr>
        <w:t>Received any of the following treatments:</w:t>
      </w:r>
    </w:p>
    <w:p w14:paraId="0831CED1" w14:textId="77777777" w:rsidR="00B76FE0" w:rsidRPr="002036CB" w:rsidRDefault="00B76FE0" w:rsidP="00B76FE0">
      <w:pPr>
        <w:pStyle w:val="C-AlphabeticList"/>
        <w:tabs>
          <w:tab w:val="num" w:pos="1080"/>
        </w:tabs>
        <w:ind w:left="1080"/>
        <w:rPr>
          <w:sz w:val="20"/>
        </w:rPr>
      </w:pPr>
      <w:r w:rsidRPr="002036CB">
        <w:rPr>
          <w:sz w:val="20"/>
          <w:lang w:bidi="en-US"/>
        </w:rPr>
        <w:t>Extensive surgery requiring general anesthesia within 4 weeks before enrollment (The surgical wound should be confirmed to be healed before enrollment.)</w:t>
      </w:r>
    </w:p>
    <w:p w14:paraId="79D7DA0D" w14:textId="77777777" w:rsidR="00B76FE0" w:rsidRPr="002036CB" w:rsidRDefault="00B76FE0" w:rsidP="00B76FE0">
      <w:pPr>
        <w:pStyle w:val="C-AlphabeticList"/>
        <w:tabs>
          <w:tab w:val="num" w:pos="1080"/>
        </w:tabs>
        <w:ind w:left="1080"/>
        <w:rPr>
          <w:sz w:val="20"/>
        </w:rPr>
      </w:pPr>
      <w:r w:rsidRPr="002036CB">
        <w:rPr>
          <w:sz w:val="20"/>
          <w:lang w:bidi="en-US"/>
        </w:rPr>
        <w:t>Use of any investigational drug or device within 4 weeks before enrollment</w:t>
      </w:r>
    </w:p>
    <w:p w14:paraId="68D5126A" w14:textId="77777777" w:rsidR="00B76FE0" w:rsidRPr="002036CB" w:rsidRDefault="00B76FE0" w:rsidP="00B76FE0">
      <w:pPr>
        <w:pStyle w:val="C-AlphabeticList"/>
        <w:tabs>
          <w:tab w:val="num" w:pos="1080"/>
        </w:tabs>
        <w:ind w:left="1080"/>
        <w:rPr>
          <w:sz w:val="20"/>
        </w:rPr>
      </w:pPr>
      <w:r w:rsidRPr="002036CB">
        <w:rPr>
          <w:sz w:val="20"/>
          <w:lang w:bidi="en-US"/>
        </w:rPr>
        <w:t>Radiotherapy within 4 weeks before enrollment</w:t>
      </w:r>
    </w:p>
    <w:p w14:paraId="513069B6" w14:textId="77777777" w:rsidR="00B76FE0" w:rsidRPr="002036CB" w:rsidRDefault="00B76FE0" w:rsidP="00B76FE0">
      <w:pPr>
        <w:pStyle w:val="C-AlphabeticList"/>
        <w:tabs>
          <w:tab w:val="num" w:pos="1080"/>
        </w:tabs>
        <w:ind w:left="1080"/>
        <w:rPr>
          <w:sz w:val="20"/>
        </w:rPr>
      </w:pPr>
      <w:r w:rsidRPr="002036CB">
        <w:rPr>
          <w:sz w:val="20"/>
          <w:lang w:bidi="en-US"/>
        </w:rPr>
        <w:t>Anticancer therapy within 2 weeks before enrollment</w:t>
      </w:r>
    </w:p>
    <w:p w14:paraId="495458F6" w14:textId="77777777" w:rsidR="00B76FE0" w:rsidRPr="002036CB" w:rsidRDefault="00B76FE0" w:rsidP="00B76FE0">
      <w:pPr>
        <w:pStyle w:val="C-AlphabeticList"/>
        <w:tabs>
          <w:tab w:val="num" w:pos="1080"/>
        </w:tabs>
        <w:ind w:left="1080"/>
        <w:rPr>
          <w:sz w:val="20"/>
        </w:rPr>
      </w:pPr>
      <w:r w:rsidRPr="002036CB">
        <w:rPr>
          <w:sz w:val="20"/>
          <w:lang w:bidi="en-US"/>
        </w:rPr>
        <w:t>Bone marrow transplantation or stem cell transplantation (excluding autologous peripheral blood stem cell transplantation)</w:t>
      </w:r>
    </w:p>
    <w:p w14:paraId="43E5BA25" w14:textId="77777777" w:rsidR="00B76FE0" w:rsidRPr="002036CB" w:rsidRDefault="00B76FE0" w:rsidP="00B76FE0">
      <w:pPr>
        <w:pStyle w:val="C-AlphabeticList"/>
        <w:tabs>
          <w:tab w:val="num" w:pos="1080"/>
        </w:tabs>
        <w:ind w:left="1080"/>
        <w:rPr>
          <w:sz w:val="20"/>
        </w:rPr>
      </w:pPr>
      <w:r w:rsidRPr="002036CB">
        <w:rPr>
          <w:sz w:val="20"/>
          <w:lang w:bidi="en-US"/>
        </w:rPr>
        <w:t>Prior treatment with TAS-115</w:t>
      </w:r>
    </w:p>
    <w:p w14:paraId="5F23030B" w14:textId="77777777" w:rsidR="00B76FE0" w:rsidRPr="002036CB" w:rsidRDefault="00B76FE0" w:rsidP="00B76FE0">
      <w:pPr>
        <w:pStyle w:val="C-NumberedList"/>
        <w:numPr>
          <w:ilvl w:val="0"/>
          <w:numId w:val="10"/>
        </w:numPr>
        <w:ind w:leftChars="119" w:left="638" w:hangingChars="176" w:hanging="352"/>
        <w:rPr>
          <w:sz w:val="20"/>
          <w:lang w:eastAsia="ja-JP"/>
        </w:rPr>
      </w:pPr>
      <w:r w:rsidRPr="002036CB">
        <w:rPr>
          <w:sz w:val="20"/>
          <w:lang w:bidi="en-US"/>
        </w:rPr>
        <w:t>Has an adverse reaction caused by prior treatment that has not recovered to Grade 1 per Common Terminology Criteria for Adverse Events (CTCAE) version 5.0 (excluding anemia, alopecia, skin hyperpigmentation, peripheral sensory neuropathy, and hypertension)</w:t>
      </w:r>
    </w:p>
    <w:p w14:paraId="5D38A286" w14:textId="77777777"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Has a contraindication to pioglitazone, losartan, or midazolam as per the package insert</w:t>
      </w:r>
    </w:p>
    <w:p w14:paraId="60BFCD3D" w14:textId="77777777"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Has any of the following diseases or conditions:</w:t>
      </w:r>
    </w:p>
    <w:p w14:paraId="39317FD7" w14:textId="77777777" w:rsidR="00B76FE0" w:rsidRPr="002036CB" w:rsidRDefault="00B76FE0" w:rsidP="00B76FE0">
      <w:pPr>
        <w:pStyle w:val="C-AlphabeticList"/>
        <w:tabs>
          <w:tab w:val="num" w:pos="1080"/>
        </w:tabs>
        <w:ind w:left="1080"/>
        <w:rPr>
          <w:sz w:val="20"/>
        </w:rPr>
      </w:pPr>
      <w:r w:rsidRPr="002036CB">
        <w:rPr>
          <w:sz w:val="20"/>
          <w:lang w:bidi="en-US"/>
        </w:rPr>
        <w:t>Brain metastasis that is symptomatic or requires treatment</w:t>
      </w:r>
    </w:p>
    <w:p w14:paraId="3B023D69" w14:textId="77777777" w:rsidR="00B76FE0" w:rsidRPr="002036CB" w:rsidRDefault="00B76FE0" w:rsidP="00B76FE0">
      <w:pPr>
        <w:pStyle w:val="C-AlphabeticList"/>
        <w:tabs>
          <w:tab w:val="num" w:pos="1080"/>
        </w:tabs>
        <w:ind w:left="1080"/>
        <w:rPr>
          <w:sz w:val="20"/>
        </w:rPr>
      </w:pPr>
      <w:r w:rsidRPr="002036CB">
        <w:rPr>
          <w:sz w:val="20"/>
          <w:lang w:bidi="en-US"/>
        </w:rPr>
        <w:t>Active infection (</w:t>
      </w:r>
      <w:proofErr w:type="spellStart"/>
      <w:r w:rsidRPr="002036CB">
        <w:rPr>
          <w:sz w:val="20"/>
          <w:lang w:bidi="en-US"/>
        </w:rPr>
        <w:t>eg</w:t>
      </w:r>
      <w:proofErr w:type="spellEnd"/>
      <w:r w:rsidRPr="002036CB">
        <w:rPr>
          <w:sz w:val="20"/>
          <w:lang w:bidi="en-US"/>
        </w:rPr>
        <w:t>, fever ≥ 38°C due to infection)</w:t>
      </w:r>
    </w:p>
    <w:p w14:paraId="5FFACAF8" w14:textId="77777777" w:rsidR="00B76FE0" w:rsidRPr="002036CB" w:rsidRDefault="00B76FE0" w:rsidP="00B76FE0">
      <w:pPr>
        <w:pStyle w:val="C-AlphabeticList"/>
        <w:tabs>
          <w:tab w:val="num" w:pos="1080"/>
        </w:tabs>
        <w:ind w:left="1080"/>
        <w:rPr>
          <w:sz w:val="20"/>
        </w:rPr>
      </w:pPr>
      <w:r w:rsidRPr="002036CB">
        <w:rPr>
          <w:sz w:val="20"/>
          <w:lang w:bidi="en-US"/>
        </w:rPr>
        <w:t>Uncontrolled hypertension/diabetes mellitus</w:t>
      </w:r>
    </w:p>
    <w:p w14:paraId="33498687" w14:textId="77777777" w:rsidR="00B76FE0" w:rsidRPr="002036CB" w:rsidRDefault="00B76FE0" w:rsidP="00B76FE0">
      <w:pPr>
        <w:pStyle w:val="C-AlphabeticList"/>
        <w:tabs>
          <w:tab w:val="num" w:pos="1080"/>
        </w:tabs>
        <w:ind w:left="1080"/>
        <w:rPr>
          <w:sz w:val="20"/>
        </w:rPr>
      </w:pPr>
      <w:r w:rsidRPr="002036CB">
        <w:rPr>
          <w:sz w:val="20"/>
          <w:lang w:bidi="en-US"/>
        </w:rPr>
        <w:t>Symptomatic congestive heart failure (Class 3 to 4 heart disease as defined by the New York Heart Association [NYHA]), or symptomatic or uncontrolled ventricular arrhythmia</w:t>
      </w:r>
    </w:p>
    <w:p w14:paraId="26BABB3E" w14:textId="77777777" w:rsidR="00B76FE0" w:rsidRPr="002036CB" w:rsidRDefault="00B76FE0" w:rsidP="00B76FE0">
      <w:pPr>
        <w:pStyle w:val="C-AlphabeticList"/>
        <w:tabs>
          <w:tab w:val="num" w:pos="1080"/>
        </w:tabs>
        <w:ind w:left="1080"/>
        <w:rPr>
          <w:sz w:val="20"/>
        </w:rPr>
      </w:pPr>
      <w:r w:rsidRPr="002036CB">
        <w:rPr>
          <w:sz w:val="20"/>
          <w:lang w:bidi="en-US"/>
        </w:rPr>
        <w:lastRenderedPageBreak/>
        <w:t xml:space="preserve">Arterial thromboembolism-related events, including myocardial infarction, unstable angina pectoris, cerebrovascular accident, transient </w:t>
      </w:r>
      <w:proofErr w:type="spellStart"/>
      <w:r w:rsidRPr="002036CB">
        <w:rPr>
          <w:sz w:val="20"/>
          <w:lang w:bidi="en-US"/>
        </w:rPr>
        <w:t>ischaemic</w:t>
      </w:r>
      <w:proofErr w:type="spellEnd"/>
      <w:r w:rsidRPr="002036CB">
        <w:rPr>
          <w:sz w:val="20"/>
          <w:lang w:bidi="en-US"/>
        </w:rPr>
        <w:t xml:space="preserve"> attack, etc., within 24 weeks before enrollment</w:t>
      </w:r>
    </w:p>
    <w:p w14:paraId="64ADF6F6" w14:textId="77777777" w:rsidR="00B76FE0" w:rsidRPr="002036CB" w:rsidRDefault="00B76FE0" w:rsidP="00B76FE0">
      <w:pPr>
        <w:pStyle w:val="C-AlphabeticList"/>
        <w:tabs>
          <w:tab w:val="num" w:pos="1080"/>
        </w:tabs>
        <w:ind w:left="1080"/>
        <w:rPr>
          <w:sz w:val="20"/>
        </w:rPr>
      </w:pPr>
      <w:r w:rsidRPr="002036CB">
        <w:rPr>
          <w:sz w:val="20"/>
          <w:lang w:bidi="en-US"/>
        </w:rPr>
        <w:t>Deep vein thrombosis, pulmonary embolism, or other thromboembolism requiring treatment (excluding venous port or catheter thrombosis, or superficial vein thrombosis) within 12 weeks before enrollment</w:t>
      </w:r>
    </w:p>
    <w:p w14:paraId="00E8397A" w14:textId="77777777" w:rsidR="00B76FE0" w:rsidRPr="002036CB" w:rsidRDefault="00B76FE0" w:rsidP="00B76FE0">
      <w:pPr>
        <w:pStyle w:val="C-AlphabeticList"/>
        <w:tabs>
          <w:tab w:val="num" w:pos="1080"/>
        </w:tabs>
        <w:ind w:left="1080"/>
        <w:rPr>
          <w:sz w:val="20"/>
        </w:rPr>
      </w:pPr>
      <w:r w:rsidRPr="002036CB">
        <w:rPr>
          <w:sz w:val="20"/>
          <w:lang w:bidi="en-US"/>
        </w:rPr>
        <w:t>Interstitial pneumonia, pulmonary fibrosis requiring treatment, pneumonitis</w:t>
      </w:r>
    </w:p>
    <w:p w14:paraId="67F1A554" w14:textId="77777777" w:rsidR="00B76FE0" w:rsidRPr="002036CB" w:rsidRDefault="00B76FE0" w:rsidP="00B76FE0">
      <w:pPr>
        <w:pStyle w:val="C-AlphabeticList"/>
        <w:tabs>
          <w:tab w:val="num" w:pos="1080"/>
        </w:tabs>
        <w:ind w:left="1080"/>
        <w:rPr>
          <w:sz w:val="20"/>
        </w:rPr>
      </w:pPr>
      <w:r w:rsidRPr="002036CB">
        <w:rPr>
          <w:sz w:val="20"/>
          <w:lang w:bidi="en-US"/>
        </w:rPr>
        <w:t>Intestinal obstruction, intestinal paralysis, inflammatory bowel disease (Crohn’s disease, ulcerative colitis)</w:t>
      </w:r>
    </w:p>
    <w:p w14:paraId="3C608792" w14:textId="77777777" w:rsidR="00B76FE0" w:rsidRPr="002036CB" w:rsidRDefault="00B76FE0" w:rsidP="00B76FE0">
      <w:pPr>
        <w:pStyle w:val="C-AlphabeticList"/>
        <w:tabs>
          <w:tab w:val="num" w:pos="1080"/>
        </w:tabs>
        <w:ind w:left="1080"/>
        <w:rPr>
          <w:sz w:val="20"/>
        </w:rPr>
      </w:pPr>
      <w:r w:rsidRPr="002036CB">
        <w:rPr>
          <w:sz w:val="20"/>
          <w:lang w:bidi="en-US"/>
        </w:rPr>
        <w:t>Gastrointestinal hemorrhage requiring treatment within 12 weeks before enrollment</w:t>
      </w:r>
    </w:p>
    <w:p w14:paraId="5E3DBB3D" w14:textId="77777777" w:rsidR="00B76FE0" w:rsidRPr="002036CB" w:rsidRDefault="00B76FE0" w:rsidP="00B76FE0">
      <w:pPr>
        <w:pStyle w:val="C-AlphabeticList"/>
        <w:tabs>
          <w:tab w:val="num" w:pos="1080"/>
        </w:tabs>
        <w:ind w:left="1080"/>
        <w:rPr>
          <w:sz w:val="20"/>
        </w:rPr>
      </w:pPr>
      <w:r w:rsidRPr="002036CB">
        <w:rPr>
          <w:sz w:val="20"/>
          <w:lang w:bidi="en-US"/>
        </w:rPr>
        <w:t>Serious and unresolved wound within 4 weeks before enrollment</w:t>
      </w:r>
    </w:p>
    <w:p w14:paraId="0144ECC7" w14:textId="77777777" w:rsidR="00B76FE0" w:rsidRPr="002036CB" w:rsidRDefault="00B76FE0" w:rsidP="00B76FE0">
      <w:pPr>
        <w:pStyle w:val="C-AlphabeticList"/>
        <w:tabs>
          <w:tab w:val="num" w:pos="1080"/>
        </w:tabs>
        <w:ind w:left="1080"/>
        <w:rPr>
          <w:sz w:val="20"/>
        </w:rPr>
      </w:pPr>
      <w:r w:rsidRPr="002036CB">
        <w:rPr>
          <w:sz w:val="20"/>
          <w:lang w:bidi="en-US"/>
        </w:rPr>
        <w:t>Grade ≥ 2 anorexia, malaise, diarrhea, nausea, vomiting, or skin disorder as per CTCAE version 5.0</w:t>
      </w:r>
    </w:p>
    <w:p w14:paraId="4C3C4B0F" w14:textId="77777777" w:rsidR="00B76FE0" w:rsidRPr="002036CB" w:rsidRDefault="00B76FE0" w:rsidP="00B76FE0">
      <w:pPr>
        <w:pStyle w:val="C-AlphabeticList"/>
        <w:tabs>
          <w:tab w:val="num" w:pos="1080"/>
        </w:tabs>
        <w:ind w:left="1080"/>
        <w:rPr>
          <w:sz w:val="20"/>
        </w:rPr>
      </w:pPr>
      <w:r w:rsidRPr="002036CB">
        <w:rPr>
          <w:sz w:val="20"/>
          <w:lang w:bidi="en-US"/>
        </w:rPr>
        <w:t>Diseases requiring continuous systemic steroid administration (oral or intravenous)</w:t>
      </w:r>
    </w:p>
    <w:p w14:paraId="40186434" w14:textId="77777777" w:rsidR="00B76FE0" w:rsidRPr="002036CB" w:rsidRDefault="00B76FE0" w:rsidP="00B76FE0">
      <w:pPr>
        <w:pStyle w:val="C-NumberedList"/>
        <w:numPr>
          <w:ilvl w:val="0"/>
          <w:numId w:val="10"/>
        </w:numPr>
        <w:ind w:leftChars="119" w:left="638" w:hangingChars="176" w:hanging="352"/>
        <w:rPr>
          <w:sz w:val="20"/>
          <w:lang w:eastAsia="ja-JP"/>
        </w:rPr>
      </w:pPr>
      <w:r w:rsidRPr="002036CB">
        <w:rPr>
          <w:sz w:val="20"/>
          <w:lang w:bidi="en-US"/>
        </w:rPr>
        <w:t>History of allergic reactions attributed to compounds of similar chemical or biologic composition to TAS-115</w:t>
      </w:r>
    </w:p>
    <w:p w14:paraId="02C8F776" w14:textId="049FC3E2"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Has a history of allergic reaction</w:t>
      </w:r>
      <w:r w:rsidR="00CB556B" w:rsidRPr="002036CB">
        <w:rPr>
          <w:rFonts w:hint="eastAsia"/>
          <w:sz w:val="20"/>
          <w:lang w:eastAsia="ja-JP" w:bidi="en-US"/>
        </w:rPr>
        <w:t>s</w:t>
      </w:r>
      <w:r w:rsidRPr="002036CB">
        <w:rPr>
          <w:sz w:val="20"/>
          <w:lang w:bidi="en-US"/>
        </w:rPr>
        <w:t xml:space="preserve"> to pioglitazone, losartan, or midazolam, or adverse reactions leading to treatment discontinuation</w:t>
      </w:r>
    </w:p>
    <w:p w14:paraId="72CA11CD" w14:textId="77777777"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 xml:space="preserve">Has risk factors for </w:t>
      </w:r>
      <w:proofErr w:type="spellStart"/>
      <w:r w:rsidRPr="002036CB">
        <w:rPr>
          <w:sz w:val="20"/>
          <w:lang w:bidi="en-US"/>
        </w:rPr>
        <w:t>torsades</w:t>
      </w:r>
      <w:proofErr w:type="spellEnd"/>
      <w:r w:rsidRPr="002036CB">
        <w:rPr>
          <w:sz w:val="20"/>
          <w:lang w:bidi="en-US"/>
        </w:rPr>
        <w:t xml:space="preserve"> de pointes, including a family history of heart failure, hypokalemia, and long QT syndrome</w:t>
      </w:r>
    </w:p>
    <w:p w14:paraId="4D19DE8F" w14:textId="77777777"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Has gastrointestinal dysfunction that may significantly interfere with the absorption of TAS-115, pioglitazone, losartan or midazolam (</w:t>
      </w:r>
      <w:proofErr w:type="spellStart"/>
      <w:r w:rsidRPr="002036CB">
        <w:rPr>
          <w:sz w:val="20"/>
          <w:lang w:bidi="en-US"/>
        </w:rPr>
        <w:t>eg</w:t>
      </w:r>
      <w:proofErr w:type="spellEnd"/>
      <w:r w:rsidRPr="002036CB">
        <w:rPr>
          <w:sz w:val="20"/>
          <w:lang w:bidi="en-US"/>
        </w:rPr>
        <w:t>, history of gastrectomy, peptic ulcer disease requiring treatment)</w:t>
      </w:r>
    </w:p>
    <w:p w14:paraId="747BF2E1" w14:textId="77777777"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Has liver metastasis or disorder that may significantly interfere with the metabolism of TAS-115, pioglitazone, losartan, or midazolam</w:t>
      </w:r>
    </w:p>
    <w:p w14:paraId="5221A742" w14:textId="155CC2B1"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Need to continuously receive any drug that may affect the PK evaluation (including OTC drugs and excluding topical formulations with a local action) during the drug-drug interaction evaluation period (</w:t>
      </w:r>
      <w:r w:rsidR="00CB556B" w:rsidRPr="002036CB">
        <w:rPr>
          <w:rFonts w:hint="eastAsia"/>
          <w:sz w:val="20"/>
          <w:lang w:eastAsia="ja-JP" w:bidi="en-US"/>
        </w:rPr>
        <w:t>a</w:t>
      </w:r>
      <w:r w:rsidRPr="002036CB">
        <w:rPr>
          <w:sz w:val="20"/>
          <w:lang w:bidi="en-US"/>
        </w:rPr>
        <w:t xml:space="preserve"> washout period at least 5 times the half-life of the drug is required before the first dose of pioglitazone.)</w:t>
      </w:r>
    </w:p>
    <w:p w14:paraId="701A8330" w14:textId="77777777"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Ingestion of foods and drinks containing alcohol, caffeine, grapefruit, or St. John’s wort, or use of dietary supplements that may affect the PK evaluation within 7 days before enrollment</w:t>
      </w:r>
    </w:p>
    <w:p w14:paraId="4427BE13" w14:textId="77777777"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Provided a total of at least 800 mL of whole blood within 1 year before enrollment</w:t>
      </w:r>
    </w:p>
    <w:p w14:paraId="43B3BFA3" w14:textId="77777777"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lastRenderedPageBreak/>
        <w:t>Had at least 200 mL of whole blood collected within 30 days before enrollment, at least 400 mL of whole blood collected within 90 days before enrollment, or blood components collected within 14 days before enrollment</w:t>
      </w:r>
    </w:p>
    <w:p w14:paraId="61CB96CC" w14:textId="77777777"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Is positive for hepatitis B surface (HBs) antigen, hepatitis C virus (HCV) antibody, or human immunodeficiency virus (HIV) antibody (HCV-antibody-positive patients are eligible if they tested negative for HCV ribonucleic acid [RNA])</w:t>
      </w:r>
    </w:p>
    <w:p w14:paraId="5A64EDFE" w14:textId="77777777"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Has pleural effusion, ascites, or pericardial effusion requiring body cavity drainage within 2 weeks before enrollment</w:t>
      </w:r>
    </w:p>
    <w:p w14:paraId="6D0B19F7" w14:textId="5523339F"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 xml:space="preserve">Has a history of other primary malignancies within the previous 5 years (It is acceptable to enroll patients with a history of localized primary malignancies, such as carcinoma in situ, basal cell carcinoma, or localized squamous cell skin cancer, considered to be cured by surgery alone or by surgery with radiotherapy in the opinion of </w:t>
      </w:r>
      <w:r w:rsidR="00CB556B" w:rsidRPr="002036CB">
        <w:rPr>
          <w:rFonts w:hint="eastAsia"/>
          <w:sz w:val="20"/>
          <w:lang w:eastAsia="ja-JP" w:bidi="en-US"/>
        </w:rPr>
        <w:t xml:space="preserve">the </w:t>
      </w:r>
      <w:r w:rsidRPr="002036CB">
        <w:rPr>
          <w:sz w:val="20"/>
          <w:lang w:bidi="en-US"/>
        </w:rPr>
        <w:t>investigator.)</w:t>
      </w:r>
    </w:p>
    <w:p w14:paraId="5DEFF9C3" w14:textId="77777777"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Pregnant or possibly pregnant patients, or lactating patients (including patients who have discontinued breastfeeding)</w:t>
      </w:r>
    </w:p>
    <w:p w14:paraId="5A4D905F" w14:textId="77777777" w:rsidR="00B76FE0" w:rsidRPr="002036CB" w:rsidRDefault="00B76FE0" w:rsidP="00B76FE0">
      <w:pPr>
        <w:pStyle w:val="C-NumberedList"/>
        <w:numPr>
          <w:ilvl w:val="0"/>
          <w:numId w:val="10"/>
        </w:numPr>
        <w:ind w:leftChars="119" w:left="638" w:hangingChars="176" w:hanging="352"/>
        <w:rPr>
          <w:sz w:val="20"/>
        </w:rPr>
      </w:pPr>
      <w:r w:rsidRPr="002036CB">
        <w:rPr>
          <w:sz w:val="20"/>
          <w:lang w:bidi="en-US"/>
        </w:rPr>
        <w:t>Female patients of childbearing potential or male patients who do not agree to effective birth control during the following period:</w:t>
      </w:r>
    </w:p>
    <w:p w14:paraId="6CA860E1" w14:textId="77777777" w:rsidR="00B76FE0" w:rsidRPr="002036CB" w:rsidRDefault="00B76FE0" w:rsidP="00B76FE0">
      <w:pPr>
        <w:pStyle w:val="C-Bullet"/>
        <w:tabs>
          <w:tab w:val="num" w:pos="1080"/>
        </w:tabs>
        <w:ind w:left="1080"/>
        <w:rPr>
          <w:sz w:val="20"/>
        </w:rPr>
      </w:pPr>
      <w:r w:rsidRPr="002036CB">
        <w:rPr>
          <w:sz w:val="20"/>
          <w:lang w:bidi="en-US"/>
        </w:rPr>
        <w:t>Women of childbearing potential: During the study period and for 7 months after the last dose</w:t>
      </w:r>
    </w:p>
    <w:p w14:paraId="129985D0" w14:textId="77777777" w:rsidR="00B76FE0" w:rsidRPr="002036CB" w:rsidRDefault="00B76FE0" w:rsidP="00B76FE0">
      <w:pPr>
        <w:pStyle w:val="C-Bullet"/>
        <w:tabs>
          <w:tab w:val="num" w:pos="1080"/>
        </w:tabs>
        <w:ind w:left="1080"/>
        <w:rPr>
          <w:sz w:val="20"/>
        </w:rPr>
      </w:pPr>
      <w:r w:rsidRPr="002036CB">
        <w:rPr>
          <w:sz w:val="20"/>
          <w:lang w:bidi="en-US"/>
        </w:rPr>
        <w:t>Men: During the study period and for 4 months after the last dose</w:t>
      </w:r>
    </w:p>
    <w:p w14:paraId="26AF2999" w14:textId="77777777" w:rsidR="00B76FE0" w:rsidRPr="002036CB" w:rsidRDefault="00B76FE0" w:rsidP="00B76FE0">
      <w:pPr>
        <w:pStyle w:val="C-NumberedList"/>
        <w:numPr>
          <w:ilvl w:val="0"/>
          <w:numId w:val="10"/>
        </w:numPr>
        <w:ind w:leftChars="119" w:left="638" w:hangingChars="176" w:hanging="352"/>
        <w:rPr>
          <w:sz w:val="20"/>
          <w:lang w:bidi="en-US"/>
        </w:rPr>
      </w:pPr>
      <w:r w:rsidRPr="002036CB">
        <w:rPr>
          <w:sz w:val="20"/>
          <w:lang w:bidi="en-US"/>
        </w:rPr>
        <w:t>Has a psychiatric disorder that may affect informed consent or preclude compliance with the study provisions of this study</w:t>
      </w:r>
    </w:p>
    <w:p w14:paraId="47E9FC08" w14:textId="08297F8C" w:rsidR="001A02B7" w:rsidRPr="00672E4D" w:rsidRDefault="00B76FE0" w:rsidP="00672E4D">
      <w:pPr>
        <w:pStyle w:val="C-NumberedList"/>
        <w:numPr>
          <w:ilvl w:val="0"/>
          <w:numId w:val="10"/>
        </w:numPr>
        <w:ind w:leftChars="119" w:left="638" w:hangingChars="176" w:hanging="352"/>
        <w:rPr>
          <w:rFonts w:hint="eastAsia"/>
          <w:sz w:val="20"/>
        </w:rPr>
      </w:pPr>
      <w:r w:rsidRPr="002036CB">
        <w:rPr>
          <w:sz w:val="20"/>
          <w:lang w:bidi="en-US"/>
        </w:rPr>
        <w:t xml:space="preserve">Is considered ineligible as a participant </w:t>
      </w:r>
      <w:proofErr w:type="gramStart"/>
      <w:r w:rsidRPr="002036CB">
        <w:rPr>
          <w:sz w:val="20"/>
          <w:lang w:bidi="en-US"/>
        </w:rPr>
        <w:t>of</w:t>
      </w:r>
      <w:proofErr w:type="gramEnd"/>
      <w:r w:rsidRPr="002036CB">
        <w:rPr>
          <w:sz w:val="20"/>
          <w:lang w:bidi="en-US"/>
        </w:rPr>
        <w:t xml:space="preserve"> this study by the investigator</w:t>
      </w:r>
    </w:p>
    <w:sectPr w:rsidR="001A02B7" w:rsidRPr="00672E4D">
      <w:footerReference w:type="defaul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5761" w14:textId="77777777" w:rsidR="007B6D59" w:rsidRDefault="007B6D59" w:rsidP="002E54EB">
      <w:r>
        <w:separator/>
      </w:r>
    </w:p>
  </w:endnote>
  <w:endnote w:type="continuationSeparator" w:id="0">
    <w:p w14:paraId="7283B489" w14:textId="77777777" w:rsidR="007B6D59" w:rsidRDefault="007B6D59" w:rsidP="002E54EB">
      <w:r>
        <w:continuationSeparator/>
      </w:r>
    </w:p>
  </w:endnote>
  <w:endnote w:type="continuationNotice" w:id="1">
    <w:p w14:paraId="5E582800" w14:textId="77777777" w:rsidR="007B6D59" w:rsidRDefault="007B6D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149607"/>
      <w:docPartObj>
        <w:docPartGallery w:val="Page Numbers (Bottom of Page)"/>
        <w:docPartUnique/>
      </w:docPartObj>
    </w:sdtPr>
    <w:sdtContent>
      <w:p w14:paraId="5E9C989F" w14:textId="2579A745" w:rsidR="00F30A05" w:rsidRDefault="00F30A05">
        <w:pPr>
          <w:pStyle w:val="ac"/>
          <w:jc w:val="center"/>
        </w:pPr>
        <w:r>
          <w:fldChar w:fldCharType="begin"/>
        </w:r>
        <w:r>
          <w:instrText>PAGE   \* MERGEFORMAT</w:instrText>
        </w:r>
        <w:r>
          <w:fldChar w:fldCharType="separate"/>
        </w:r>
        <w:r>
          <w:rPr>
            <w:lang w:val="ja-JP"/>
          </w:rPr>
          <w:t>2</w:t>
        </w:r>
        <w:r>
          <w:fldChar w:fldCharType="end"/>
        </w:r>
      </w:p>
    </w:sdtContent>
  </w:sdt>
  <w:p w14:paraId="67AFDBCA" w14:textId="77777777" w:rsidR="00F30A05" w:rsidRDefault="00F30A0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F2B3" w14:textId="77777777" w:rsidR="007B6D59" w:rsidRDefault="007B6D59" w:rsidP="002E54EB">
      <w:r>
        <w:separator/>
      </w:r>
    </w:p>
  </w:footnote>
  <w:footnote w:type="continuationSeparator" w:id="0">
    <w:p w14:paraId="07662353" w14:textId="77777777" w:rsidR="007B6D59" w:rsidRDefault="007B6D59" w:rsidP="002E54EB">
      <w:r>
        <w:continuationSeparator/>
      </w:r>
    </w:p>
  </w:footnote>
  <w:footnote w:type="continuationNotice" w:id="1">
    <w:p w14:paraId="0516466B" w14:textId="77777777" w:rsidR="007B6D59" w:rsidRDefault="007B6D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03FF"/>
    <w:multiLevelType w:val="hybridMultilevel"/>
    <w:tmpl w:val="F5EAAAE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C51F41"/>
    <w:multiLevelType w:val="hybridMultilevel"/>
    <w:tmpl w:val="95D81ECA"/>
    <w:lvl w:ilvl="0" w:tplc="A6E04CDC">
      <w:start w:val="1"/>
      <w:numFmt w:val="bullet"/>
      <w:lvlText w:val="•"/>
      <w:lvlJc w:val="left"/>
      <w:pPr>
        <w:tabs>
          <w:tab w:val="num" w:pos="720"/>
        </w:tabs>
        <w:ind w:left="720" w:hanging="360"/>
      </w:pPr>
      <w:rPr>
        <w:rFonts w:ascii="Arial" w:hAnsi="Arial" w:hint="default"/>
      </w:rPr>
    </w:lvl>
    <w:lvl w:ilvl="1" w:tplc="F6408480" w:tentative="1">
      <w:start w:val="1"/>
      <w:numFmt w:val="bullet"/>
      <w:lvlText w:val="•"/>
      <w:lvlJc w:val="left"/>
      <w:pPr>
        <w:tabs>
          <w:tab w:val="num" w:pos="1440"/>
        </w:tabs>
        <w:ind w:left="1440" w:hanging="360"/>
      </w:pPr>
      <w:rPr>
        <w:rFonts w:ascii="Arial" w:hAnsi="Arial" w:hint="default"/>
      </w:rPr>
    </w:lvl>
    <w:lvl w:ilvl="2" w:tplc="A52646DC" w:tentative="1">
      <w:start w:val="1"/>
      <w:numFmt w:val="bullet"/>
      <w:lvlText w:val="•"/>
      <w:lvlJc w:val="left"/>
      <w:pPr>
        <w:tabs>
          <w:tab w:val="num" w:pos="2160"/>
        </w:tabs>
        <w:ind w:left="2160" w:hanging="360"/>
      </w:pPr>
      <w:rPr>
        <w:rFonts w:ascii="Arial" w:hAnsi="Arial" w:hint="default"/>
      </w:rPr>
    </w:lvl>
    <w:lvl w:ilvl="3" w:tplc="DC40106A" w:tentative="1">
      <w:start w:val="1"/>
      <w:numFmt w:val="bullet"/>
      <w:lvlText w:val="•"/>
      <w:lvlJc w:val="left"/>
      <w:pPr>
        <w:tabs>
          <w:tab w:val="num" w:pos="2880"/>
        </w:tabs>
        <w:ind w:left="2880" w:hanging="360"/>
      </w:pPr>
      <w:rPr>
        <w:rFonts w:ascii="Arial" w:hAnsi="Arial" w:hint="default"/>
      </w:rPr>
    </w:lvl>
    <w:lvl w:ilvl="4" w:tplc="3514B1E2" w:tentative="1">
      <w:start w:val="1"/>
      <w:numFmt w:val="bullet"/>
      <w:lvlText w:val="•"/>
      <w:lvlJc w:val="left"/>
      <w:pPr>
        <w:tabs>
          <w:tab w:val="num" w:pos="3600"/>
        </w:tabs>
        <w:ind w:left="3600" w:hanging="360"/>
      </w:pPr>
      <w:rPr>
        <w:rFonts w:ascii="Arial" w:hAnsi="Arial" w:hint="default"/>
      </w:rPr>
    </w:lvl>
    <w:lvl w:ilvl="5" w:tplc="99583BB6" w:tentative="1">
      <w:start w:val="1"/>
      <w:numFmt w:val="bullet"/>
      <w:lvlText w:val="•"/>
      <w:lvlJc w:val="left"/>
      <w:pPr>
        <w:tabs>
          <w:tab w:val="num" w:pos="4320"/>
        </w:tabs>
        <w:ind w:left="4320" w:hanging="360"/>
      </w:pPr>
      <w:rPr>
        <w:rFonts w:ascii="Arial" w:hAnsi="Arial" w:hint="default"/>
      </w:rPr>
    </w:lvl>
    <w:lvl w:ilvl="6" w:tplc="0A641994" w:tentative="1">
      <w:start w:val="1"/>
      <w:numFmt w:val="bullet"/>
      <w:lvlText w:val="•"/>
      <w:lvlJc w:val="left"/>
      <w:pPr>
        <w:tabs>
          <w:tab w:val="num" w:pos="5040"/>
        </w:tabs>
        <w:ind w:left="5040" w:hanging="360"/>
      </w:pPr>
      <w:rPr>
        <w:rFonts w:ascii="Arial" w:hAnsi="Arial" w:hint="default"/>
      </w:rPr>
    </w:lvl>
    <w:lvl w:ilvl="7" w:tplc="92A416B0" w:tentative="1">
      <w:start w:val="1"/>
      <w:numFmt w:val="bullet"/>
      <w:lvlText w:val="•"/>
      <w:lvlJc w:val="left"/>
      <w:pPr>
        <w:tabs>
          <w:tab w:val="num" w:pos="5760"/>
        </w:tabs>
        <w:ind w:left="5760" w:hanging="360"/>
      </w:pPr>
      <w:rPr>
        <w:rFonts w:ascii="Arial" w:hAnsi="Arial" w:hint="default"/>
      </w:rPr>
    </w:lvl>
    <w:lvl w:ilvl="8" w:tplc="D12AF4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B0043F"/>
    <w:multiLevelType w:val="hybridMultilevel"/>
    <w:tmpl w:val="5B52B9B2"/>
    <w:lvl w:ilvl="0" w:tplc="13005A3E">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AE6932"/>
    <w:multiLevelType w:val="hybridMultilevel"/>
    <w:tmpl w:val="7C80B16A"/>
    <w:lvl w:ilvl="0" w:tplc="5FDCE554">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CF5CCB"/>
    <w:multiLevelType w:val="hybridMultilevel"/>
    <w:tmpl w:val="270426E2"/>
    <w:lvl w:ilvl="0" w:tplc="F62449B6">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A3B17F8"/>
    <w:multiLevelType w:val="hybridMultilevel"/>
    <w:tmpl w:val="79F63D6A"/>
    <w:lvl w:ilvl="0" w:tplc="DA80EFBA">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7641A9"/>
    <w:multiLevelType w:val="multilevel"/>
    <w:tmpl w:val="CFE4110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color w:val="auto"/>
      </w:rPr>
    </w:lvl>
    <w:lvl w:ilvl="5">
      <w:start w:val="1"/>
      <w:numFmt w:val="decimal"/>
      <w:pStyle w:val="C-Heading6"/>
      <w:lvlText w:val="%1.%2.%3.%4.%5.%6."/>
      <w:lvlJc w:val="left"/>
      <w:pPr>
        <w:tabs>
          <w:tab w:val="num" w:pos="1080"/>
        </w:tabs>
        <w:ind w:left="1080" w:hanging="1080"/>
      </w:pPr>
      <w:rPr>
        <w:rFonts w:hint="default"/>
        <w:color w:val="auto"/>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7"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color w:val="auto"/>
        <w:sz w:val="24"/>
        <w:u w:val="none"/>
        <w:vertAlign w:val="base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8" w15:restartNumberingAfterBreak="0">
    <w:nsid w:val="5018671E"/>
    <w:multiLevelType w:val="hybridMultilevel"/>
    <w:tmpl w:val="6BF075D4"/>
    <w:lvl w:ilvl="0" w:tplc="BD34F12C">
      <w:start w:val="1"/>
      <w:numFmt w:val="bullet"/>
      <w:lvlText w:val="•"/>
      <w:lvlJc w:val="left"/>
      <w:pPr>
        <w:tabs>
          <w:tab w:val="num" w:pos="720"/>
        </w:tabs>
        <w:ind w:left="720" w:hanging="360"/>
      </w:pPr>
      <w:rPr>
        <w:rFonts w:ascii="Arial" w:hAnsi="Arial" w:hint="default"/>
      </w:rPr>
    </w:lvl>
    <w:lvl w:ilvl="1" w:tplc="D7544966" w:tentative="1">
      <w:start w:val="1"/>
      <w:numFmt w:val="bullet"/>
      <w:lvlText w:val="•"/>
      <w:lvlJc w:val="left"/>
      <w:pPr>
        <w:tabs>
          <w:tab w:val="num" w:pos="1440"/>
        </w:tabs>
        <w:ind w:left="1440" w:hanging="360"/>
      </w:pPr>
      <w:rPr>
        <w:rFonts w:ascii="Arial" w:hAnsi="Arial" w:hint="default"/>
      </w:rPr>
    </w:lvl>
    <w:lvl w:ilvl="2" w:tplc="2D3823EE" w:tentative="1">
      <w:start w:val="1"/>
      <w:numFmt w:val="bullet"/>
      <w:lvlText w:val="•"/>
      <w:lvlJc w:val="left"/>
      <w:pPr>
        <w:tabs>
          <w:tab w:val="num" w:pos="2160"/>
        </w:tabs>
        <w:ind w:left="2160" w:hanging="360"/>
      </w:pPr>
      <w:rPr>
        <w:rFonts w:ascii="Arial" w:hAnsi="Arial" w:hint="default"/>
      </w:rPr>
    </w:lvl>
    <w:lvl w:ilvl="3" w:tplc="CC8CC17C" w:tentative="1">
      <w:start w:val="1"/>
      <w:numFmt w:val="bullet"/>
      <w:lvlText w:val="•"/>
      <w:lvlJc w:val="left"/>
      <w:pPr>
        <w:tabs>
          <w:tab w:val="num" w:pos="2880"/>
        </w:tabs>
        <w:ind w:left="2880" w:hanging="360"/>
      </w:pPr>
      <w:rPr>
        <w:rFonts w:ascii="Arial" w:hAnsi="Arial" w:hint="default"/>
      </w:rPr>
    </w:lvl>
    <w:lvl w:ilvl="4" w:tplc="38080B7A" w:tentative="1">
      <w:start w:val="1"/>
      <w:numFmt w:val="bullet"/>
      <w:lvlText w:val="•"/>
      <w:lvlJc w:val="left"/>
      <w:pPr>
        <w:tabs>
          <w:tab w:val="num" w:pos="3600"/>
        </w:tabs>
        <w:ind w:left="3600" w:hanging="360"/>
      </w:pPr>
      <w:rPr>
        <w:rFonts w:ascii="Arial" w:hAnsi="Arial" w:hint="default"/>
      </w:rPr>
    </w:lvl>
    <w:lvl w:ilvl="5" w:tplc="87D0D1AC" w:tentative="1">
      <w:start w:val="1"/>
      <w:numFmt w:val="bullet"/>
      <w:lvlText w:val="•"/>
      <w:lvlJc w:val="left"/>
      <w:pPr>
        <w:tabs>
          <w:tab w:val="num" w:pos="4320"/>
        </w:tabs>
        <w:ind w:left="4320" w:hanging="360"/>
      </w:pPr>
      <w:rPr>
        <w:rFonts w:ascii="Arial" w:hAnsi="Arial" w:hint="default"/>
      </w:rPr>
    </w:lvl>
    <w:lvl w:ilvl="6" w:tplc="3798125E" w:tentative="1">
      <w:start w:val="1"/>
      <w:numFmt w:val="bullet"/>
      <w:lvlText w:val="•"/>
      <w:lvlJc w:val="left"/>
      <w:pPr>
        <w:tabs>
          <w:tab w:val="num" w:pos="5040"/>
        </w:tabs>
        <w:ind w:left="5040" w:hanging="360"/>
      </w:pPr>
      <w:rPr>
        <w:rFonts w:ascii="Arial" w:hAnsi="Arial" w:hint="default"/>
      </w:rPr>
    </w:lvl>
    <w:lvl w:ilvl="7" w:tplc="202CC2F8" w:tentative="1">
      <w:start w:val="1"/>
      <w:numFmt w:val="bullet"/>
      <w:lvlText w:val="•"/>
      <w:lvlJc w:val="left"/>
      <w:pPr>
        <w:tabs>
          <w:tab w:val="num" w:pos="5760"/>
        </w:tabs>
        <w:ind w:left="5760" w:hanging="360"/>
      </w:pPr>
      <w:rPr>
        <w:rFonts w:ascii="Arial" w:hAnsi="Arial" w:hint="default"/>
      </w:rPr>
    </w:lvl>
    <w:lvl w:ilvl="8" w:tplc="2D7A319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69E355F"/>
    <w:multiLevelType w:val="hybridMultilevel"/>
    <w:tmpl w:val="0D062488"/>
    <w:lvl w:ilvl="0" w:tplc="D5269E5E">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num w:numId="1" w16cid:durableId="424889332">
    <w:abstractNumId w:val="1"/>
  </w:num>
  <w:num w:numId="2" w16cid:durableId="1037123332">
    <w:abstractNumId w:val="8"/>
  </w:num>
  <w:num w:numId="3" w16cid:durableId="723718141">
    <w:abstractNumId w:val="0"/>
  </w:num>
  <w:num w:numId="4" w16cid:durableId="363673459">
    <w:abstractNumId w:val="4"/>
  </w:num>
  <w:num w:numId="5" w16cid:durableId="1971783947">
    <w:abstractNumId w:val="6"/>
  </w:num>
  <w:num w:numId="6" w16cid:durableId="380791204">
    <w:abstractNumId w:val="7"/>
  </w:num>
  <w:num w:numId="7" w16cid:durableId="95058248">
    <w:abstractNumId w:val="10"/>
  </w:num>
  <w:num w:numId="8" w16cid:durableId="468130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993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36304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6080835">
    <w:abstractNumId w:val="5"/>
  </w:num>
  <w:num w:numId="12" w16cid:durableId="2057965057">
    <w:abstractNumId w:val="9"/>
  </w:num>
  <w:num w:numId="13" w16cid:durableId="2146583363">
    <w:abstractNumId w:val="3"/>
  </w:num>
  <w:num w:numId="14" w16cid:durableId="1504279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14"/>
    <w:rsid w:val="000015AB"/>
    <w:rsid w:val="00006F57"/>
    <w:rsid w:val="00007FF1"/>
    <w:rsid w:val="00012614"/>
    <w:rsid w:val="00012807"/>
    <w:rsid w:val="00013216"/>
    <w:rsid w:val="00013A4D"/>
    <w:rsid w:val="00016180"/>
    <w:rsid w:val="000173C6"/>
    <w:rsid w:val="0002479C"/>
    <w:rsid w:val="00024EE1"/>
    <w:rsid w:val="000259B2"/>
    <w:rsid w:val="00027354"/>
    <w:rsid w:val="00030E5D"/>
    <w:rsid w:val="00031763"/>
    <w:rsid w:val="00033F7E"/>
    <w:rsid w:val="000368E5"/>
    <w:rsid w:val="00036EE6"/>
    <w:rsid w:val="00037D46"/>
    <w:rsid w:val="00040C83"/>
    <w:rsid w:val="000419CC"/>
    <w:rsid w:val="000509E3"/>
    <w:rsid w:val="000524D9"/>
    <w:rsid w:val="00054835"/>
    <w:rsid w:val="00055881"/>
    <w:rsid w:val="00055FCD"/>
    <w:rsid w:val="00056827"/>
    <w:rsid w:val="00061810"/>
    <w:rsid w:val="00061C7F"/>
    <w:rsid w:val="000649DB"/>
    <w:rsid w:val="0006556D"/>
    <w:rsid w:val="00073F43"/>
    <w:rsid w:val="00074A64"/>
    <w:rsid w:val="000819EF"/>
    <w:rsid w:val="00082008"/>
    <w:rsid w:val="00085428"/>
    <w:rsid w:val="00091063"/>
    <w:rsid w:val="00092847"/>
    <w:rsid w:val="00094D8F"/>
    <w:rsid w:val="000956D0"/>
    <w:rsid w:val="00097C84"/>
    <w:rsid w:val="000A31BE"/>
    <w:rsid w:val="000A54C0"/>
    <w:rsid w:val="000B0617"/>
    <w:rsid w:val="000B1ADB"/>
    <w:rsid w:val="000B1E3D"/>
    <w:rsid w:val="000B1F48"/>
    <w:rsid w:val="000B23E4"/>
    <w:rsid w:val="000B26C1"/>
    <w:rsid w:val="000B507E"/>
    <w:rsid w:val="000C18D2"/>
    <w:rsid w:val="000C703F"/>
    <w:rsid w:val="000C7D54"/>
    <w:rsid w:val="000D04A5"/>
    <w:rsid w:val="000D445E"/>
    <w:rsid w:val="000E0244"/>
    <w:rsid w:val="000E393D"/>
    <w:rsid w:val="000E42A6"/>
    <w:rsid w:val="000E4402"/>
    <w:rsid w:val="000E4FE1"/>
    <w:rsid w:val="000E52DA"/>
    <w:rsid w:val="000E653F"/>
    <w:rsid w:val="000E7FB5"/>
    <w:rsid w:val="000F1D3C"/>
    <w:rsid w:val="001012CC"/>
    <w:rsid w:val="001018B1"/>
    <w:rsid w:val="00104E54"/>
    <w:rsid w:val="001055E3"/>
    <w:rsid w:val="001057CC"/>
    <w:rsid w:val="001068BA"/>
    <w:rsid w:val="00106F74"/>
    <w:rsid w:val="001071D6"/>
    <w:rsid w:val="00107F60"/>
    <w:rsid w:val="0011012D"/>
    <w:rsid w:val="00116283"/>
    <w:rsid w:val="0012125C"/>
    <w:rsid w:val="00121398"/>
    <w:rsid w:val="0012437A"/>
    <w:rsid w:val="00124612"/>
    <w:rsid w:val="001313D6"/>
    <w:rsid w:val="001348CB"/>
    <w:rsid w:val="001351EB"/>
    <w:rsid w:val="001356DB"/>
    <w:rsid w:val="00135AE4"/>
    <w:rsid w:val="0014655B"/>
    <w:rsid w:val="0014749E"/>
    <w:rsid w:val="00155473"/>
    <w:rsid w:val="00157AEA"/>
    <w:rsid w:val="00157AFD"/>
    <w:rsid w:val="001634BF"/>
    <w:rsid w:val="00163520"/>
    <w:rsid w:val="001663A0"/>
    <w:rsid w:val="001673F1"/>
    <w:rsid w:val="00176C27"/>
    <w:rsid w:val="00177A3B"/>
    <w:rsid w:val="00184789"/>
    <w:rsid w:val="00191D19"/>
    <w:rsid w:val="00192832"/>
    <w:rsid w:val="00193B18"/>
    <w:rsid w:val="00193D53"/>
    <w:rsid w:val="001A02B7"/>
    <w:rsid w:val="001A1A90"/>
    <w:rsid w:val="001A2D01"/>
    <w:rsid w:val="001A2D76"/>
    <w:rsid w:val="001A3495"/>
    <w:rsid w:val="001A50B1"/>
    <w:rsid w:val="001A55BA"/>
    <w:rsid w:val="001A73FD"/>
    <w:rsid w:val="001B1ABC"/>
    <w:rsid w:val="001B3A9A"/>
    <w:rsid w:val="001B6D00"/>
    <w:rsid w:val="001B7C47"/>
    <w:rsid w:val="001C05A3"/>
    <w:rsid w:val="001C2C85"/>
    <w:rsid w:val="001C7295"/>
    <w:rsid w:val="001D0DEB"/>
    <w:rsid w:val="001D609B"/>
    <w:rsid w:val="001D71B8"/>
    <w:rsid w:val="001E2311"/>
    <w:rsid w:val="001E3507"/>
    <w:rsid w:val="001F61C5"/>
    <w:rsid w:val="002036CB"/>
    <w:rsid w:val="002051A2"/>
    <w:rsid w:val="002134AA"/>
    <w:rsid w:val="002137B7"/>
    <w:rsid w:val="002177BF"/>
    <w:rsid w:val="0022088C"/>
    <w:rsid w:val="00222147"/>
    <w:rsid w:val="002317AC"/>
    <w:rsid w:val="002415D0"/>
    <w:rsid w:val="00242061"/>
    <w:rsid w:val="00244415"/>
    <w:rsid w:val="002467FD"/>
    <w:rsid w:val="00263D68"/>
    <w:rsid w:val="0026496D"/>
    <w:rsid w:val="00264D7C"/>
    <w:rsid w:val="00265E15"/>
    <w:rsid w:val="002676A4"/>
    <w:rsid w:val="00267C39"/>
    <w:rsid w:val="00272A84"/>
    <w:rsid w:val="00273D3F"/>
    <w:rsid w:val="00274DD1"/>
    <w:rsid w:val="0027600C"/>
    <w:rsid w:val="00276971"/>
    <w:rsid w:val="00276F56"/>
    <w:rsid w:val="002839EE"/>
    <w:rsid w:val="00284582"/>
    <w:rsid w:val="00284892"/>
    <w:rsid w:val="0028548A"/>
    <w:rsid w:val="002905EE"/>
    <w:rsid w:val="00291B22"/>
    <w:rsid w:val="00292006"/>
    <w:rsid w:val="00292965"/>
    <w:rsid w:val="00294F9B"/>
    <w:rsid w:val="002952E9"/>
    <w:rsid w:val="00296E11"/>
    <w:rsid w:val="002A1F11"/>
    <w:rsid w:val="002A2403"/>
    <w:rsid w:val="002A6001"/>
    <w:rsid w:val="002B02B5"/>
    <w:rsid w:val="002B1297"/>
    <w:rsid w:val="002B129E"/>
    <w:rsid w:val="002B306B"/>
    <w:rsid w:val="002B3A68"/>
    <w:rsid w:val="002B7105"/>
    <w:rsid w:val="002B71AF"/>
    <w:rsid w:val="002D0E79"/>
    <w:rsid w:val="002D1C2E"/>
    <w:rsid w:val="002D2EE1"/>
    <w:rsid w:val="002E0D1C"/>
    <w:rsid w:val="002E121E"/>
    <w:rsid w:val="002E50EE"/>
    <w:rsid w:val="002E5101"/>
    <w:rsid w:val="002E54EB"/>
    <w:rsid w:val="002F0656"/>
    <w:rsid w:val="00305E08"/>
    <w:rsid w:val="00307428"/>
    <w:rsid w:val="00311BDD"/>
    <w:rsid w:val="00311E74"/>
    <w:rsid w:val="00311F9E"/>
    <w:rsid w:val="00315843"/>
    <w:rsid w:val="00315D3D"/>
    <w:rsid w:val="00316963"/>
    <w:rsid w:val="00316A51"/>
    <w:rsid w:val="003176B9"/>
    <w:rsid w:val="00322967"/>
    <w:rsid w:val="00322CBB"/>
    <w:rsid w:val="003250E6"/>
    <w:rsid w:val="00325180"/>
    <w:rsid w:val="00325AC2"/>
    <w:rsid w:val="00325DE4"/>
    <w:rsid w:val="0032624A"/>
    <w:rsid w:val="00330284"/>
    <w:rsid w:val="00341AA6"/>
    <w:rsid w:val="0034237B"/>
    <w:rsid w:val="003423CB"/>
    <w:rsid w:val="00344572"/>
    <w:rsid w:val="00345AA2"/>
    <w:rsid w:val="0035308C"/>
    <w:rsid w:val="00355394"/>
    <w:rsid w:val="00355924"/>
    <w:rsid w:val="0036018F"/>
    <w:rsid w:val="003651CF"/>
    <w:rsid w:val="00365F47"/>
    <w:rsid w:val="003714EC"/>
    <w:rsid w:val="00372503"/>
    <w:rsid w:val="00373BAB"/>
    <w:rsid w:val="00373D5A"/>
    <w:rsid w:val="003757C4"/>
    <w:rsid w:val="003771BF"/>
    <w:rsid w:val="003800F0"/>
    <w:rsid w:val="00382CEF"/>
    <w:rsid w:val="00384A5B"/>
    <w:rsid w:val="0038539E"/>
    <w:rsid w:val="0038586D"/>
    <w:rsid w:val="00393FF4"/>
    <w:rsid w:val="003A1D4B"/>
    <w:rsid w:val="003A2DDA"/>
    <w:rsid w:val="003A3740"/>
    <w:rsid w:val="003A4752"/>
    <w:rsid w:val="003A4756"/>
    <w:rsid w:val="003A4E4E"/>
    <w:rsid w:val="003A599D"/>
    <w:rsid w:val="003B0AF9"/>
    <w:rsid w:val="003B170F"/>
    <w:rsid w:val="003B1C37"/>
    <w:rsid w:val="003B32D5"/>
    <w:rsid w:val="003B7AD3"/>
    <w:rsid w:val="003C09D1"/>
    <w:rsid w:val="003C368D"/>
    <w:rsid w:val="003C7848"/>
    <w:rsid w:val="003D006F"/>
    <w:rsid w:val="003D0432"/>
    <w:rsid w:val="003D1BA4"/>
    <w:rsid w:val="003D1DDD"/>
    <w:rsid w:val="003D3E4D"/>
    <w:rsid w:val="003D4E20"/>
    <w:rsid w:val="003D500A"/>
    <w:rsid w:val="003D5423"/>
    <w:rsid w:val="003D626F"/>
    <w:rsid w:val="003D70E8"/>
    <w:rsid w:val="003E3024"/>
    <w:rsid w:val="003E50F4"/>
    <w:rsid w:val="003E69EE"/>
    <w:rsid w:val="003E6F38"/>
    <w:rsid w:val="003F25B6"/>
    <w:rsid w:val="003F3458"/>
    <w:rsid w:val="003F3C79"/>
    <w:rsid w:val="003F482D"/>
    <w:rsid w:val="00402C59"/>
    <w:rsid w:val="004034E1"/>
    <w:rsid w:val="00404599"/>
    <w:rsid w:val="004053E8"/>
    <w:rsid w:val="00407616"/>
    <w:rsid w:val="00410031"/>
    <w:rsid w:val="00411837"/>
    <w:rsid w:val="00413DAF"/>
    <w:rsid w:val="00415B27"/>
    <w:rsid w:val="00415D66"/>
    <w:rsid w:val="00416D67"/>
    <w:rsid w:val="004201BE"/>
    <w:rsid w:val="004228D2"/>
    <w:rsid w:val="00423BBD"/>
    <w:rsid w:val="00424E6C"/>
    <w:rsid w:val="00432551"/>
    <w:rsid w:val="00434962"/>
    <w:rsid w:val="00435C41"/>
    <w:rsid w:val="004450F0"/>
    <w:rsid w:val="00450D76"/>
    <w:rsid w:val="004536C8"/>
    <w:rsid w:val="00454DEA"/>
    <w:rsid w:val="0045697B"/>
    <w:rsid w:val="0046124D"/>
    <w:rsid w:val="00465832"/>
    <w:rsid w:val="00465DFA"/>
    <w:rsid w:val="00472773"/>
    <w:rsid w:val="00475004"/>
    <w:rsid w:val="0047617E"/>
    <w:rsid w:val="0047756E"/>
    <w:rsid w:val="0048089C"/>
    <w:rsid w:val="004808CF"/>
    <w:rsid w:val="00481586"/>
    <w:rsid w:val="004820CE"/>
    <w:rsid w:val="00482372"/>
    <w:rsid w:val="004836D1"/>
    <w:rsid w:val="00485918"/>
    <w:rsid w:val="00486D39"/>
    <w:rsid w:val="004919D9"/>
    <w:rsid w:val="004A23EF"/>
    <w:rsid w:val="004A4F33"/>
    <w:rsid w:val="004A7A64"/>
    <w:rsid w:val="004B0BF9"/>
    <w:rsid w:val="004B2B13"/>
    <w:rsid w:val="004B3A10"/>
    <w:rsid w:val="004B6160"/>
    <w:rsid w:val="004C18F5"/>
    <w:rsid w:val="004C1D3F"/>
    <w:rsid w:val="004C32A5"/>
    <w:rsid w:val="004C3B3B"/>
    <w:rsid w:val="004D3314"/>
    <w:rsid w:val="004E79EA"/>
    <w:rsid w:val="004F0944"/>
    <w:rsid w:val="004F392C"/>
    <w:rsid w:val="004F3AF4"/>
    <w:rsid w:val="004F4968"/>
    <w:rsid w:val="004F5B63"/>
    <w:rsid w:val="004F6BF6"/>
    <w:rsid w:val="00500354"/>
    <w:rsid w:val="00500B07"/>
    <w:rsid w:val="00503A24"/>
    <w:rsid w:val="00505A9E"/>
    <w:rsid w:val="0050727A"/>
    <w:rsid w:val="00507869"/>
    <w:rsid w:val="00507931"/>
    <w:rsid w:val="0051600F"/>
    <w:rsid w:val="00516F15"/>
    <w:rsid w:val="00517128"/>
    <w:rsid w:val="0052456D"/>
    <w:rsid w:val="00525099"/>
    <w:rsid w:val="00525FFF"/>
    <w:rsid w:val="00526A60"/>
    <w:rsid w:val="0052722E"/>
    <w:rsid w:val="00533490"/>
    <w:rsid w:val="0053372B"/>
    <w:rsid w:val="00534470"/>
    <w:rsid w:val="0053539C"/>
    <w:rsid w:val="00540376"/>
    <w:rsid w:val="005416D6"/>
    <w:rsid w:val="00543B0B"/>
    <w:rsid w:val="00544A55"/>
    <w:rsid w:val="0054508E"/>
    <w:rsid w:val="00546202"/>
    <w:rsid w:val="0054789F"/>
    <w:rsid w:val="00552F74"/>
    <w:rsid w:val="005534F2"/>
    <w:rsid w:val="00556011"/>
    <w:rsid w:val="00557C56"/>
    <w:rsid w:val="005606DF"/>
    <w:rsid w:val="00560AAE"/>
    <w:rsid w:val="00561D5A"/>
    <w:rsid w:val="00571E8B"/>
    <w:rsid w:val="00572F00"/>
    <w:rsid w:val="00576E73"/>
    <w:rsid w:val="005772D2"/>
    <w:rsid w:val="0058374C"/>
    <w:rsid w:val="0058438C"/>
    <w:rsid w:val="00587F84"/>
    <w:rsid w:val="00590189"/>
    <w:rsid w:val="005934BA"/>
    <w:rsid w:val="00593706"/>
    <w:rsid w:val="005A03AA"/>
    <w:rsid w:val="005A0A21"/>
    <w:rsid w:val="005A14A7"/>
    <w:rsid w:val="005A1D04"/>
    <w:rsid w:val="005A4AF2"/>
    <w:rsid w:val="005A74AC"/>
    <w:rsid w:val="005B128D"/>
    <w:rsid w:val="005B4848"/>
    <w:rsid w:val="005B6941"/>
    <w:rsid w:val="005C12EA"/>
    <w:rsid w:val="005C17D2"/>
    <w:rsid w:val="005E15B2"/>
    <w:rsid w:val="005E394B"/>
    <w:rsid w:val="005E7083"/>
    <w:rsid w:val="005F049B"/>
    <w:rsid w:val="005F47DA"/>
    <w:rsid w:val="00601302"/>
    <w:rsid w:val="006034F7"/>
    <w:rsid w:val="00603991"/>
    <w:rsid w:val="006045D6"/>
    <w:rsid w:val="006050B1"/>
    <w:rsid w:val="006079F0"/>
    <w:rsid w:val="00610778"/>
    <w:rsid w:val="006139E2"/>
    <w:rsid w:val="00616120"/>
    <w:rsid w:val="006168FB"/>
    <w:rsid w:val="006229FB"/>
    <w:rsid w:val="00622D3D"/>
    <w:rsid w:val="00624413"/>
    <w:rsid w:val="00624CC6"/>
    <w:rsid w:val="0063135F"/>
    <w:rsid w:val="00636B96"/>
    <w:rsid w:val="00640420"/>
    <w:rsid w:val="0064394A"/>
    <w:rsid w:val="00644393"/>
    <w:rsid w:val="006505A4"/>
    <w:rsid w:val="00652EC5"/>
    <w:rsid w:val="00654B2F"/>
    <w:rsid w:val="00655F10"/>
    <w:rsid w:val="00656B8E"/>
    <w:rsid w:val="006578A4"/>
    <w:rsid w:val="00661E1E"/>
    <w:rsid w:val="0066268E"/>
    <w:rsid w:val="00664554"/>
    <w:rsid w:val="00672E4D"/>
    <w:rsid w:val="00677318"/>
    <w:rsid w:val="006813DD"/>
    <w:rsid w:val="00684609"/>
    <w:rsid w:val="00685C24"/>
    <w:rsid w:val="006871D3"/>
    <w:rsid w:val="00690F7F"/>
    <w:rsid w:val="00696541"/>
    <w:rsid w:val="006A0D8C"/>
    <w:rsid w:val="006A13D3"/>
    <w:rsid w:val="006A1EF0"/>
    <w:rsid w:val="006A390B"/>
    <w:rsid w:val="006A3E30"/>
    <w:rsid w:val="006A4FFF"/>
    <w:rsid w:val="006B3524"/>
    <w:rsid w:val="006B4ADE"/>
    <w:rsid w:val="006B5A34"/>
    <w:rsid w:val="006C26DC"/>
    <w:rsid w:val="006C5A0F"/>
    <w:rsid w:val="006D0C28"/>
    <w:rsid w:val="006D2420"/>
    <w:rsid w:val="006D4361"/>
    <w:rsid w:val="006D6010"/>
    <w:rsid w:val="006D66B9"/>
    <w:rsid w:val="006D6C17"/>
    <w:rsid w:val="006D73AE"/>
    <w:rsid w:val="006D7C57"/>
    <w:rsid w:val="006E0803"/>
    <w:rsid w:val="006E0BC7"/>
    <w:rsid w:val="006E2549"/>
    <w:rsid w:val="006E3F00"/>
    <w:rsid w:val="006E4808"/>
    <w:rsid w:val="006E5C4E"/>
    <w:rsid w:val="006E5F13"/>
    <w:rsid w:val="006F3086"/>
    <w:rsid w:val="006F77F8"/>
    <w:rsid w:val="007007EE"/>
    <w:rsid w:val="00701543"/>
    <w:rsid w:val="00707305"/>
    <w:rsid w:val="00712941"/>
    <w:rsid w:val="00714597"/>
    <w:rsid w:val="00716F91"/>
    <w:rsid w:val="00721C0E"/>
    <w:rsid w:val="0072303C"/>
    <w:rsid w:val="007272D5"/>
    <w:rsid w:val="00731863"/>
    <w:rsid w:val="007336A7"/>
    <w:rsid w:val="00733DBE"/>
    <w:rsid w:val="007356AB"/>
    <w:rsid w:val="00737F12"/>
    <w:rsid w:val="007411C7"/>
    <w:rsid w:val="007417AD"/>
    <w:rsid w:val="00741BD4"/>
    <w:rsid w:val="00742A25"/>
    <w:rsid w:val="00742CAD"/>
    <w:rsid w:val="00743967"/>
    <w:rsid w:val="00746172"/>
    <w:rsid w:val="0074737E"/>
    <w:rsid w:val="007502E9"/>
    <w:rsid w:val="00750EC6"/>
    <w:rsid w:val="00751B3D"/>
    <w:rsid w:val="007525EA"/>
    <w:rsid w:val="0075431E"/>
    <w:rsid w:val="00762CD9"/>
    <w:rsid w:val="007645F8"/>
    <w:rsid w:val="0076474A"/>
    <w:rsid w:val="007664F5"/>
    <w:rsid w:val="00770DC8"/>
    <w:rsid w:val="00770EF5"/>
    <w:rsid w:val="00771547"/>
    <w:rsid w:val="007738A2"/>
    <w:rsid w:val="00775CBA"/>
    <w:rsid w:val="007765B9"/>
    <w:rsid w:val="00776E51"/>
    <w:rsid w:val="007814BD"/>
    <w:rsid w:val="00782001"/>
    <w:rsid w:val="0078230C"/>
    <w:rsid w:val="007838E3"/>
    <w:rsid w:val="0078391D"/>
    <w:rsid w:val="00786B67"/>
    <w:rsid w:val="00786D86"/>
    <w:rsid w:val="00791013"/>
    <w:rsid w:val="00792877"/>
    <w:rsid w:val="007942A3"/>
    <w:rsid w:val="007953C0"/>
    <w:rsid w:val="007966B6"/>
    <w:rsid w:val="007A1781"/>
    <w:rsid w:val="007A37B0"/>
    <w:rsid w:val="007A7B93"/>
    <w:rsid w:val="007B128F"/>
    <w:rsid w:val="007B3CBF"/>
    <w:rsid w:val="007B42A5"/>
    <w:rsid w:val="007B5244"/>
    <w:rsid w:val="007B5CAE"/>
    <w:rsid w:val="007B6D59"/>
    <w:rsid w:val="007B7CDA"/>
    <w:rsid w:val="007C347C"/>
    <w:rsid w:val="007C45E0"/>
    <w:rsid w:val="007C4955"/>
    <w:rsid w:val="007C62A6"/>
    <w:rsid w:val="007D0A50"/>
    <w:rsid w:val="007D3DCC"/>
    <w:rsid w:val="007D5A7A"/>
    <w:rsid w:val="007D5C07"/>
    <w:rsid w:val="007D67AE"/>
    <w:rsid w:val="007E0A7B"/>
    <w:rsid w:val="007E1AA3"/>
    <w:rsid w:val="007E50EE"/>
    <w:rsid w:val="007E729C"/>
    <w:rsid w:val="007E75A8"/>
    <w:rsid w:val="007F209A"/>
    <w:rsid w:val="007F29F0"/>
    <w:rsid w:val="007F3E6C"/>
    <w:rsid w:val="00800E2B"/>
    <w:rsid w:val="00802972"/>
    <w:rsid w:val="00802E68"/>
    <w:rsid w:val="00803AF7"/>
    <w:rsid w:val="00810F2B"/>
    <w:rsid w:val="00812803"/>
    <w:rsid w:val="00814934"/>
    <w:rsid w:val="00815770"/>
    <w:rsid w:val="008265C9"/>
    <w:rsid w:val="00831C4B"/>
    <w:rsid w:val="00832413"/>
    <w:rsid w:val="008344EA"/>
    <w:rsid w:val="00835253"/>
    <w:rsid w:val="00837AFD"/>
    <w:rsid w:val="00843FD7"/>
    <w:rsid w:val="00845F1B"/>
    <w:rsid w:val="00852FC6"/>
    <w:rsid w:val="00857EE8"/>
    <w:rsid w:val="0086072B"/>
    <w:rsid w:val="00861637"/>
    <w:rsid w:val="00864E25"/>
    <w:rsid w:val="00866A64"/>
    <w:rsid w:val="00867934"/>
    <w:rsid w:val="008708C0"/>
    <w:rsid w:val="00870B95"/>
    <w:rsid w:val="008716C4"/>
    <w:rsid w:val="00876467"/>
    <w:rsid w:val="0087686A"/>
    <w:rsid w:val="00876B72"/>
    <w:rsid w:val="0088049C"/>
    <w:rsid w:val="00880EA8"/>
    <w:rsid w:val="00881DB3"/>
    <w:rsid w:val="00886B62"/>
    <w:rsid w:val="00892167"/>
    <w:rsid w:val="00893FFA"/>
    <w:rsid w:val="00896F17"/>
    <w:rsid w:val="008A0949"/>
    <w:rsid w:val="008A47B4"/>
    <w:rsid w:val="008A70AF"/>
    <w:rsid w:val="008A7BAA"/>
    <w:rsid w:val="008B0751"/>
    <w:rsid w:val="008B2D9D"/>
    <w:rsid w:val="008C070B"/>
    <w:rsid w:val="008C2A9E"/>
    <w:rsid w:val="008C392B"/>
    <w:rsid w:val="008C49E4"/>
    <w:rsid w:val="008C4AA0"/>
    <w:rsid w:val="008C7B07"/>
    <w:rsid w:val="008D0AC7"/>
    <w:rsid w:val="008D2C92"/>
    <w:rsid w:val="008D6DEC"/>
    <w:rsid w:val="008E1916"/>
    <w:rsid w:val="008E2BC0"/>
    <w:rsid w:val="008E54B2"/>
    <w:rsid w:val="008E570F"/>
    <w:rsid w:val="008E6BE9"/>
    <w:rsid w:val="008F1AB3"/>
    <w:rsid w:val="008F3800"/>
    <w:rsid w:val="008F76F4"/>
    <w:rsid w:val="0090333A"/>
    <w:rsid w:val="009075C8"/>
    <w:rsid w:val="00912472"/>
    <w:rsid w:val="00913371"/>
    <w:rsid w:val="00915862"/>
    <w:rsid w:val="00920DCB"/>
    <w:rsid w:val="009237A1"/>
    <w:rsid w:val="00924241"/>
    <w:rsid w:val="00924965"/>
    <w:rsid w:val="00924CB8"/>
    <w:rsid w:val="00925AF3"/>
    <w:rsid w:val="009274BF"/>
    <w:rsid w:val="00930474"/>
    <w:rsid w:val="00930DF6"/>
    <w:rsid w:val="00931915"/>
    <w:rsid w:val="00932F46"/>
    <w:rsid w:val="0093371C"/>
    <w:rsid w:val="00933D95"/>
    <w:rsid w:val="00936EEF"/>
    <w:rsid w:val="00942AB3"/>
    <w:rsid w:val="00944D19"/>
    <w:rsid w:val="00944F86"/>
    <w:rsid w:val="00946DD8"/>
    <w:rsid w:val="009475F1"/>
    <w:rsid w:val="00960C85"/>
    <w:rsid w:val="009659F8"/>
    <w:rsid w:val="00966B35"/>
    <w:rsid w:val="00967951"/>
    <w:rsid w:val="00970A86"/>
    <w:rsid w:val="009718BD"/>
    <w:rsid w:val="00973FC5"/>
    <w:rsid w:val="00974181"/>
    <w:rsid w:val="00974542"/>
    <w:rsid w:val="00975808"/>
    <w:rsid w:val="00980593"/>
    <w:rsid w:val="00981439"/>
    <w:rsid w:val="00982529"/>
    <w:rsid w:val="00983811"/>
    <w:rsid w:val="00985134"/>
    <w:rsid w:val="0098608D"/>
    <w:rsid w:val="00986279"/>
    <w:rsid w:val="00987116"/>
    <w:rsid w:val="009912E9"/>
    <w:rsid w:val="0099593F"/>
    <w:rsid w:val="00995D46"/>
    <w:rsid w:val="009A147C"/>
    <w:rsid w:val="009A1FF1"/>
    <w:rsid w:val="009A2C3F"/>
    <w:rsid w:val="009B23EB"/>
    <w:rsid w:val="009B68CB"/>
    <w:rsid w:val="009C1F00"/>
    <w:rsid w:val="009D0A5B"/>
    <w:rsid w:val="009D1174"/>
    <w:rsid w:val="009D4622"/>
    <w:rsid w:val="009D72DD"/>
    <w:rsid w:val="009E0B43"/>
    <w:rsid w:val="009E2DE9"/>
    <w:rsid w:val="009E3818"/>
    <w:rsid w:val="009E462B"/>
    <w:rsid w:val="009E5384"/>
    <w:rsid w:val="009E5DF1"/>
    <w:rsid w:val="009E61D2"/>
    <w:rsid w:val="009F1A9B"/>
    <w:rsid w:val="00A01215"/>
    <w:rsid w:val="00A03886"/>
    <w:rsid w:val="00A056B8"/>
    <w:rsid w:val="00A057CD"/>
    <w:rsid w:val="00A05827"/>
    <w:rsid w:val="00A0644E"/>
    <w:rsid w:val="00A07073"/>
    <w:rsid w:val="00A11239"/>
    <w:rsid w:val="00A11A82"/>
    <w:rsid w:val="00A13AAD"/>
    <w:rsid w:val="00A16389"/>
    <w:rsid w:val="00A16CFB"/>
    <w:rsid w:val="00A252E4"/>
    <w:rsid w:val="00A32997"/>
    <w:rsid w:val="00A34628"/>
    <w:rsid w:val="00A34644"/>
    <w:rsid w:val="00A3665B"/>
    <w:rsid w:val="00A36E3F"/>
    <w:rsid w:val="00A37AAE"/>
    <w:rsid w:val="00A37CEC"/>
    <w:rsid w:val="00A402F8"/>
    <w:rsid w:val="00A41495"/>
    <w:rsid w:val="00A41FF6"/>
    <w:rsid w:val="00A431FC"/>
    <w:rsid w:val="00A4511B"/>
    <w:rsid w:val="00A55332"/>
    <w:rsid w:val="00A635FE"/>
    <w:rsid w:val="00A73EC5"/>
    <w:rsid w:val="00A77341"/>
    <w:rsid w:val="00A775A9"/>
    <w:rsid w:val="00A81462"/>
    <w:rsid w:val="00A840B1"/>
    <w:rsid w:val="00A8493A"/>
    <w:rsid w:val="00A8561E"/>
    <w:rsid w:val="00A87BE2"/>
    <w:rsid w:val="00A87D98"/>
    <w:rsid w:val="00A91139"/>
    <w:rsid w:val="00AA0153"/>
    <w:rsid w:val="00AA15E6"/>
    <w:rsid w:val="00AA413C"/>
    <w:rsid w:val="00AA7F99"/>
    <w:rsid w:val="00AB3F1F"/>
    <w:rsid w:val="00AB58E2"/>
    <w:rsid w:val="00AD29F0"/>
    <w:rsid w:val="00AD3208"/>
    <w:rsid w:val="00AD3AEE"/>
    <w:rsid w:val="00AD56DE"/>
    <w:rsid w:val="00AD75B6"/>
    <w:rsid w:val="00AD7795"/>
    <w:rsid w:val="00AE0DFC"/>
    <w:rsid w:val="00AE271E"/>
    <w:rsid w:val="00AE2B9F"/>
    <w:rsid w:val="00AF19E2"/>
    <w:rsid w:val="00AF517F"/>
    <w:rsid w:val="00AF6995"/>
    <w:rsid w:val="00B00B55"/>
    <w:rsid w:val="00B052E9"/>
    <w:rsid w:val="00B06193"/>
    <w:rsid w:val="00B07CFE"/>
    <w:rsid w:val="00B11277"/>
    <w:rsid w:val="00B1178E"/>
    <w:rsid w:val="00B13C0D"/>
    <w:rsid w:val="00B16F91"/>
    <w:rsid w:val="00B17D24"/>
    <w:rsid w:val="00B203B1"/>
    <w:rsid w:val="00B20F60"/>
    <w:rsid w:val="00B2342F"/>
    <w:rsid w:val="00B24A4E"/>
    <w:rsid w:val="00B2523D"/>
    <w:rsid w:val="00B25564"/>
    <w:rsid w:val="00B306C0"/>
    <w:rsid w:val="00B30E99"/>
    <w:rsid w:val="00B3195B"/>
    <w:rsid w:val="00B356B7"/>
    <w:rsid w:val="00B405A0"/>
    <w:rsid w:val="00B40726"/>
    <w:rsid w:val="00B47612"/>
    <w:rsid w:val="00B500AE"/>
    <w:rsid w:val="00B53A0B"/>
    <w:rsid w:val="00B5561F"/>
    <w:rsid w:val="00B5608C"/>
    <w:rsid w:val="00B565E5"/>
    <w:rsid w:val="00B6128E"/>
    <w:rsid w:val="00B62B64"/>
    <w:rsid w:val="00B62F75"/>
    <w:rsid w:val="00B64BD9"/>
    <w:rsid w:val="00B65EFC"/>
    <w:rsid w:val="00B668AD"/>
    <w:rsid w:val="00B67675"/>
    <w:rsid w:val="00B76FE0"/>
    <w:rsid w:val="00B81824"/>
    <w:rsid w:val="00B81E6F"/>
    <w:rsid w:val="00B82186"/>
    <w:rsid w:val="00B82409"/>
    <w:rsid w:val="00B82E69"/>
    <w:rsid w:val="00B87720"/>
    <w:rsid w:val="00B94760"/>
    <w:rsid w:val="00B94904"/>
    <w:rsid w:val="00B94A14"/>
    <w:rsid w:val="00B97924"/>
    <w:rsid w:val="00BA6560"/>
    <w:rsid w:val="00BA6B91"/>
    <w:rsid w:val="00BB4A66"/>
    <w:rsid w:val="00BC4C5D"/>
    <w:rsid w:val="00BD0E32"/>
    <w:rsid w:val="00BD1148"/>
    <w:rsid w:val="00BD1DC3"/>
    <w:rsid w:val="00BD2AC7"/>
    <w:rsid w:val="00BD2F08"/>
    <w:rsid w:val="00BD2FC2"/>
    <w:rsid w:val="00BD3AFE"/>
    <w:rsid w:val="00BD4400"/>
    <w:rsid w:val="00BD79F7"/>
    <w:rsid w:val="00BE0982"/>
    <w:rsid w:val="00BE7542"/>
    <w:rsid w:val="00BF27C9"/>
    <w:rsid w:val="00BF3CB2"/>
    <w:rsid w:val="00BF7E19"/>
    <w:rsid w:val="00C001A1"/>
    <w:rsid w:val="00C013D8"/>
    <w:rsid w:val="00C06B12"/>
    <w:rsid w:val="00C07D89"/>
    <w:rsid w:val="00C07EE2"/>
    <w:rsid w:val="00C209AF"/>
    <w:rsid w:val="00C22DC1"/>
    <w:rsid w:val="00C23847"/>
    <w:rsid w:val="00C26354"/>
    <w:rsid w:val="00C279BE"/>
    <w:rsid w:val="00C32805"/>
    <w:rsid w:val="00C368D4"/>
    <w:rsid w:val="00C36E1B"/>
    <w:rsid w:val="00C37AE9"/>
    <w:rsid w:val="00C40E31"/>
    <w:rsid w:val="00C40FD0"/>
    <w:rsid w:val="00C41281"/>
    <w:rsid w:val="00C50480"/>
    <w:rsid w:val="00C534FD"/>
    <w:rsid w:val="00C535B5"/>
    <w:rsid w:val="00C5511F"/>
    <w:rsid w:val="00C55EDE"/>
    <w:rsid w:val="00C60F21"/>
    <w:rsid w:val="00C62523"/>
    <w:rsid w:val="00C62738"/>
    <w:rsid w:val="00C6287A"/>
    <w:rsid w:val="00C633B5"/>
    <w:rsid w:val="00C640C7"/>
    <w:rsid w:val="00C643D3"/>
    <w:rsid w:val="00C66655"/>
    <w:rsid w:val="00C66889"/>
    <w:rsid w:val="00C67B46"/>
    <w:rsid w:val="00C706F8"/>
    <w:rsid w:val="00C72033"/>
    <w:rsid w:val="00C7713F"/>
    <w:rsid w:val="00C7720F"/>
    <w:rsid w:val="00C80F12"/>
    <w:rsid w:val="00C8678C"/>
    <w:rsid w:val="00C871E3"/>
    <w:rsid w:val="00C87E23"/>
    <w:rsid w:val="00C92087"/>
    <w:rsid w:val="00C93AAE"/>
    <w:rsid w:val="00C93ADF"/>
    <w:rsid w:val="00C94645"/>
    <w:rsid w:val="00CA515F"/>
    <w:rsid w:val="00CA5805"/>
    <w:rsid w:val="00CA7D90"/>
    <w:rsid w:val="00CB15A3"/>
    <w:rsid w:val="00CB27F5"/>
    <w:rsid w:val="00CB556B"/>
    <w:rsid w:val="00CB6754"/>
    <w:rsid w:val="00CC1736"/>
    <w:rsid w:val="00CD1F55"/>
    <w:rsid w:val="00CD23A6"/>
    <w:rsid w:val="00CD68C4"/>
    <w:rsid w:val="00CE38D8"/>
    <w:rsid w:val="00CE5019"/>
    <w:rsid w:val="00CE53B8"/>
    <w:rsid w:val="00CE6A1B"/>
    <w:rsid w:val="00CF07AA"/>
    <w:rsid w:val="00CF2539"/>
    <w:rsid w:val="00CF2EA9"/>
    <w:rsid w:val="00CF45FB"/>
    <w:rsid w:val="00CF5050"/>
    <w:rsid w:val="00CF70B0"/>
    <w:rsid w:val="00D0000F"/>
    <w:rsid w:val="00D004C2"/>
    <w:rsid w:val="00D010EB"/>
    <w:rsid w:val="00D02C13"/>
    <w:rsid w:val="00D0356A"/>
    <w:rsid w:val="00D03878"/>
    <w:rsid w:val="00D048F2"/>
    <w:rsid w:val="00D161E2"/>
    <w:rsid w:val="00D16A6E"/>
    <w:rsid w:val="00D17849"/>
    <w:rsid w:val="00D2312D"/>
    <w:rsid w:val="00D264FF"/>
    <w:rsid w:val="00D31DC8"/>
    <w:rsid w:val="00D34371"/>
    <w:rsid w:val="00D352E0"/>
    <w:rsid w:val="00D43B76"/>
    <w:rsid w:val="00D45CC1"/>
    <w:rsid w:val="00D468AD"/>
    <w:rsid w:val="00D46F5F"/>
    <w:rsid w:val="00D47875"/>
    <w:rsid w:val="00D50D46"/>
    <w:rsid w:val="00D51CE6"/>
    <w:rsid w:val="00D529DC"/>
    <w:rsid w:val="00D543AA"/>
    <w:rsid w:val="00D5545D"/>
    <w:rsid w:val="00D6275D"/>
    <w:rsid w:val="00D62A93"/>
    <w:rsid w:val="00D62EAD"/>
    <w:rsid w:val="00D64460"/>
    <w:rsid w:val="00D66594"/>
    <w:rsid w:val="00D66D3D"/>
    <w:rsid w:val="00D729D6"/>
    <w:rsid w:val="00D74F9D"/>
    <w:rsid w:val="00D83CCE"/>
    <w:rsid w:val="00D83F86"/>
    <w:rsid w:val="00D860C4"/>
    <w:rsid w:val="00D934BC"/>
    <w:rsid w:val="00D940A1"/>
    <w:rsid w:val="00D959C9"/>
    <w:rsid w:val="00DA098A"/>
    <w:rsid w:val="00DA0F23"/>
    <w:rsid w:val="00DA1692"/>
    <w:rsid w:val="00DA4BF8"/>
    <w:rsid w:val="00DB1AE3"/>
    <w:rsid w:val="00DB1FC7"/>
    <w:rsid w:val="00DB27A3"/>
    <w:rsid w:val="00DB332D"/>
    <w:rsid w:val="00DB6463"/>
    <w:rsid w:val="00DB75C0"/>
    <w:rsid w:val="00DC5128"/>
    <w:rsid w:val="00DD01BA"/>
    <w:rsid w:val="00DD190E"/>
    <w:rsid w:val="00DD1A6A"/>
    <w:rsid w:val="00DD22F4"/>
    <w:rsid w:val="00DD22F5"/>
    <w:rsid w:val="00DD3D94"/>
    <w:rsid w:val="00DD5D7A"/>
    <w:rsid w:val="00DD77BE"/>
    <w:rsid w:val="00DE1679"/>
    <w:rsid w:val="00DE3DD9"/>
    <w:rsid w:val="00DE51BD"/>
    <w:rsid w:val="00DF15BD"/>
    <w:rsid w:val="00E006E3"/>
    <w:rsid w:val="00E02269"/>
    <w:rsid w:val="00E0277C"/>
    <w:rsid w:val="00E02817"/>
    <w:rsid w:val="00E02CE4"/>
    <w:rsid w:val="00E03CDC"/>
    <w:rsid w:val="00E04089"/>
    <w:rsid w:val="00E06E0B"/>
    <w:rsid w:val="00E06E92"/>
    <w:rsid w:val="00E076A0"/>
    <w:rsid w:val="00E143A3"/>
    <w:rsid w:val="00E14E4D"/>
    <w:rsid w:val="00E152C2"/>
    <w:rsid w:val="00E16964"/>
    <w:rsid w:val="00E16ED8"/>
    <w:rsid w:val="00E17363"/>
    <w:rsid w:val="00E178D1"/>
    <w:rsid w:val="00E20801"/>
    <w:rsid w:val="00E2084A"/>
    <w:rsid w:val="00E20BD3"/>
    <w:rsid w:val="00E23245"/>
    <w:rsid w:val="00E2377D"/>
    <w:rsid w:val="00E254A0"/>
    <w:rsid w:val="00E26784"/>
    <w:rsid w:val="00E269DD"/>
    <w:rsid w:val="00E27081"/>
    <w:rsid w:val="00E27648"/>
    <w:rsid w:val="00E27A49"/>
    <w:rsid w:val="00E31294"/>
    <w:rsid w:val="00E31A87"/>
    <w:rsid w:val="00E34466"/>
    <w:rsid w:val="00E36E3C"/>
    <w:rsid w:val="00E37161"/>
    <w:rsid w:val="00E45D73"/>
    <w:rsid w:val="00E45F2E"/>
    <w:rsid w:val="00E506F9"/>
    <w:rsid w:val="00E55069"/>
    <w:rsid w:val="00E60334"/>
    <w:rsid w:val="00E60FDD"/>
    <w:rsid w:val="00E62DB0"/>
    <w:rsid w:val="00E62F37"/>
    <w:rsid w:val="00E66852"/>
    <w:rsid w:val="00E71320"/>
    <w:rsid w:val="00E73283"/>
    <w:rsid w:val="00E735B8"/>
    <w:rsid w:val="00E81D9C"/>
    <w:rsid w:val="00E82528"/>
    <w:rsid w:val="00E83952"/>
    <w:rsid w:val="00E84009"/>
    <w:rsid w:val="00E857A8"/>
    <w:rsid w:val="00E8650D"/>
    <w:rsid w:val="00E871EE"/>
    <w:rsid w:val="00E90DA2"/>
    <w:rsid w:val="00E940AB"/>
    <w:rsid w:val="00E958BF"/>
    <w:rsid w:val="00E9651F"/>
    <w:rsid w:val="00E97425"/>
    <w:rsid w:val="00E9791D"/>
    <w:rsid w:val="00EA7C7B"/>
    <w:rsid w:val="00EB08B4"/>
    <w:rsid w:val="00EB145D"/>
    <w:rsid w:val="00EB1466"/>
    <w:rsid w:val="00EB48EE"/>
    <w:rsid w:val="00EC5741"/>
    <w:rsid w:val="00EC5DB7"/>
    <w:rsid w:val="00EC6ABC"/>
    <w:rsid w:val="00ED0BDF"/>
    <w:rsid w:val="00ED5722"/>
    <w:rsid w:val="00EE0327"/>
    <w:rsid w:val="00EF21F6"/>
    <w:rsid w:val="00EF2D3B"/>
    <w:rsid w:val="00EF5199"/>
    <w:rsid w:val="00F013F0"/>
    <w:rsid w:val="00F07257"/>
    <w:rsid w:val="00F1035C"/>
    <w:rsid w:val="00F11E14"/>
    <w:rsid w:val="00F11EF1"/>
    <w:rsid w:val="00F12295"/>
    <w:rsid w:val="00F13A16"/>
    <w:rsid w:val="00F14B6B"/>
    <w:rsid w:val="00F17FDB"/>
    <w:rsid w:val="00F217F6"/>
    <w:rsid w:val="00F23639"/>
    <w:rsid w:val="00F25973"/>
    <w:rsid w:val="00F30A05"/>
    <w:rsid w:val="00F31B63"/>
    <w:rsid w:val="00F37221"/>
    <w:rsid w:val="00F37AD6"/>
    <w:rsid w:val="00F40BBE"/>
    <w:rsid w:val="00F468A8"/>
    <w:rsid w:val="00F51129"/>
    <w:rsid w:val="00F516BE"/>
    <w:rsid w:val="00F526FC"/>
    <w:rsid w:val="00F533A1"/>
    <w:rsid w:val="00F560F2"/>
    <w:rsid w:val="00F5712B"/>
    <w:rsid w:val="00F62F1A"/>
    <w:rsid w:val="00F634DE"/>
    <w:rsid w:val="00F6447E"/>
    <w:rsid w:val="00F651E6"/>
    <w:rsid w:val="00F66427"/>
    <w:rsid w:val="00F82372"/>
    <w:rsid w:val="00F82A31"/>
    <w:rsid w:val="00F848C9"/>
    <w:rsid w:val="00F866EC"/>
    <w:rsid w:val="00F905B0"/>
    <w:rsid w:val="00F90D27"/>
    <w:rsid w:val="00F90E31"/>
    <w:rsid w:val="00F96A84"/>
    <w:rsid w:val="00FA01D3"/>
    <w:rsid w:val="00FA226E"/>
    <w:rsid w:val="00FA2E1D"/>
    <w:rsid w:val="00FA552A"/>
    <w:rsid w:val="00FA64DF"/>
    <w:rsid w:val="00FA7E0B"/>
    <w:rsid w:val="00FB07F1"/>
    <w:rsid w:val="00FB6CE1"/>
    <w:rsid w:val="00FB751B"/>
    <w:rsid w:val="00FC25B3"/>
    <w:rsid w:val="00FC37C0"/>
    <w:rsid w:val="00FC3FCE"/>
    <w:rsid w:val="00FC5DB5"/>
    <w:rsid w:val="00FC7D42"/>
    <w:rsid w:val="00FD009E"/>
    <w:rsid w:val="00FD5CF9"/>
    <w:rsid w:val="00FD630A"/>
    <w:rsid w:val="00FE0CB7"/>
    <w:rsid w:val="00FE19A5"/>
    <w:rsid w:val="00FE2A9F"/>
    <w:rsid w:val="00FE5320"/>
    <w:rsid w:val="00FE713D"/>
    <w:rsid w:val="00FE7EF3"/>
    <w:rsid w:val="00FF410B"/>
    <w:rsid w:val="00FF6414"/>
    <w:rsid w:val="01772AED"/>
    <w:rsid w:val="02F4E631"/>
    <w:rsid w:val="03CF7184"/>
    <w:rsid w:val="199B989B"/>
    <w:rsid w:val="1A541623"/>
    <w:rsid w:val="1C612934"/>
    <w:rsid w:val="273637BF"/>
    <w:rsid w:val="2E84C528"/>
    <w:rsid w:val="3297B9A0"/>
    <w:rsid w:val="32B673C9"/>
    <w:rsid w:val="41B65B1F"/>
    <w:rsid w:val="4CF8133E"/>
    <w:rsid w:val="4DD40C45"/>
    <w:rsid w:val="4FBCDA2C"/>
    <w:rsid w:val="53CB09C0"/>
    <w:rsid w:val="5D8A6118"/>
    <w:rsid w:val="6F24F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1E47AE"/>
  <w15:chartTrackingRefBased/>
  <w15:docId w15:val="{1D01370D-73B5-44E3-BB36-54183011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8D8"/>
    <w:pPr>
      <w:widowControl w:val="0"/>
      <w:jc w:val="both"/>
    </w:pPr>
  </w:style>
  <w:style w:type="paragraph" w:styleId="1">
    <w:name w:val="heading 1"/>
    <w:basedOn w:val="a"/>
    <w:next w:val="a"/>
    <w:link w:val="10"/>
    <w:uiPriority w:val="9"/>
    <w:qFormat/>
    <w:rsid w:val="00F11E1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1E1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1E1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F11E1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1E1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1E1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1E1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1E1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1E1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1E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1E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1E14"/>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F11E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1E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1E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1E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1E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1E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1E1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1E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E1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1E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E14"/>
    <w:pPr>
      <w:spacing w:before="160" w:after="160"/>
      <w:jc w:val="center"/>
    </w:pPr>
    <w:rPr>
      <w:i/>
      <w:iCs/>
      <w:color w:val="404040" w:themeColor="text1" w:themeTint="BF"/>
    </w:rPr>
  </w:style>
  <w:style w:type="character" w:customStyle="1" w:styleId="a8">
    <w:name w:val="引用文 (文字)"/>
    <w:basedOn w:val="a0"/>
    <w:link w:val="a7"/>
    <w:uiPriority w:val="29"/>
    <w:rsid w:val="00F11E14"/>
    <w:rPr>
      <w:i/>
      <w:iCs/>
      <w:color w:val="404040" w:themeColor="text1" w:themeTint="BF"/>
    </w:rPr>
  </w:style>
  <w:style w:type="paragraph" w:styleId="a9">
    <w:name w:val="List Paragraph"/>
    <w:basedOn w:val="a"/>
    <w:uiPriority w:val="34"/>
    <w:qFormat/>
    <w:rsid w:val="00F11E14"/>
    <w:pPr>
      <w:ind w:left="720"/>
      <w:contextualSpacing/>
    </w:pPr>
  </w:style>
  <w:style w:type="character" w:styleId="21">
    <w:name w:val="Intense Emphasis"/>
    <w:basedOn w:val="a0"/>
    <w:uiPriority w:val="21"/>
    <w:qFormat/>
    <w:rsid w:val="00F11E14"/>
    <w:rPr>
      <w:i/>
      <w:iCs/>
      <w:color w:val="2E74B5" w:themeColor="accent1" w:themeShade="BF"/>
    </w:rPr>
  </w:style>
  <w:style w:type="paragraph" w:styleId="22">
    <w:name w:val="Intense Quote"/>
    <w:basedOn w:val="a"/>
    <w:next w:val="a"/>
    <w:link w:val="23"/>
    <w:uiPriority w:val="30"/>
    <w:qFormat/>
    <w:rsid w:val="00F11E1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11E14"/>
    <w:rPr>
      <w:i/>
      <w:iCs/>
      <w:color w:val="2E74B5" w:themeColor="accent1" w:themeShade="BF"/>
    </w:rPr>
  </w:style>
  <w:style w:type="character" w:styleId="24">
    <w:name w:val="Intense Reference"/>
    <w:basedOn w:val="a0"/>
    <w:uiPriority w:val="32"/>
    <w:qFormat/>
    <w:rsid w:val="00F11E14"/>
    <w:rPr>
      <w:b/>
      <w:bCs/>
      <w:smallCaps/>
      <w:color w:val="2E74B5" w:themeColor="accent1" w:themeShade="BF"/>
      <w:spacing w:val="5"/>
    </w:rPr>
  </w:style>
  <w:style w:type="paragraph" w:styleId="aa">
    <w:name w:val="header"/>
    <w:basedOn w:val="a"/>
    <w:link w:val="ab"/>
    <w:uiPriority w:val="99"/>
    <w:unhideWhenUsed/>
    <w:rsid w:val="001A02B7"/>
    <w:pPr>
      <w:tabs>
        <w:tab w:val="center" w:pos="4252"/>
        <w:tab w:val="right" w:pos="8504"/>
      </w:tabs>
      <w:snapToGrid w:val="0"/>
    </w:pPr>
  </w:style>
  <w:style w:type="character" w:customStyle="1" w:styleId="ab">
    <w:name w:val="ヘッダー (文字)"/>
    <w:basedOn w:val="a0"/>
    <w:link w:val="aa"/>
    <w:uiPriority w:val="99"/>
    <w:rsid w:val="001A02B7"/>
  </w:style>
  <w:style w:type="paragraph" w:styleId="ac">
    <w:name w:val="footer"/>
    <w:basedOn w:val="a"/>
    <w:link w:val="ad"/>
    <w:uiPriority w:val="99"/>
    <w:unhideWhenUsed/>
    <w:rsid w:val="001A02B7"/>
    <w:pPr>
      <w:tabs>
        <w:tab w:val="center" w:pos="4252"/>
        <w:tab w:val="right" w:pos="8504"/>
      </w:tabs>
      <w:snapToGrid w:val="0"/>
    </w:pPr>
  </w:style>
  <w:style w:type="character" w:customStyle="1" w:styleId="ad">
    <w:name w:val="フッター (文字)"/>
    <w:basedOn w:val="a0"/>
    <w:link w:val="ac"/>
    <w:uiPriority w:val="99"/>
    <w:rsid w:val="001A02B7"/>
  </w:style>
  <w:style w:type="character" w:styleId="ae">
    <w:name w:val="Hyperlink"/>
    <w:basedOn w:val="a0"/>
    <w:uiPriority w:val="99"/>
    <w:unhideWhenUsed/>
    <w:rsid w:val="00DD190E"/>
    <w:rPr>
      <w:color w:val="0563C1" w:themeColor="hyperlink"/>
      <w:u w:val="single"/>
    </w:rPr>
  </w:style>
  <w:style w:type="character" w:styleId="af">
    <w:name w:val="Unresolved Mention"/>
    <w:basedOn w:val="a0"/>
    <w:uiPriority w:val="99"/>
    <w:semiHidden/>
    <w:unhideWhenUsed/>
    <w:rsid w:val="00DD190E"/>
    <w:rPr>
      <w:color w:val="605E5C"/>
      <w:shd w:val="clear" w:color="auto" w:fill="E1DFDD"/>
    </w:rPr>
  </w:style>
  <w:style w:type="character" w:styleId="af0">
    <w:name w:val="annotation reference"/>
    <w:basedOn w:val="a0"/>
    <w:uiPriority w:val="99"/>
    <w:semiHidden/>
    <w:unhideWhenUsed/>
    <w:rsid w:val="00481586"/>
    <w:rPr>
      <w:sz w:val="18"/>
      <w:szCs w:val="18"/>
    </w:rPr>
  </w:style>
  <w:style w:type="paragraph" w:styleId="af1">
    <w:name w:val="annotation text"/>
    <w:basedOn w:val="a"/>
    <w:link w:val="af2"/>
    <w:uiPriority w:val="99"/>
    <w:unhideWhenUsed/>
    <w:rsid w:val="00481586"/>
    <w:pPr>
      <w:jc w:val="left"/>
    </w:pPr>
  </w:style>
  <w:style w:type="character" w:customStyle="1" w:styleId="af2">
    <w:name w:val="コメント文字列 (文字)"/>
    <w:basedOn w:val="a0"/>
    <w:link w:val="af1"/>
    <w:uiPriority w:val="99"/>
    <w:rsid w:val="00481586"/>
  </w:style>
  <w:style w:type="paragraph" w:styleId="af3">
    <w:name w:val="annotation subject"/>
    <w:basedOn w:val="af1"/>
    <w:next w:val="af1"/>
    <w:link w:val="af4"/>
    <w:uiPriority w:val="99"/>
    <w:semiHidden/>
    <w:unhideWhenUsed/>
    <w:rsid w:val="00481586"/>
    <w:rPr>
      <w:b/>
      <w:bCs/>
    </w:rPr>
  </w:style>
  <w:style w:type="character" w:customStyle="1" w:styleId="af4">
    <w:name w:val="コメント内容 (文字)"/>
    <w:basedOn w:val="af2"/>
    <w:link w:val="af3"/>
    <w:uiPriority w:val="99"/>
    <w:semiHidden/>
    <w:rsid w:val="00481586"/>
    <w:rPr>
      <w:b/>
      <w:bCs/>
    </w:rPr>
  </w:style>
  <w:style w:type="paragraph" w:styleId="af5">
    <w:name w:val="caption"/>
    <w:aliases w:val="Caption Char Char,Caption Char Char Char Char,Caption Char2,fig cadre,fig cadre Char Char,fig cadre Char2,fig...,（図表題）"/>
    <w:next w:val="C-BodyText"/>
    <w:link w:val="af6"/>
    <w:qFormat/>
    <w:rsid w:val="00B76FE0"/>
    <w:pPr>
      <w:keepNext/>
      <w:spacing w:before="120" w:after="120" w:line="280" w:lineRule="atLeast"/>
      <w:ind w:left="1440" w:hanging="1440"/>
    </w:pPr>
    <w:rPr>
      <w:rFonts w:ascii="Times New Roman" w:eastAsia="ＭＳ 明朝" w:hAnsi="Times New Roman" w:cs="Times New Roman"/>
      <w:b/>
      <w:bCs/>
      <w:kern w:val="0"/>
      <w:szCs w:val="24"/>
      <w:lang w:eastAsia="en-US"/>
    </w:rPr>
  </w:style>
  <w:style w:type="paragraph" w:customStyle="1" w:styleId="C-BodyText">
    <w:name w:val="C-Body Text"/>
    <w:link w:val="C-BodyTextChar"/>
    <w:qFormat/>
    <w:rsid w:val="00B76FE0"/>
    <w:pPr>
      <w:spacing w:before="120" w:after="120" w:line="280" w:lineRule="atLeast"/>
    </w:pPr>
    <w:rPr>
      <w:rFonts w:ascii="Times New Roman" w:eastAsia="ＭＳ 明朝" w:hAnsi="Times New Roman" w:cs="Times New Roman"/>
      <w:kern w:val="0"/>
      <w:szCs w:val="20"/>
      <w:lang w:eastAsia="en-US"/>
    </w:rPr>
  </w:style>
  <w:style w:type="character" w:customStyle="1" w:styleId="C-BodyTextChar">
    <w:name w:val="C-Body Text Char"/>
    <w:link w:val="C-BodyText"/>
    <w:rsid w:val="00B76FE0"/>
    <w:rPr>
      <w:rFonts w:ascii="Times New Roman" w:eastAsia="ＭＳ 明朝" w:hAnsi="Times New Roman" w:cs="Times New Roman"/>
      <w:kern w:val="0"/>
      <w:szCs w:val="20"/>
      <w:lang w:eastAsia="en-US"/>
    </w:rPr>
  </w:style>
  <w:style w:type="character" w:customStyle="1" w:styleId="af6">
    <w:name w:val="図表番号 (文字)"/>
    <w:aliases w:val="Caption Char Char (文字),Caption Char Char Char Char (文字),Caption Char2 (文字),fig cadre (文字),fig cadre Char Char (文字),fig cadre Char2 (文字),fig... (文字),（図表題） (文字)"/>
    <w:link w:val="af5"/>
    <w:rsid w:val="00B76FE0"/>
    <w:rPr>
      <w:rFonts w:ascii="Times New Roman" w:eastAsia="ＭＳ 明朝" w:hAnsi="Times New Roman" w:cs="Times New Roman"/>
      <w:b/>
      <w:bCs/>
      <w:kern w:val="0"/>
      <w:szCs w:val="24"/>
      <w:lang w:eastAsia="en-US"/>
    </w:rPr>
  </w:style>
  <w:style w:type="paragraph" w:customStyle="1" w:styleId="C-TableText">
    <w:name w:val="C-Table Text"/>
    <w:link w:val="C-TableTextChar"/>
    <w:rsid w:val="00B76FE0"/>
    <w:pPr>
      <w:spacing w:before="60" w:after="60"/>
    </w:pPr>
    <w:rPr>
      <w:rFonts w:ascii="Times New Roman" w:eastAsia="ＭＳ 明朝" w:hAnsi="Times New Roman" w:cs="Times New Roman"/>
      <w:kern w:val="0"/>
      <w:sz w:val="22"/>
      <w:szCs w:val="20"/>
      <w:lang w:eastAsia="en-US"/>
    </w:rPr>
  </w:style>
  <w:style w:type="paragraph" w:customStyle="1" w:styleId="C-Footnote">
    <w:name w:val="C-Footnote"/>
    <w:basedOn w:val="a"/>
    <w:qFormat/>
    <w:rsid w:val="00B76FE0"/>
    <w:pPr>
      <w:widowControl/>
      <w:tabs>
        <w:tab w:val="left" w:pos="144"/>
      </w:tabs>
      <w:jc w:val="left"/>
    </w:pPr>
    <w:rPr>
      <w:rFonts w:ascii="Times New Roman" w:eastAsia="ＭＳ 明朝" w:hAnsi="Times New Roman" w:cs="Arial"/>
      <w:kern w:val="0"/>
      <w:sz w:val="20"/>
      <w:szCs w:val="20"/>
      <w:lang w:eastAsia="en-US"/>
    </w:rPr>
  </w:style>
  <w:style w:type="character" w:customStyle="1" w:styleId="C-TableTextChar">
    <w:name w:val="C-Table Text Char"/>
    <w:link w:val="C-TableText"/>
    <w:rsid w:val="00B76FE0"/>
    <w:rPr>
      <w:rFonts w:ascii="Times New Roman" w:eastAsia="ＭＳ 明朝" w:hAnsi="Times New Roman" w:cs="Times New Roman"/>
      <w:kern w:val="0"/>
      <w:sz w:val="22"/>
      <w:szCs w:val="20"/>
      <w:lang w:eastAsia="en-US"/>
    </w:rPr>
  </w:style>
  <w:style w:type="paragraph" w:customStyle="1" w:styleId="C-Heading1">
    <w:name w:val="C-Heading 1"/>
    <w:next w:val="C-BodyText"/>
    <w:rsid w:val="00B76FE0"/>
    <w:pPr>
      <w:keepNext/>
      <w:pageBreakBefore/>
      <w:numPr>
        <w:numId w:val="5"/>
      </w:numPr>
      <w:tabs>
        <w:tab w:val="clear" w:pos="1080"/>
      </w:tabs>
      <w:spacing w:before="480" w:after="120"/>
      <w:ind w:left="720" w:hanging="360"/>
      <w:outlineLvl w:val="0"/>
    </w:pPr>
    <w:rPr>
      <w:rFonts w:ascii="Times New Roman" w:eastAsia="ＭＳ 明朝" w:hAnsi="Times New Roman" w:cs="Times New Roman"/>
      <w:b/>
      <w:caps/>
      <w:kern w:val="0"/>
      <w:sz w:val="28"/>
      <w:szCs w:val="20"/>
      <w:lang w:eastAsia="en-US"/>
    </w:rPr>
  </w:style>
  <w:style w:type="paragraph" w:customStyle="1" w:styleId="C-Heading2">
    <w:name w:val="C-Heading 2"/>
    <w:next w:val="C-BodyText"/>
    <w:rsid w:val="00B76FE0"/>
    <w:pPr>
      <w:keepNext/>
      <w:numPr>
        <w:ilvl w:val="1"/>
        <w:numId w:val="5"/>
      </w:numPr>
      <w:tabs>
        <w:tab w:val="clear" w:pos="1080"/>
      </w:tabs>
      <w:spacing w:before="240"/>
      <w:ind w:left="1440" w:hanging="360"/>
      <w:outlineLvl w:val="1"/>
    </w:pPr>
    <w:rPr>
      <w:rFonts w:ascii="Times New Roman" w:eastAsia="ＭＳ 明朝" w:hAnsi="Times New Roman" w:cs="Times New Roman"/>
      <w:b/>
      <w:kern w:val="0"/>
      <w:sz w:val="28"/>
      <w:szCs w:val="20"/>
      <w:lang w:eastAsia="en-US"/>
    </w:rPr>
  </w:style>
  <w:style w:type="paragraph" w:customStyle="1" w:styleId="C-Heading3">
    <w:name w:val="C-Heading 3"/>
    <w:next w:val="C-BodyText"/>
    <w:link w:val="C-Heading30"/>
    <w:rsid w:val="00B76FE0"/>
    <w:pPr>
      <w:keepNext/>
      <w:numPr>
        <w:ilvl w:val="2"/>
        <w:numId w:val="5"/>
      </w:numPr>
      <w:spacing w:before="240"/>
      <w:outlineLvl w:val="2"/>
    </w:pPr>
    <w:rPr>
      <w:rFonts w:ascii="Times New Roman" w:eastAsia="ＭＳ 明朝" w:hAnsi="Times New Roman" w:cs="Times New Roman"/>
      <w:b/>
      <w:kern w:val="0"/>
      <w:szCs w:val="20"/>
      <w:lang w:eastAsia="en-US"/>
    </w:rPr>
  </w:style>
  <w:style w:type="paragraph" w:customStyle="1" w:styleId="C-Heading4">
    <w:name w:val="C-Heading 4"/>
    <w:next w:val="C-BodyText"/>
    <w:rsid w:val="00B76FE0"/>
    <w:pPr>
      <w:keepNext/>
      <w:numPr>
        <w:ilvl w:val="3"/>
        <w:numId w:val="5"/>
      </w:numPr>
      <w:tabs>
        <w:tab w:val="clear" w:pos="1080"/>
      </w:tabs>
      <w:spacing w:before="240"/>
      <w:ind w:left="2880" w:hanging="360"/>
      <w:outlineLvl w:val="3"/>
    </w:pPr>
    <w:rPr>
      <w:rFonts w:ascii="Times New Roman" w:eastAsia="ＭＳ 明朝" w:hAnsi="Times New Roman" w:cs="Times New Roman"/>
      <w:b/>
      <w:kern w:val="0"/>
      <w:szCs w:val="20"/>
      <w:lang w:eastAsia="en-US"/>
    </w:rPr>
  </w:style>
  <w:style w:type="paragraph" w:customStyle="1" w:styleId="C-Heading5">
    <w:name w:val="C-Heading 5"/>
    <w:next w:val="C-BodyText"/>
    <w:rsid w:val="00B76FE0"/>
    <w:pPr>
      <w:keepNext/>
      <w:numPr>
        <w:ilvl w:val="4"/>
        <w:numId w:val="5"/>
      </w:numPr>
      <w:tabs>
        <w:tab w:val="clear" w:pos="1080"/>
      </w:tabs>
      <w:spacing w:before="240"/>
      <w:ind w:left="3600" w:hanging="360"/>
      <w:outlineLvl w:val="4"/>
    </w:pPr>
    <w:rPr>
      <w:rFonts w:ascii="Times New Roman" w:eastAsia="ＭＳ 明朝" w:hAnsi="Times New Roman" w:cs="Times New Roman"/>
      <w:b/>
      <w:kern w:val="0"/>
      <w:szCs w:val="20"/>
      <w:lang w:eastAsia="en-US"/>
    </w:rPr>
  </w:style>
  <w:style w:type="paragraph" w:customStyle="1" w:styleId="C-Heading6">
    <w:name w:val="C-Heading 6"/>
    <w:next w:val="C-BodyText"/>
    <w:rsid w:val="00B76FE0"/>
    <w:pPr>
      <w:keepNext/>
      <w:numPr>
        <w:ilvl w:val="5"/>
        <w:numId w:val="5"/>
      </w:numPr>
      <w:tabs>
        <w:tab w:val="clear" w:pos="1080"/>
        <w:tab w:val="num" w:pos="1224"/>
      </w:tabs>
      <w:spacing w:before="240"/>
      <w:ind w:left="1224" w:hanging="1224"/>
      <w:outlineLvl w:val="5"/>
    </w:pPr>
    <w:rPr>
      <w:rFonts w:ascii="Times New Roman" w:eastAsia="ＭＳ 明朝" w:hAnsi="Times New Roman" w:cs="Times New Roman"/>
      <w:b/>
      <w:kern w:val="0"/>
      <w:szCs w:val="20"/>
      <w:lang w:eastAsia="en-US"/>
    </w:rPr>
  </w:style>
  <w:style w:type="paragraph" w:customStyle="1" w:styleId="C-Bullet">
    <w:name w:val="C-Bullet"/>
    <w:qFormat/>
    <w:rsid w:val="00B76FE0"/>
    <w:pPr>
      <w:numPr>
        <w:numId w:val="7"/>
      </w:numPr>
      <w:tabs>
        <w:tab w:val="clear" w:pos="1080"/>
      </w:tabs>
      <w:spacing w:before="120" w:after="120" w:line="280" w:lineRule="atLeast"/>
      <w:ind w:left="780"/>
    </w:pPr>
    <w:rPr>
      <w:rFonts w:ascii="Times New Roman" w:eastAsia="ＭＳ 明朝" w:hAnsi="Times New Roman" w:cs="Times New Roman"/>
      <w:kern w:val="0"/>
      <w:szCs w:val="20"/>
      <w:lang w:eastAsia="en-US"/>
    </w:rPr>
  </w:style>
  <w:style w:type="paragraph" w:customStyle="1" w:styleId="C-BulletIndented">
    <w:name w:val="C-Bullet Indented"/>
    <w:qFormat/>
    <w:rsid w:val="00B76FE0"/>
    <w:pPr>
      <w:numPr>
        <w:ilvl w:val="1"/>
        <w:numId w:val="7"/>
      </w:numPr>
      <w:tabs>
        <w:tab w:val="clear" w:pos="1440"/>
      </w:tabs>
      <w:spacing w:before="120" w:after="120" w:line="280" w:lineRule="atLeast"/>
      <w:ind w:left="1500"/>
    </w:pPr>
    <w:rPr>
      <w:rFonts w:ascii="Times New Roman" w:eastAsia="ＭＳ 明朝" w:hAnsi="Times New Roman" w:cs="Arial"/>
      <w:kern w:val="0"/>
      <w:szCs w:val="20"/>
      <w:lang w:eastAsia="en-US"/>
    </w:rPr>
  </w:style>
  <w:style w:type="paragraph" w:customStyle="1" w:styleId="C-NumberedList">
    <w:name w:val="C-Numbered List"/>
    <w:qFormat/>
    <w:rsid w:val="00B76FE0"/>
    <w:pPr>
      <w:numPr>
        <w:numId w:val="6"/>
      </w:numPr>
      <w:tabs>
        <w:tab w:val="clear" w:pos="720"/>
      </w:tabs>
      <w:spacing w:before="120" w:after="120" w:line="280" w:lineRule="atLeast"/>
    </w:pPr>
    <w:rPr>
      <w:rFonts w:ascii="Times New Roman" w:eastAsia="ＭＳ 明朝" w:hAnsi="Times New Roman" w:cs="Times New Roman"/>
      <w:kern w:val="0"/>
      <w:szCs w:val="20"/>
      <w:lang w:eastAsia="en-US"/>
    </w:rPr>
  </w:style>
  <w:style w:type="paragraph" w:customStyle="1" w:styleId="C-AlphabeticList">
    <w:name w:val="C-Alphabetic List"/>
    <w:rsid w:val="00B76FE0"/>
    <w:pPr>
      <w:numPr>
        <w:ilvl w:val="1"/>
        <w:numId w:val="6"/>
      </w:numPr>
      <w:tabs>
        <w:tab w:val="clear" w:pos="1080"/>
      </w:tabs>
      <w:ind w:left="1440"/>
    </w:pPr>
    <w:rPr>
      <w:rFonts w:ascii="Times New Roman" w:eastAsia="ＭＳ 明朝" w:hAnsi="Times New Roman" w:cs="Times New Roman"/>
      <w:kern w:val="0"/>
      <w:szCs w:val="20"/>
      <w:lang w:eastAsia="en-US"/>
    </w:rPr>
  </w:style>
  <w:style w:type="character" w:customStyle="1" w:styleId="C-Heading30">
    <w:name w:val="C-Heading 3 (文字)"/>
    <w:link w:val="C-Heading3"/>
    <w:rsid w:val="00B76FE0"/>
    <w:rPr>
      <w:rFonts w:ascii="Times New Roman" w:eastAsia="ＭＳ 明朝" w:hAnsi="Times New Roman" w:cs="Times New Roman"/>
      <w:b/>
      <w:kern w:val="0"/>
      <w:szCs w:val="20"/>
      <w:lang w:eastAsia="en-US"/>
    </w:rPr>
  </w:style>
  <w:style w:type="character" w:styleId="af7">
    <w:name w:val="FollowedHyperlink"/>
    <w:basedOn w:val="a0"/>
    <w:uiPriority w:val="99"/>
    <w:semiHidden/>
    <w:unhideWhenUsed/>
    <w:rsid w:val="00C871E3"/>
    <w:rPr>
      <w:color w:val="954F72" w:themeColor="followedHyperlink"/>
      <w:u w:val="single"/>
    </w:rPr>
  </w:style>
  <w:style w:type="character" w:customStyle="1" w:styleId="Paragraph1">
    <w:name w:val="Paragraph (文字)1"/>
    <w:link w:val="Paragraph"/>
    <w:locked/>
    <w:rsid w:val="00A057CD"/>
    <w:rPr>
      <w:rFonts w:cs="Cordia New"/>
      <w:sz w:val="21"/>
      <w:szCs w:val="21"/>
    </w:rPr>
  </w:style>
  <w:style w:type="paragraph" w:customStyle="1" w:styleId="Paragraph">
    <w:name w:val="Paragraph"/>
    <w:link w:val="Paragraph1"/>
    <w:qFormat/>
    <w:rsid w:val="00A057CD"/>
    <w:pPr>
      <w:spacing w:line="320" w:lineRule="atLeast"/>
      <w:ind w:firstLine="284"/>
    </w:pPr>
    <w:rPr>
      <w:rFonts w:cs="Cordia New"/>
      <w:sz w:val="21"/>
      <w:szCs w:val="21"/>
    </w:rPr>
  </w:style>
  <w:style w:type="paragraph" w:styleId="af8">
    <w:name w:val="Revision"/>
    <w:hidden/>
    <w:uiPriority w:val="99"/>
    <w:semiHidden/>
    <w:rsid w:val="00B2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06135">
      <w:bodyDiv w:val="1"/>
      <w:marLeft w:val="0"/>
      <w:marRight w:val="0"/>
      <w:marTop w:val="0"/>
      <w:marBottom w:val="0"/>
      <w:divBdr>
        <w:top w:val="none" w:sz="0" w:space="0" w:color="auto"/>
        <w:left w:val="none" w:sz="0" w:space="0" w:color="auto"/>
        <w:bottom w:val="none" w:sz="0" w:space="0" w:color="auto"/>
        <w:right w:val="none" w:sz="0" w:space="0" w:color="auto"/>
      </w:divBdr>
      <w:divsChild>
        <w:div w:id="992871828">
          <w:marLeft w:val="360"/>
          <w:marRight w:val="0"/>
          <w:marTop w:val="200"/>
          <w:marBottom w:val="0"/>
          <w:divBdr>
            <w:top w:val="none" w:sz="0" w:space="0" w:color="auto"/>
            <w:left w:val="none" w:sz="0" w:space="0" w:color="auto"/>
            <w:bottom w:val="none" w:sz="0" w:space="0" w:color="auto"/>
            <w:right w:val="none" w:sz="0" w:space="0" w:color="auto"/>
          </w:divBdr>
        </w:div>
      </w:divsChild>
    </w:div>
    <w:div w:id="939917951">
      <w:bodyDiv w:val="1"/>
      <w:marLeft w:val="0"/>
      <w:marRight w:val="0"/>
      <w:marTop w:val="0"/>
      <w:marBottom w:val="0"/>
      <w:divBdr>
        <w:top w:val="none" w:sz="0" w:space="0" w:color="auto"/>
        <w:left w:val="none" w:sz="0" w:space="0" w:color="auto"/>
        <w:bottom w:val="none" w:sz="0" w:space="0" w:color="auto"/>
        <w:right w:val="none" w:sz="0" w:space="0" w:color="auto"/>
      </w:divBdr>
      <w:divsChild>
        <w:div w:id="1166819342">
          <w:marLeft w:val="274"/>
          <w:marRight w:val="0"/>
          <w:marTop w:val="0"/>
          <w:marBottom w:val="0"/>
          <w:divBdr>
            <w:top w:val="none" w:sz="0" w:space="0" w:color="auto"/>
            <w:left w:val="none" w:sz="0" w:space="0" w:color="auto"/>
            <w:bottom w:val="none" w:sz="0" w:space="0" w:color="auto"/>
            <w:right w:val="none" w:sz="0" w:space="0" w:color="auto"/>
          </w:divBdr>
        </w:div>
        <w:div w:id="1422944898">
          <w:marLeft w:val="274"/>
          <w:marRight w:val="0"/>
          <w:marTop w:val="0"/>
          <w:marBottom w:val="0"/>
          <w:divBdr>
            <w:top w:val="none" w:sz="0" w:space="0" w:color="auto"/>
            <w:left w:val="none" w:sz="0" w:space="0" w:color="auto"/>
            <w:bottom w:val="none" w:sz="0" w:space="0" w:color="auto"/>
            <w:right w:val="none" w:sz="0" w:space="0" w:color="auto"/>
          </w:divBdr>
        </w:div>
        <w:div w:id="1689940080">
          <w:marLeft w:val="274"/>
          <w:marRight w:val="0"/>
          <w:marTop w:val="0"/>
          <w:marBottom w:val="0"/>
          <w:divBdr>
            <w:top w:val="none" w:sz="0" w:space="0" w:color="auto"/>
            <w:left w:val="none" w:sz="0" w:space="0" w:color="auto"/>
            <w:bottom w:val="none" w:sz="0" w:space="0" w:color="auto"/>
            <w:right w:val="none" w:sz="0" w:space="0" w:color="auto"/>
          </w:divBdr>
        </w:div>
        <w:div w:id="1932272221">
          <w:marLeft w:val="274"/>
          <w:marRight w:val="0"/>
          <w:marTop w:val="0"/>
          <w:marBottom w:val="0"/>
          <w:divBdr>
            <w:top w:val="none" w:sz="0" w:space="0" w:color="auto"/>
            <w:left w:val="none" w:sz="0" w:space="0" w:color="auto"/>
            <w:bottom w:val="none" w:sz="0" w:space="0" w:color="auto"/>
            <w:right w:val="none" w:sz="0" w:space="0" w:color="auto"/>
          </w:divBdr>
        </w:div>
        <w:div w:id="2109619747">
          <w:marLeft w:val="274"/>
          <w:marRight w:val="0"/>
          <w:marTop w:val="0"/>
          <w:marBottom w:val="0"/>
          <w:divBdr>
            <w:top w:val="none" w:sz="0" w:space="0" w:color="auto"/>
            <w:left w:val="none" w:sz="0" w:space="0" w:color="auto"/>
            <w:bottom w:val="none" w:sz="0" w:space="0" w:color="auto"/>
            <w:right w:val="none" w:sz="0" w:space="0" w:color="auto"/>
          </w:divBdr>
        </w:div>
      </w:divsChild>
    </w:div>
    <w:div w:id="1123766648">
      <w:bodyDiv w:val="1"/>
      <w:marLeft w:val="0"/>
      <w:marRight w:val="0"/>
      <w:marTop w:val="0"/>
      <w:marBottom w:val="0"/>
      <w:divBdr>
        <w:top w:val="none" w:sz="0" w:space="0" w:color="auto"/>
        <w:left w:val="none" w:sz="0" w:space="0" w:color="auto"/>
        <w:bottom w:val="none" w:sz="0" w:space="0" w:color="auto"/>
        <w:right w:val="none" w:sz="0" w:space="0" w:color="auto"/>
      </w:divBdr>
    </w:div>
    <w:div w:id="1191451681">
      <w:bodyDiv w:val="1"/>
      <w:marLeft w:val="0"/>
      <w:marRight w:val="0"/>
      <w:marTop w:val="0"/>
      <w:marBottom w:val="0"/>
      <w:divBdr>
        <w:top w:val="none" w:sz="0" w:space="0" w:color="auto"/>
        <w:left w:val="none" w:sz="0" w:space="0" w:color="auto"/>
        <w:bottom w:val="none" w:sz="0" w:space="0" w:color="auto"/>
        <w:right w:val="none" w:sz="0" w:space="0" w:color="auto"/>
      </w:divBdr>
      <w:divsChild>
        <w:div w:id="577055442">
          <w:marLeft w:val="360"/>
          <w:marRight w:val="0"/>
          <w:marTop w:val="200"/>
          <w:marBottom w:val="0"/>
          <w:divBdr>
            <w:top w:val="none" w:sz="0" w:space="0" w:color="auto"/>
            <w:left w:val="none" w:sz="0" w:space="0" w:color="auto"/>
            <w:bottom w:val="none" w:sz="0" w:space="0" w:color="auto"/>
            <w:right w:val="none" w:sz="0" w:space="0" w:color="auto"/>
          </w:divBdr>
        </w:div>
        <w:div w:id="968516254">
          <w:marLeft w:val="360"/>
          <w:marRight w:val="0"/>
          <w:marTop w:val="200"/>
          <w:marBottom w:val="0"/>
          <w:divBdr>
            <w:top w:val="none" w:sz="0" w:space="0" w:color="auto"/>
            <w:left w:val="none" w:sz="0" w:space="0" w:color="auto"/>
            <w:bottom w:val="none" w:sz="0" w:space="0" w:color="auto"/>
            <w:right w:val="none" w:sz="0" w:space="0" w:color="auto"/>
          </w:divBdr>
        </w:div>
      </w:divsChild>
    </w:div>
    <w:div w:id="1408385337">
      <w:bodyDiv w:val="1"/>
      <w:marLeft w:val="0"/>
      <w:marRight w:val="0"/>
      <w:marTop w:val="0"/>
      <w:marBottom w:val="0"/>
      <w:divBdr>
        <w:top w:val="none" w:sz="0" w:space="0" w:color="auto"/>
        <w:left w:val="none" w:sz="0" w:space="0" w:color="auto"/>
        <w:bottom w:val="none" w:sz="0" w:space="0" w:color="auto"/>
        <w:right w:val="none" w:sz="0" w:space="0" w:color="auto"/>
      </w:divBdr>
      <w:divsChild>
        <w:div w:id="381294586">
          <w:marLeft w:val="0"/>
          <w:marRight w:val="0"/>
          <w:marTop w:val="0"/>
          <w:marBottom w:val="0"/>
          <w:divBdr>
            <w:top w:val="none" w:sz="0" w:space="0" w:color="auto"/>
            <w:left w:val="none" w:sz="0" w:space="0" w:color="auto"/>
            <w:bottom w:val="none" w:sz="0" w:space="0" w:color="auto"/>
            <w:right w:val="none" w:sz="0" w:space="0" w:color="auto"/>
          </w:divBdr>
          <w:divsChild>
            <w:div w:id="982200551">
              <w:marLeft w:val="0"/>
              <w:marRight w:val="0"/>
              <w:marTop w:val="0"/>
              <w:marBottom w:val="0"/>
              <w:divBdr>
                <w:top w:val="none" w:sz="0" w:space="0" w:color="auto"/>
                <w:left w:val="none" w:sz="0" w:space="0" w:color="auto"/>
                <w:bottom w:val="none" w:sz="0" w:space="0" w:color="auto"/>
                <w:right w:val="none" w:sz="0" w:space="0" w:color="auto"/>
              </w:divBdr>
              <w:divsChild>
                <w:div w:id="450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44140">
      <w:bodyDiv w:val="1"/>
      <w:marLeft w:val="0"/>
      <w:marRight w:val="0"/>
      <w:marTop w:val="0"/>
      <w:marBottom w:val="0"/>
      <w:divBdr>
        <w:top w:val="none" w:sz="0" w:space="0" w:color="auto"/>
        <w:left w:val="none" w:sz="0" w:space="0" w:color="auto"/>
        <w:bottom w:val="none" w:sz="0" w:space="0" w:color="auto"/>
        <w:right w:val="none" w:sz="0" w:space="0" w:color="auto"/>
      </w:divBdr>
      <w:divsChild>
        <w:div w:id="806050428">
          <w:marLeft w:val="360"/>
          <w:marRight w:val="0"/>
          <w:marTop w:val="200"/>
          <w:marBottom w:val="0"/>
          <w:divBdr>
            <w:top w:val="none" w:sz="0" w:space="0" w:color="auto"/>
            <w:left w:val="none" w:sz="0" w:space="0" w:color="auto"/>
            <w:bottom w:val="none" w:sz="0" w:space="0" w:color="auto"/>
            <w:right w:val="none" w:sz="0" w:space="0" w:color="auto"/>
          </w:divBdr>
        </w:div>
        <w:div w:id="867567609">
          <w:marLeft w:val="360"/>
          <w:marRight w:val="0"/>
          <w:marTop w:val="200"/>
          <w:marBottom w:val="0"/>
          <w:divBdr>
            <w:top w:val="none" w:sz="0" w:space="0" w:color="auto"/>
            <w:left w:val="none" w:sz="0" w:space="0" w:color="auto"/>
            <w:bottom w:val="none" w:sz="0" w:space="0" w:color="auto"/>
            <w:right w:val="none" w:sz="0" w:space="0" w:color="auto"/>
          </w:divBdr>
        </w:div>
      </w:divsChild>
    </w:div>
    <w:div w:id="1985698008">
      <w:bodyDiv w:val="1"/>
      <w:marLeft w:val="0"/>
      <w:marRight w:val="0"/>
      <w:marTop w:val="0"/>
      <w:marBottom w:val="0"/>
      <w:divBdr>
        <w:top w:val="none" w:sz="0" w:space="0" w:color="auto"/>
        <w:left w:val="none" w:sz="0" w:space="0" w:color="auto"/>
        <w:bottom w:val="none" w:sz="0" w:space="0" w:color="auto"/>
        <w:right w:val="none" w:sz="0" w:space="0" w:color="auto"/>
      </w:divBdr>
      <w:divsChild>
        <w:div w:id="611211653">
          <w:marLeft w:val="0"/>
          <w:marRight w:val="0"/>
          <w:marTop w:val="0"/>
          <w:marBottom w:val="0"/>
          <w:divBdr>
            <w:top w:val="none" w:sz="0" w:space="0" w:color="auto"/>
            <w:left w:val="none" w:sz="0" w:space="0" w:color="auto"/>
            <w:bottom w:val="none" w:sz="0" w:space="0" w:color="auto"/>
            <w:right w:val="none" w:sz="0" w:space="0" w:color="auto"/>
          </w:divBdr>
        </w:div>
      </w:divsChild>
    </w:div>
    <w:div w:id="2005666211">
      <w:bodyDiv w:val="1"/>
      <w:marLeft w:val="0"/>
      <w:marRight w:val="0"/>
      <w:marTop w:val="0"/>
      <w:marBottom w:val="0"/>
      <w:divBdr>
        <w:top w:val="none" w:sz="0" w:space="0" w:color="auto"/>
        <w:left w:val="none" w:sz="0" w:space="0" w:color="auto"/>
        <w:bottom w:val="none" w:sz="0" w:space="0" w:color="auto"/>
        <w:right w:val="none" w:sz="0" w:space="0" w:color="auto"/>
      </w:divBdr>
    </w:div>
    <w:div w:id="2075425595">
      <w:bodyDiv w:val="1"/>
      <w:marLeft w:val="0"/>
      <w:marRight w:val="0"/>
      <w:marTop w:val="0"/>
      <w:marBottom w:val="0"/>
      <w:divBdr>
        <w:top w:val="none" w:sz="0" w:space="0" w:color="auto"/>
        <w:left w:val="none" w:sz="0" w:space="0" w:color="auto"/>
        <w:bottom w:val="none" w:sz="0" w:space="0" w:color="auto"/>
        <w:right w:val="none" w:sz="0" w:space="0" w:color="auto"/>
      </w:divBdr>
      <w:divsChild>
        <w:div w:id="1508251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9F42EB4BC87AE459386CFEE410DB57D" ma:contentTypeVersion="3" ma:contentTypeDescription="新しいドキュメントを作成します。" ma:contentTypeScope="" ma:versionID="5aad12299ae62ad3997d76bec82c38b4">
  <xsd:schema xmlns:xsd="http://www.w3.org/2001/XMLSchema" xmlns:xs="http://www.w3.org/2001/XMLSchema" xmlns:p="http://schemas.microsoft.com/office/2006/metadata/properties" xmlns:ns2="0ec7d489-548b-4d96-b4a4-78874d3566a1" targetNamespace="http://schemas.microsoft.com/office/2006/metadata/properties" ma:root="true" ma:fieldsID="f29fe1d5ea376e12b0f6442498a70bd5" ns2:_="">
    <xsd:import namespace="0ec7d489-548b-4d96-b4a4-78874d3566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7d489-548b-4d96-b4a4-78874d356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E6AED-A1AC-444A-BFED-39C483C6F094}">
  <ds:schemaRefs>
    <ds:schemaRef ds:uri="http://schemas.microsoft.com/sharepoint/v3/contenttype/forms"/>
  </ds:schemaRefs>
</ds:datastoreItem>
</file>

<file path=customXml/itemProps2.xml><?xml version="1.0" encoding="utf-8"?>
<ds:datastoreItem xmlns:ds="http://schemas.openxmlformats.org/officeDocument/2006/customXml" ds:itemID="{5C6206F2-51EA-470A-95EB-48323DF86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7d489-548b-4d96-b4a4-78874d356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CAB02-00ED-47FE-9CE6-1225A792E19B}">
  <ds:schemaRefs>
    <ds:schemaRef ds:uri="http://schemas.openxmlformats.org/officeDocument/2006/bibliography"/>
  </ds:schemaRefs>
</ds:datastoreItem>
</file>

<file path=customXml/itemProps4.xml><?xml version="1.0" encoding="utf-8"?>
<ds:datastoreItem xmlns:ds="http://schemas.openxmlformats.org/officeDocument/2006/customXml" ds:itemID="{1B05ACEF-E96B-45F7-85FD-BCD321415C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1401</Words>
  <Characters>7991</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 Yoshihiro(柴田　芳宏)</dc:creator>
  <cp:keywords/>
  <dc:description/>
  <cp:lastModifiedBy>Shibata Yoshihiro(柴田　芳宏)</cp:lastModifiedBy>
  <cp:revision>4</cp:revision>
  <dcterms:created xsi:type="dcterms:W3CDTF">2025-09-22T03:58:00Z</dcterms:created>
  <dcterms:modified xsi:type="dcterms:W3CDTF">2025-09-22T04:10:00Z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0x010100B9F42EB4BC87AE459386CFEE410DB57D</vt:lpwstr>
  </property>
  <property fmtid="{D5CDD505-2E9C-101B-9397-08002B2CF9AE}" pid="3" name="MediaServiceImageTags">
    <vt:lpwstr/>
  </property>
  <property fmtid="{D5CDD505-2E9C-101B-9397-08002B2CF9AE}" pid="4" name="docLang">
    <vt:lpwstr>en</vt:lpwstr>
  </property>
</Properties>
</file>