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1ACF" w14:textId="77777777" w:rsidR="0013662C" w:rsidRPr="003E5509" w:rsidRDefault="0013662C" w:rsidP="003E5509">
      <w:pPr>
        <w:tabs>
          <w:tab w:val="left" w:pos="947"/>
        </w:tabs>
        <w:spacing w:line="480" w:lineRule="auto"/>
        <w:jc w:val="both"/>
        <w:rPr>
          <w:b/>
        </w:rPr>
      </w:pPr>
    </w:p>
    <w:p w14:paraId="32E74FD7" w14:textId="57E8DAF3" w:rsidR="0013662C" w:rsidRPr="003E5509" w:rsidRDefault="0013662C" w:rsidP="003E5509">
      <w:pPr>
        <w:tabs>
          <w:tab w:val="left" w:pos="947"/>
        </w:tabs>
        <w:spacing w:line="480" w:lineRule="auto"/>
        <w:jc w:val="both"/>
        <w:rPr>
          <w:b/>
        </w:rPr>
      </w:pPr>
      <w:r w:rsidRPr="003E5509">
        <w:rPr>
          <w:b/>
        </w:rPr>
        <w:t>ICT Procedure Protocol additional details</w:t>
      </w:r>
    </w:p>
    <w:p w14:paraId="6EEEC05F" w14:textId="77777777" w:rsidR="0013662C" w:rsidRPr="003E5509" w:rsidRDefault="0013662C" w:rsidP="003E5509">
      <w:pPr>
        <w:tabs>
          <w:tab w:val="left" w:pos="947"/>
        </w:tabs>
        <w:spacing w:line="480" w:lineRule="auto"/>
        <w:jc w:val="both"/>
        <w:rPr>
          <w:b/>
        </w:rPr>
      </w:pPr>
    </w:p>
    <w:p w14:paraId="6CFDE7D4" w14:textId="738BE656" w:rsidR="0013662C" w:rsidRPr="003E5509" w:rsidRDefault="0013662C" w:rsidP="003E5509">
      <w:pPr>
        <w:spacing w:line="480" w:lineRule="auto"/>
        <w:rPr>
          <w:color w:val="000000" w:themeColor="text1"/>
        </w:rPr>
      </w:pPr>
    </w:p>
    <w:p w14:paraId="78664E2C" w14:textId="77777777" w:rsidR="003E5509" w:rsidRPr="003E5509" w:rsidRDefault="003E5509" w:rsidP="003E5509">
      <w:pPr>
        <w:pStyle w:val="NormalWeb"/>
        <w:spacing w:before="240" w:beforeAutospacing="0" w:after="240" w:afterAutospacing="0" w:line="480" w:lineRule="auto"/>
      </w:pPr>
      <w:r w:rsidRPr="003E5509">
        <w:rPr>
          <w:rFonts w:ascii="Arial" w:hAnsi="Arial" w:cs="Arial"/>
          <w:color w:val="000000"/>
          <w:sz w:val="22"/>
          <w:szCs w:val="22"/>
        </w:rPr>
        <w:t>Gardner-Wells tongs were applied using a standard technique following administration of local anesthetic (a 1:1 mixture of lidocaine and bupivacaine, maximum total volume 20 mL) and a short burst of propofol sedation in the operating room. Propofol was selected for its rapid onset and short duration of action. Doses were titrated to effect, accounting for variability in metabolic rates commonly observed in this patient population. No additional sedatives or analgesics were administered to avoid confounding the subsequent clinical assessment.</w:t>
      </w:r>
    </w:p>
    <w:p w14:paraId="5430AA9B" w14:textId="70B8BA36" w:rsidR="00CC1E78" w:rsidRDefault="003E5509" w:rsidP="003E5509">
      <w:pPr>
        <w:pStyle w:val="NormalWeb"/>
        <w:spacing w:before="240" w:beforeAutospacing="0" w:after="240" w:afterAutospacing="0" w:line="480" w:lineRule="auto"/>
        <w:rPr>
          <w:rFonts w:ascii="Arial" w:hAnsi="Arial" w:cs="Arial"/>
          <w:color w:val="000000"/>
          <w:sz w:val="22"/>
          <w:szCs w:val="22"/>
        </w:rPr>
      </w:pPr>
      <w:r w:rsidRPr="003E5509">
        <w:rPr>
          <w:rFonts w:ascii="Arial" w:hAnsi="Arial" w:cs="Arial"/>
          <w:color w:val="000000"/>
          <w:sz w:val="22"/>
          <w:szCs w:val="22"/>
        </w:rPr>
        <w:t xml:space="preserve">After propofol effects had completely dissipated and the patient returned to baseline, the patient was positioned upright. Using a calibrated digital fluoroscope (calibration procedure described below), we obtained lateral-view images of the cranio-cervical junction (CCJ) in neutral, flexion, and extension positions. </w:t>
      </w:r>
      <w:r w:rsidR="00CC1E78" w:rsidRPr="00CC1E78">
        <w:rPr>
          <w:rFonts w:ascii="Arial" w:hAnsi="Arial" w:cs="Arial"/>
          <w:color w:val="000000"/>
          <w:sz w:val="22"/>
          <w:szCs w:val="22"/>
        </w:rPr>
        <w:t xml:space="preserve">In cases of poorly visualized anatomic landmarks, we confirmed their locations by rotating the patients head under continuous fluoroscopy, adjusting the radiation intensity, applying different available filters, and modulating the image in postprocessing.  </w:t>
      </w:r>
    </w:p>
    <w:p w14:paraId="07D1EF17" w14:textId="38E8C093" w:rsidR="003E5509" w:rsidRPr="003E5509" w:rsidRDefault="003E5509" w:rsidP="003E5509">
      <w:pPr>
        <w:pStyle w:val="NormalWeb"/>
        <w:spacing w:before="240" w:beforeAutospacing="0" w:after="240" w:afterAutospacing="0" w:line="480" w:lineRule="auto"/>
      </w:pPr>
      <w:r w:rsidRPr="003E5509">
        <w:rPr>
          <w:rFonts w:ascii="Arial" w:hAnsi="Arial" w:cs="Arial"/>
          <w:color w:val="000000"/>
          <w:sz w:val="22"/>
          <w:szCs w:val="22"/>
        </w:rPr>
        <w:t>The patient was asked to report the presence of any preexisting chief complaints, and a focused evaluation for signs and symptoms of mid- and lower-brainstem dysfunction was performed, including dyspnea, diplopia or blurred vision, and dysphagia for liquids. A brief neurological examination was also conducted; this was frequently unremarkable.</w:t>
      </w:r>
    </w:p>
    <w:p w14:paraId="1BCDF7A3" w14:textId="77777777" w:rsidR="003E5509" w:rsidRPr="003E5509" w:rsidRDefault="003E5509" w:rsidP="003E5509">
      <w:pPr>
        <w:pStyle w:val="NormalWeb"/>
        <w:spacing w:before="240" w:beforeAutospacing="0" w:after="240" w:afterAutospacing="0" w:line="480" w:lineRule="auto"/>
      </w:pPr>
      <w:r w:rsidRPr="003E5509">
        <w:rPr>
          <w:rFonts w:ascii="Arial" w:hAnsi="Arial" w:cs="Arial"/>
          <w:color w:val="000000"/>
          <w:sz w:val="22"/>
          <w:szCs w:val="22"/>
        </w:rPr>
        <w:t xml:space="preserve">The Gardner-Wells tongs were then attached to a rope-and-pulley system, and vertical vector traction was initiated with 20 </w:t>
      </w:r>
      <w:proofErr w:type="spellStart"/>
      <w:r w:rsidRPr="003E5509">
        <w:rPr>
          <w:rFonts w:ascii="Arial" w:hAnsi="Arial" w:cs="Arial"/>
          <w:color w:val="000000"/>
          <w:sz w:val="22"/>
          <w:szCs w:val="22"/>
        </w:rPr>
        <w:t>lb</w:t>
      </w:r>
      <w:proofErr w:type="spellEnd"/>
      <w:r w:rsidRPr="003E5509">
        <w:rPr>
          <w:rFonts w:ascii="Arial" w:hAnsi="Arial" w:cs="Arial"/>
          <w:color w:val="000000"/>
          <w:sz w:val="22"/>
          <w:szCs w:val="22"/>
        </w:rPr>
        <w:t xml:space="preserve"> of weight. Traction was progressively increased in 10-minute intervals as tolerated, up to a maximum of 35 </w:t>
      </w:r>
      <w:proofErr w:type="spellStart"/>
      <w:r w:rsidRPr="003E5509">
        <w:rPr>
          <w:rFonts w:ascii="Arial" w:hAnsi="Arial" w:cs="Arial"/>
          <w:color w:val="000000"/>
          <w:sz w:val="22"/>
          <w:szCs w:val="22"/>
        </w:rPr>
        <w:t>lb</w:t>
      </w:r>
      <w:proofErr w:type="spellEnd"/>
      <w:r w:rsidRPr="003E5509">
        <w:rPr>
          <w:rFonts w:ascii="Arial" w:hAnsi="Arial" w:cs="Arial"/>
          <w:color w:val="000000"/>
          <w:sz w:val="22"/>
          <w:szCs w:val="22"/>
        </w:rPr>
        <w:t xml:space="preserve"> (40 </w:t>
      </w:r>
      <w:proofErr w:type="spellStart"/>
      <w:r w:rsidRPr="003E5509">
        <w:rPr>
          <w:rFonts w:ascii="Arial" w:hAnsi="Arial" w:cs="Arial"/>
          <w:color w:val="000000"/>
          <w:sz w:val="22"/>
          <w:szCs w:val="22"/>
        </w:rPr>
        <w:t>lb</w:t>
      </w:r>
      <w:proofErr w:type="spellEnd"/>
      <w:r w:rsidRPr="003E5509">
        <w:rPr>
          <w:rFonts w:ascii="Arial" w:hAnsi="Arial" w:cs="Arial"/>
          <w:color w:val="000000"/>
          <w:sz w:val="22"/>
          <w:szCs w:val="22"/>
        </w:rPr>
        <w:t xml:space="preserve"> in patients with a robust athletic build). At </w:t>
      </w:r>
      <w:r w:rsidRPr="003E5509">
        <w:rPr>
          <w:rFonts w:ascii="Arial" w:hAnsi="Arial" w:cs="Arial"/>
          <w:color w:val="000000"/>
          <w:sz w:val="22"/>
          <w:szCs w:val="22"/>
        </w:rPr>
        <w:lastRenderedPageBreak/>
        <w:t>each increment, patients were asked to describe any change in each pre-traction symptom compared with baseline, reported subjectively as a percentage (e.g., 10% worse, 90% better, or no change).</w:t>
      </w:r>
    </w:p>
    <w:p w14:paraId="47A1D71F" w14:textId="77777777" w:rsidR="003E5509" w:rsidRPr="003E5509" w:rsidRDefault="003E5509" w:rsidP="003E5509">
      <w:pPr>
        <w:pStyle w:val="NormalWeb"/>
        <w:spacing w:before="240" w:beforeAutospacing="0" w:after="240" w:afterAutospacing="0" w:line="480" w:lineRule="auto"/>
      </w:pPr>
      <w:r w:rsidRPr="003E5509">
        <w:rPr>
          <w:rFonts w:ascii="Arial" w:hAnsi="Arial" w:cs="Arial"/>
          <w:color w:val="000000"/>
          <w:sz w:val="22"/>
          <w:szCs w:val="22"/>
        </w:rPr>
        <w:t>Fifteen minutes after the final traction weight was reached, a repeat set of calibrated lateral-view CCJ fluoroscopic images and a neurological examination were performed. Traction weight was then reduced in a stepwise manner, and the tongs were removed. In selected cases, the traction weight was briefly removed and reapplied (“on/off” testing) to confirm or clarify the effect on specific symptoms or signs.</w:t>
      </w:r>
    </w:p>
    <w:p w14:paraId="26C68EDD" w14:textId="77777777" w:rsidR="003E5509" w:rsidRPr="003E5509" w:rsidRDefault="003E5509" w:rsidP="003E5509">
      <w:pPr>
        <w:spacing w:line="480" w:lineRule="auto"/>
      </w:pPr>
    </w:p>
    <w:p w14:paraId="77DB8C99" w14:textId="77777777" w:rsidR="00842EBE" w:rsidRPr="003E5509" w:rsidRDefault="00842EBE" w:rsidP="003E5509">
      <w:pPr>
        <w:spacing w:line="480" w:lineRule="auto"/>
      </w:pPr>
    </w:p>
    <w:sectPr w:rsidR="00842EBE" w:rsidRPr="003E5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610BD"/>
    <w:multiLevelType w:val="hybridMultilevel"/>
    <w:tmpl w:val="7E7C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21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2C"/>
    <w:rsid w:val="00006F9E"/>
    <w:rsid w:val="00012C83"/>
    <w:rsid w:val="00016840"/>
    <w:rsid w:val="00021C26"/>
    <w:rsid w:val="0002365E"/>
    <w:rsid w:val="000239DD"/>
    <w:rsid w:val="00027514"/>
    <w:rsid w:val="00030479"/>
    <w:rsid w:val="0003061A"/>
    <w:rsid w:val="00030D4D"/>
    <w:rsid w:val="00033249"/>
    <w:rsid w:val="00033678"/>
    <w:rsid w:val="00034B80"/>
    <w:rsid w:val="00035181"/>
    <w:rsid w:val="00040097"/>
    <w:rsid w:val="00045E3B"/>
    <w:rsid w:val="000526C0"/>
    <w:rsid w:val="00053D50"/>
    <w:rsid w:val="0005432C"/>
    <w:rsid w:val="000547A0"/>
    <w:rsid w:val="00057085"/>
    <w:rsid w:val="00070B77"/>
    <w:rsid w:val="000815E2"/>
    <w:rsid w:val="000861CB"/>
    <w:rsid w:val="000A135F"/>
    <w:rsid w:val="000A415A"/>
    <w:rsid w:val="000A4DF3"/>
    <w:rsid w:val="000A7916"/>
    <w:rsid w:val="000B0B4F"/>
    <w:rsid w:val="000B2B46"/>
    <w:rsid w:val="000E086C"/>
    <w:rsid w:val="000E6244"/>
    <w:rsid w:val="001000AB"/>
    <w:rsid w:val="00124F98"/>
    <w:rsid w:val="001325CF"/>
    <w:rsid w:val="00135036"/>
    <w:rsid w:val="0013662C"/>
    <w:rsid w:val="00140513"/>
    <w:rsid w:val="001413AA"/>
    <w:rsid w:val="00143A9F"/>
    <w:rsid w:val="00145C56"/>
    <w:rsid w:val="00170C0F"/>
    <w:rsid w:val="001731FD"/>
    <w:rsid w:val="00173BB4"/>
    <w:rsid w:val="001761A7"/>
    <w:rsid w:val="00182B2B"/>
    <w:rsid w:val="001835A8"/>
    <w:rsid w:val="001836F3"/>
    <w:rsid w:val="00187FFD"/>
    <w:rsid w:val="00193786"/>
    <w:rsid w:val="001A1564"/>
    <w:rsid w:val="001A18CD"/>
    <w:rsid w:val="001A36A0"/>
    <w:rsid w:val="001A6772"/>
    <w:rsid w:val="001A7A26"/>
    <w:rsid w:val="001B4560"/>
    <w:rsid w:val="001C7A97"/>
    <w:rsid w:val="001D1875"/>
    <w:rsid w:val="001D518C"/>
    <w:rsid w:val="001E5C0E"/>
    <w:rsid w:val="001E756C"/>
    <w:rsid w:val="001F5230"/>
    <w:rsid w:val="001F5C5D"/>
    <w:rsid w:val="00204DC7"/>
    <w:rsid w:val="00205E84"/>
    <w:rsid w:val="002069DE"/>
    <w:rsid w:val="002102DD"/>
    <w:rsid w:val="0024148F"/>
    <w:rsid w:val="00243EFB"/>
    <w:rsid w:val="00246BA8"/>
    <w:rsid w:val="00251950"/>
    <w:rsid w:val="00253646"/>
    <w:rsid w:val="00254393"/>
    <w:rsid w:val="00255712"/>
    <w:rsid w:val="0026605E"/>
    <w:rsid w:val="00272149"/>
    <w:rsid w:val="00274BB0"/>
    <w:rsid w:val="00276153"/>
    <w:rsid w:val="002819B2"/>
    <w:rsid w:val="00295BEF"/>
    <w:rsid w:val="002A2223"/>
    <w:rsid w:val="002B184A"/>
    <w:rsid w:val="002C20E3"/>
    <w:rsid w:val="002D101F"/>
    <w:rsid w:val="002D2625"/>
    <w:rsid w:val="002E457A"/>
    <w:rsid w:val="002E5EBD"/>
    <w:rsid w:val="002F35EB"/>
    <w:rsid w:val="0030387D"/>
    <w:rsid w:val="003114BC"/>
    <w:rsid w:val="00313C50"/>
    <w:rsid w:val="0032119E"/>
    <w:rsid w:val="0032238E"/>
    <w:rsid w:val="00331179"/>
    <w:rsid w:val="003331FE"/>
    <w:rsid w:val="00333E91"/>
    <w:rsid w:val="00336D09"/>
    <w:rsid w:val="00355182"/>
    <w:rsid w:val="00374AFF"/>
    <w:rsid w:val="00376171"/>
    <w:rsid w:val="00386775"/>
    <w:rsid w:val="0038728E"/>
    <w:rsid w:val="00394437"/>
    <w:rsid w:val="003B6063"/>
    <w:rsid w:val="003C01A3"/>
    <w:rsid w:val="003E5509"/>
    <w:rsid w:val="00403DB6"/>
    <w:rsid w:val="00404799"/>
    <w:rsid w:val="00423396"/>
    <w:rsid w:val="004251C3"/>
    <w:rsid w:val="0042720D"/>
    <w:rsid w:val="00431A55"/>
    <w:rsid w:val="00461AAF"/>
    <w:rsid w:val="004720B1"/>
    <w:rsid w:val="004A43EC"/>
    <w:rsid w:val="004B715D"/>
    <w:rsid w:val="004C46E0"/>
    <w:rsid w:val="004C7EEC"/>
    <w:rsid w:val="004D0574"/>
    <w:rsid w:val="004D17F6"/>
    <w:rsid w:val="004D1B9F"/>
    <w:rsid w:val="004D382D"/>
    <w:rsid w:val="004D41DF"/>
    <w:rsid w:val="004D6D48"/>
    <w:rsid w:val="004D72FE"/>
    <w:rsid w:val="00503487"/>
    <w:rsid w:val="00506A1F"/>
    <w:rsid w:val="005170FD"/>
    <w:rsid w:val="00521C88"/>
    <w:rsid w:val="00524D11"/>
    <w:rsid w:val="00524E73"/>
    <w:rsid w:val="00527B54"/>
    <w:rsid w:val="00534663"/>
    <w:rsid w:val="00535048"/>
    <w:rsid w:val="005358BD"/>
    <w:rsid w:val="00535944"/>
    <w:rsid w:val="00550D16"/>
    <w:rsid w:val="005514DF"/>
    <w:rsid w:val="0057253C"/>
    <w:rsid w:val="005827F6"/>
    <w:rsid w:val="005840F3"/>
    <w:rsid w:val="00594470"/>
    <w:rsid w:val="0059644E"/>
    <w:rsid w:val="005B3CA9"/>
    <w:rsid w:val="005B78DC"/>
    <w:rsid w:val="005C2BC0"/>
    <w:rsid w:val="005C31C1"/>
    <w:rsid w:val="005D32C6"/>
    <w:rsid w:val="005E687F"/>
    <w:rsid w:val="005F1C7C"/>
    <w:rsid w:val="005F1C81"/>
    <w:rsid w:val="005F53EC"/>
    <w:rsid w:val="005F77B4"/>
    <w:rsid w:val="006004C9"/>
    <w:rsid w:val="00601B49"/>
    <w:rsid w:val="00621F0F"/>
    <w:rsid w:val="00622B12"/>
    <w:rsid w:val="00624A3B"/>
    <w:rsid w:val="00625A08"/>
    <w:rsid w:val="006319B2"/>
    <w:rsid w:val="00637358"/>
    <w:rsid w:val="006441FD"/>
    <w:rsid w:val="00651949"/>
    <w:rsid w:val="00654D45"/>
    <w:rsid w:val="006576E3"/>
    <w:rsid w:val="00660D69"/>
    <w:rsid w:val="00661F25"/>
    <w:rsid w:val="00674C4A"/>
    <w:rsid w:val="006841A1"/>
    <w:rsid w:val="00693643"/>
    <w:rsid w:val="006963C9"/>
    <w:rsid w:val="006A72DF"/>
    <w:rsid w:val="006B37F4"/>
    <w:rsid w:val="006C214C"/>
    <w:rsid w:val="006D5CB1"/>
    <w:rsid w:val="006E63EF"/>
    <w:rsid w:val="006F0876"/>
    <w:rsid w:val="007032F7"/>
    <w:rsid w:val="007124E7"/>
    <w:rsid w:val="00725830"/>
    <w:rsid w:val="00736ACB"/>
    <w:rsid w:val="00744BF1"/>
    <w:rsid w:val="0074655E"/>
    <w:rsid w:val="00747FE5"/>
    <w:rsid w:val="00755183"/>
    <w:rsid w:val="00764998"/>
    <w:rsid w:val="00770446"/>
    <w:rsid w:val="007948F0"/>
    <w:rsid w:val="007A2C84"/>
    <w:rsid w:val="007B2955"/>
    <w:rsid w:val="007C285E"/>
    <w:rsid w:val="007C345B"/>
    <w:rsid w:val="007D1DB7"/>
    <w:rsid w:val="007D20C7"/>
    <w:rsid w:val="007D29DB"/>
    <w:rsid w:val="007E1DCC"/>
    <w:rsid w:val="007E5843"/>
    <w:rsid w:val="007E7357"/>
    <w:rsid w:val="007F6E53"/>
    <w:rsid w:val="0080131D"/>
    <w:rsid w:val="00802104"/>
    <w:rsid w:val="00813E8B"/>
    <w:rsid w:val="00815427"/>
    <w:rsid w:val="00832C9A"/>
    <w:rsid w:val="008345EE"/>
    <w:rsid w:val="00842EBE"/>
    <w:rsid w:val="0084474B"/>
    <w:rsid w:val="0084760C"/>
    <w:rsid w:val="00852419"/>
    <w:rsid w:val="00862188"/>
    <w:rsid w:val="00862552"/>
    <w:rsid w:val="0086652D"/>
    <w:rsid w:val="00866969"/>
    <w:rsid w:val="00874121"/>
    <w:rsid w:val="00875359"/>
    <w:rsid w:val="008809B4"/>
    <w:rsid w:val="008828BA"/>
    <w:rsid w:val="00895FD3"/>
    <w:rsid w:val="008964BF"/>
    <w:rsid w:val="008A3760"/>
    <w:rsid w:val="008A54FC"/>
    <w:rsid w:val="008A55E6"/>
    <w:rsid w:val="008A58B7"/>
    <w:rsid w:val="008C1F9A"/>
    <w:rsid w:val="008E3CBA"/>
    <w:rsid w:val="008F06F0"/>
    <w:rsid w:val="008F0BEC"/>
    <w:rsid w:val="009008D2"/>
    <w:rsid w:val="00901686"/>
    <w:rsid w:val="0091554F"/>
    <w:rsid w:val="00924EF6"/>
    <w:rsid w:val="00930938"/>
    <w:rsid w:val="009315C0"/>
    <w:rsid w:val="00931702"/>
    <w:rsid w:val="00937913"/>
    <w:rsid w:val="00955E7F"/>
    <w:rsid w:val="0096202E"/>
    <w:rsid w:val="00975892"/>
    <w:rsid w:val="0098472A"/>
    <w:rsid w:val="00984EE7"/>
    <w:rsid w:val="0099789A"/>
    <w:rsid w:val="009D231E"/>
    <w:rsid w:val="009E5642"/>
    <w:rsid w:val="009E7F9A"/>
    <w:rsid w:val="009F3930"/>
    <w:rsid w:val="009F607F"/>
    <w:rsid w:val="00A05755"/>
    <w:rsid w:val="00A0588C"/>
    <w:rsid w:val="00A10FDA"/>
    <w:rsid w:val="00A227BF"/>
    <w:rsid w:val="00A34D56"/>
    <w:rsid w:val="00A43272"/>
    <w:rsid w:val="00A44871"/>
    <w:rsid w:val="00A615B1"/>
    <w:rsid w:val="00A741DD"/>
    <w:rsid w:val="00A87DF5"/>
    <w:rsid w:val="00A94A59"/>
    <w:rsid w:val="00A94B01"/>
    <w:rsid w:val="00A955B2"/>
    <w:rsid w:val="00A96CC8"/>
    <w:rsid w:val="00AB2550"/>
    <w:rsid w:val="00AC0DDE"/>
    <w:rsid w:val="00AC6B24"/>
    <w:rsid w:val="00AD144E"/>
    <w:rsid w:val="00AD338C"/>
    <w:rsid w:val="00AD41A8"/>
    <w:rsid w:val="00AF7F40"/>
    <w:rsid w:val="00B043A5"/>
    <w:rsid w:val="00B115DD"/>
    <w:rsid w:val="00B15B6B"/>
    <w:rsid w:val="00B17B02"/>
    <w:rsid w:val="00B20089"/>
    <w:rsid w:val="00B31828"/>
    <w:rsid w:val="00B335B3"/>
    <w:rsid w:val="00B373CF"/>
    <w:rsid w:val="00B50D3D"/>
    <w:rsid w:val="00B6361B"/>
    <w:rsid w:val="00BA10B4"/>
    <w:rsid w:val="00BA6E7A"/>
    <w:rsid w:val="00BB1BE7"/>
    <w:rsid w:val="00BB4174"/>
    <w:rsid w:val="00BB6152"/>
    <w:rsid w:val="00BC6F63"/>
    <w:rsid w:val="00BD29B7"/>
    <w:rsid w:val="00BD64AC"/>
    <w:rsid w:val="00BE6E7C"/>
    <w:rsid w:val="00BF19DF"/>
    <w:rsid w:val="00BF504E"/>
    <w:rsid w:val="00C00483"/>
    <w:rsid w:val="00C00F3C"/>
    <w:rsid w:val="00C03D5B"/>
    <w:rsid w:val="00C0462F"/>
    <w:rsid w:val="00C12F39"/>
    <w:rsid w:val="00C13908"/>
    <w:rsid w:val="00C13C50"/>
    <w:rsid w:val="00C15106"/>
    <w:rsid w:val="00C24DE3"/>
    <w:rsid w:val="00C374AD"/>
    <w:rsid w:val="00C37C4B"/>
    <w:rsid w:val="00C455DA"/>
    <w:rsid w:val="00C52B00"/>
    <w:rsid w:val="00C76112"/>
    <w:rsid w:val="00C806B2"/>
    <w:rsid w:val="00C837FA"/>
    <w:rsid w:val="00C915B2"/>
    <w:rsid w:val="00C9449E"/>
    <w:rsid w:val="00C977FD"/>
    <w:rsid w:val="00CA0E92"/>
    <w:rsid w:val="00CA2217"/>
    <w:rsid w:val="00CA7AA0"/>
    <w:rsid w:val="00CB185C"/>
    <w:rsid w:val="00CB5867"/>
    <w:rsid w:val="00CC1E78"/>
    <w:rsid w:val="00CC583E"/>
    <w:rsid w:val="00CE10CC"/>
    <w:rsid w:val="00CE3CCA"/>
    <w:rsid w:val="00CF2044"/>
    <w:rsid w:val="00CF322F"/>
    <w:rsid w:val="00D012BF"/>
    <w:rsid w:val="00D301C4"/>
    <w:rsid w:val="00D75B27"/>
    <w:rsid w:val="00D85088"/>
    <w:rsid w:val="00D92508"/>
    <w:rsid w:val="00D97AE2"/>
    <w:rsid w:val="00DA048D"/>
    <w:rsid w:val="00DA1998"/>
    <w:rsid w:val="00DB2B40"/>
    <w:rsid w:val="00DB79A0"/>
    <w:rsid w:val="00DC6FFE"/>
    <w:rsid w:val="00DD029F"/>
    <w:rsid w:val="00DD4D9A"/>
    <w:rsid w:val="00DD58D4"/>
    <w:rsid w:val="00DE2ED1"/>
    <w:rsid w:val="00DF78D6"/>
    <w:rsid w:val="00E078DB"/>
    <w:rsid w:val="00E13F73"/>
    <w:rsid w:val="00E20E85"/>
    <w:rsid w:val="00E2232A"/>
    <w:rsid w:val="00E25D2B"/>
    <w:rsid w:val="00E33379"/>
    <w:rsid w:val="00E42533"/>
    <w:rsid w:val="00E56393"/>
    <w:rsid w:val="00E601A3"/>
    <w:rsid w:val="00E61216"/>
    <w:rsid w:val="00E66AAC"/>
    <w:rsid w:val="00E73F64"/>
    <w:rsid w:val="00E765B4"/>
    <w:rsid w:val="00E76FC9"/>
    <w:rsid w:val="00E7705A"/>
    <w:rsid w:val="00E7787F"/>
    <w:rsid w:val="00E8591C"/>
    <w:rsid w:val="00E86CAE"/>
    <w:rsid w:val="00E87B64"/>
    <w:rsid w:val="00E94AA5"/>
    <w:rsid w:val="00E96639"/>
    <w:rsid w:val="00EA0B0D"/>
    <w:rsid w:val="00EA0FEF"/>
    <w:rsid w:val="00EC3550"/>
    <w:rsid w:val="00ED5B7E"/>
    <w:rsid w:val="00ED69C9"/>
    <w:rsid w:val="00EE4A12"/>
    <w:rsid w:val="00EE50C4"/>
    <w:rsid w:val="00EF0C74"/>
    <w:rsid w:val="00EF1E87"/>
    <w:rsid w:val="00F01456"/>
    <w:rsid w:val="00F026A8"/>
    <w:rsid w:val="00F15B78"/>
    <w:rsid w:val="00F26CCF"/>
    <w:rsid w:val="00F26D5C"/>
    <w:rsid w:val="00F37D53"/>
    <w:rsid w:val="00F37FA2"/>
    <w:rsid w:val="00F40582"/>
    <w:rsid w:val="00F45BEC"/>
    <w:rsid w:val="00F4785D"/>
    <w:rsid w:val="00F60A7D"/>
    <w:rsid w:val="00F70A9C"/>
    <w:rsid w:val="00F712A4"/>
    <w:rsid w:val="00F74D92"/>
    <w:rsid w:val="00F76FA9"/>
    <w:rsid w:val="00F83DC5"/>
    <w:rsid w:val="00F83E49"/>
    <w:rsid w:val="00F86F77"/>
    <w:rsid w:val="00F90B94"/>
    <w:rsid w:val="00FA0F64"/>
    <w:rsid w:val="00FA4EE1"/>
    <w:rsid w:val="00FA5613"/>
    <w:rsid w:val="00FB2D43"/>
    <w:rsid w:val="00FB5E94"/>
    <w:rsid w:val="00FD2D99"/>
    <w:rsid w:val="00FD4712"/>
    <w:rsid w:val="00FD6607"/>
    <w:rsid w:val="00FE5E02"/>
    <w:rsid w:val="00FF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D0E114"/>
  <w15:chartTrackingRefBased/>
  <w15:docId w15:val="{9B9BA252-BABC-D745-80A0-C46702F4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2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6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6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6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6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6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62C"/>
    <w:rPr>
      <w:rFonts w:eastAsiaTheme="majorEastAsia" w:cstheme="majorBidi"/>
      <w:color w:val="272727" w:themeColor="text1" w:themeTint="D8"/>
    </w:rPr>
  </w:style>
  <w:style w:type="paragraph" w:styleId="Title">
    <w:name w:val="Title"/>
    <w:basedOn w:val="Normal"/>
    <w:next w:val="Normal"/>
    <w:link w:val="TitleChar"/>
    <w:uiPriority w:val="10"/>
    <w:qFormat/>
    <w:rsid w:val="001366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62C"/>
    <w:pPr>
      <w:spacing w:before="160"/>
      <w:jc w:val="center"/>
    </w:pPr>
    <w:rPr>
      <w:i/>
      <w:iCs/>
      <w:color w:val="404040" w:themeColor="text1" w:themeTint="BF"/>
    </w:rPr>
  </w:style>
  <w:style w:type="character" w:customStyle="1" w:styleId="QuoteChar">
    <w:name w:val="Quote Char"/>
    <w:basedOn w:val="DefaultParagraphFont"/>
    <w:link w:val="Quote"/>
    <w:uiPriority w:val="29"/>
    <w:rsid w:val="0013662C"/>
    <w:rPr>
      <w:i/>
      <w:iCs/>
      <w:color w:val="404040" w:themeColor="text1" w:themeTint="BF"/>
    </w:rPr>
  </w:style>
  <w:style w:type="paragraph" w:styleId="ListParagraph">
    <w:name w:val="List Paragraph"/>
    <w:basedOn w:val="Normal"/>
    <w:uiPriority w:val="34"/>
    <w:qFormat/>
    <w:rsid w:val="0013662C"/>
    <w:pPr>
      <w:ind w:left="720"/>
      <w:contextualSpacing/>
    </w:pPr>
  </w:style>
  <w:style w:type="character" w:styleId="IntenseEmphasis">
    <w:name w:val="Intense Emphasis"/>
    <w:basedOn w:val="DefaultParagraphFont"/>
    <w:uiPriority w:val="21"/>
    <w:qFormat/>
    <w:rsid w:val="0013662C"/>
    <w:rPr>
      <w:i/>
      <w:iCs/>
      <w:color w:val="0F4761" w:themeColor="accent1" w:themeShade="BF"/>
    </w:rPr>
  </w:style>
  <w:style w:type="paragraph" w:styleId="IntenseQuote">
    <w:name w:val="Intense Quote"/>
    <w:basedOn w:val="Normal"/>
    <w:next w:val="Normal"/>
    <w:link w:val="IntenseQuoteChar"/>
    <w:uiPriority w:val="30"/>
    <w:qFormat/>
    <w:rsid w:val="00136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62C"/>
    <w:rPr>
      <w:i/>
      <w:iCs/>
      <w:color w:val="0F4761" w:themeColor="accent1" w:themeShade="BF"/>
    </w:rPr>
  </w:style>
  <w:style w:type="character" w:styleId="IntenseReference">
    <w:name w:val="Intense Reference"/>
    <w:basedOn w:val="DefaultParagraphFont"/>
    <w:uiPriority w:val="32"/>
    <w:qFormat/>
    <w:rsid w:val="0013662C"/>
    <w:rPr>
      <w:b/>
      <w:bCs/>
      <w:smallCaps/>
      <w:color w:val="0F4761" w:themeColor="accent1" w:themeShade="BF"/>
      <w:spacing w:val="5"/>
    </w:rPr>
  </w:style>
  <w:style w:type="paragraph" w:styleId="NormalWeb">
    <w:name w:val="Normal (Web)"/>
    <w:basedOn w:val="Normal"/>
    <w:uiPriority w:val="99"/>
    <w:semiHidden/>
    <w:unhideWhenUsed/>
    <w:rsid w:val="003E55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Paolo Bolognese</dc:creator>
  <cp:keywords/>
  <dc:description/>
  <cp:lastModifiedBy>Paolo Bolognese</cp:lastModifiedBy>
  <cp:revision>3</cp:revision>
  <dcterms:created xsi:type="dcterms:W3CDTF">2025-08-13T13:13:00Z</dcterms:created>
  <dcterms:modified xsi:type="dcterms:W3CDTF">2025-08-19T01:13:00Z</dcterms:modified>
</cp:coreProperties>
</file>