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A5372" w14:textId="048D8A71" w:rsidR="00C36833" w:rsidRPr="005F5438" w:rsidRDefault="00A472A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F5438">
        <w:rPr>
          <w:rFonts w:ascii="Times New Roman" w:hAnsi="Times New Roman" w:cs="Times New Roman"/>
          <w:b/>
          <w:bCs/>
          <w:sz w:val="28"/>
          <w:szCs w:val="28"/>
        </w:rPr>
        <w:t>Supplementary</w:t>
      </w:r>
      <w:r w:rsidR="007F004A" w:rsidRPr="005F543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9129E" w:rsidRPr="005F5438">
        <w:rPr>
          <w:rFonts w:ascii="Times New Roman" w:hAnsi="Times New Roman" w:cs="Times New Roman"/>
          <w:b/>
          <w:bCs/>
          <w:sz w:val="28"/>
          <w:szCs w:val="28"/>
        </w:rPr>
        <w:t>Information</w:t>
      </w:r>
    </w:p>
    <w:p w14:paraId="647E0EFF" w14:textId="77777777" w:rsidR="0069129E" w:rsidRPr="005F5438" w:rsidRDefault="0069129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C7102FF" w14:textId="77777777" w:rsidR="00D44F83" w:rsidRPr="005F5438" w:rsidRDefault="00D44F83" w:rsidP="00D44F83">
      <w:pPr>
        <w:spacing w:line="276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en-GB"/>
        </w:rPr>
      </w:pPr>
      <w:r w:rsidRPr="005F5438">
        <w:rPr>
          <w:rFonts w:asciiTheme="majorBidi" w:hAnsiTheme="majorBidi" w:cstheme="majorBidi"/>
          <w:b/>
          <w:bCs/>
          <w:sz w:val="28"/>
          <w:szCs w:val="28"/>
          <w:lang w:val="en-GB"/>
        </w:rPr>
        <w:t>Modulating MoS</w:t>
      </w:r>
      <w:r w:rsidRPr="005F5438">
        <w:rPr>
          <w:rFonts w:asciiTheme="majorBidi" w:hAnsiTheme="majorBidi" w:cstheme="majorBidi"/>
          <w:b/>
          <w:bCs/>
          <w:sz w:val="28"/>
          <w:szCs w:val="28"/>
          <w:vertAlign w:val="subscript"/>
          <w:lang w:val="en-GB"/>
        </w:rPr>
        <w:t xml:space="preserve">2 </w:t>
      </w:r>
      <w:r w:rsidRPr="005F5438">
        <w:rPr>
          <w:rFonts w:asciiTheme="majorBidi" w:hAnsiTheme="majorBidi" w:cstheme="majorBidi"/>
          <w:b/>
          <w:bCs/>
          <w:sz w:val="28"/>
          <w:szCs w:val="28"/>
          <w:lang w:val="en-GB"/>
        </w:rPr>
        <w:t>Conductivity through Nitrogen Doping: A Spray-Coating Approach to P-Type 2D Semiconductors</w:t>
      </w:r>
    </w:p>
    <w:p w14:paraId="468CED51" w14:textId="77777777" w:rsidR="00D44F83" w:rsidRPr="005F5438" w:rsidRDefault="00D44F83" w:rsidP="00D44F83">
      <w:pPr>
        <w:spacing w:line="276" w:lineRule="auto"/>
        <w:jc w:val="center"/>
        <w:rPr>
          <w:rFonts w:asciiTheme="majorBidi" w:hAnsiTheme="majorBidi" w:cstheme="majorBidi"/>
          <w:b/>
          <w:bCs/>
          <w:lang w:val="en-GB"/>
        </w:rPr>
      </w:pPr>
    </w:p>
    <w:p w14:paraId="27791FDC" w14:textId="77777777" w:rsidR="00D44F83" w:rsidRPr="005F5438" w:rsidRDefault="00D44F83" w:rsidP="00D44F83">
      <w:pPr>
        <w:spacing w:line="360" w:lineRule="auto"/>
        <w:jc w:val="center"/>
        <w:rPr>
          <w:rFonts w:asciiTheme="majorBidi" w:hAnsiTheme="majorBidi" w:cstheme="majorBidi"/>
          <w:lang w:val="en-GB"/>
        </w:rPr>
      </w:pPr>
      <w:r w:rsidRPr="005F5438">
        <w:rPr>
          <w:rFonts w:asciiTheme="majorBidi" w:hAnsiTheme="majorBidi" w:cstheme="majorBidi"/>
          <w:lang w:val="en-GB"/>
        </w:rPr>
        <w:t>Thomas Vicart</w:t>
      </w:r>
      <w:r w:rsidRPr="005F5438">
        <w:rPr>
          <w:rFonts w:asciiTheme="majorBidi" w:hAnsiTheme="majorBidi" w:cstheme="majorBidi"/>
          <w:vertAlign w:val="superscript"/>
          <w:lang w:val="en-GB"/>
        </w:rPr>
        <w:t>1,2</w:t>
      </w:r>
      <w:r w:rsidRPr="005F5438">
        <w:rPr>
          <w:rFonts w:asciiTheme="majorBidi" w:hAnsiTheme="majorBidi" w:cstheme="majorBidi"/>
          <w:lang w:val="en-GB"/>
        </w:rPr>
        <w:t>, Youssef Doubi</w:t>
      </w:r>
      <w:r w:rsidRPr="005F5438">
        <w:rPr>
          <w:rFonts w:asciiTheme="majorBidi" w:hAnsiTheme="majorBidi" w:cstheme="majorBidi"/>
          <w:vertAlign w:val="superscript"/>
          <w:lang w:val="en-GB"/>
        </w:rPr>
        <w:t>1</w:t>
      </w:r>
      <w:r w:rsidRPr="005F5438">
        <w:rPr>
          <w:rFonts w:asciiTheme="majorBidi" w:hAnsiTheme="majorBidi" w:cstheme="majorBidi"/>
          <w:lang w:val="en-GB"/>
        </w:rPr>
        <w:t>, Bouchra Asbani</w:t>
      </w:r>
      <w:r w:rsidRPr="005F5438">
        <w:rPr>
          <w:rFonts w:asciiTheme="majorBidi" w:hAnsiTheme="majorBidi" w:cstheme="majorBidi"/>
          <w:vertAlign w:val="superscript"/>
          <w:lang w:val="en-GB"/>
        </w:rPr>
        <w:t>1</w:t>
      </w:r>
      <w:r w:rsidRPr="005F5438">
        <w:rPr>
          <w:rFonts w:asciiTheme="majorBidi" w:hAnsiTheme="majorBidi" w:cstheme="majorBidi"/>
          <w:lang w:val="en-GB"/>
        </w:rPr>
        <w:t>, Nitul Rajput</w:t>
      </w:r>
      <w:r w:rsidRPr="005F5438">
        <w:rPr>
          <w:rFonts w:asciiTheme="majorBidi" w:hAnsiTheme="majorBidi" w:cstheme="majorBidi"/>
          <w:vertAlign w:val="superscript"/>
          <w:lang w:val="en-GB"/>
        </w:rPr>
        <w:t>3</w:t>
      </w:r>
      <w:r w:rsidRPr="005F5438">
        <w:rPr>
          <w:rFonts w:asciiTheme="majorBidi" w:hAnsiTheme="majorBidi" w:cstheme="majorBidi"/>
          <w:lang w:val="en-GB"/>
        </w:rPr>
        <w:t>, Ahmed Kotbi</w:t>
      </w:r>
      <w:r w:rsidRPr="005F5438">
        <w:rPr>
          <w:rFonts w:asciiTheme="majorBidi" w:hAnsiTheme="majorBidi" w:cstheme="majorBidi"/>
          <w:vertAlign w:val="superscript"/>
          <w:lang w:val="en-GB"/>
        </w:rPr>
        <w:t>1</w:t>
      </w:r>
      <w:r w:rsidRPr="005F5438">
        <w:rPr>
          <w:rFonts w:asciiTheme="majorBidi" w:hAnsiTheme="majorBidi" w:cstheme="majorBidi"/>
          <w:lang w:val="en-GB"/>
        </w:rPr>
        <w:t>, Mimoun El Marssi</w:t>
      </w:r>
      <w:r w:rsidRPr="005F5438">
        <w:rPr>
          <w:rFonts w:asciiTheme="majorBidi" w:hAnsiTheme="majorBidi" w:cstheme="majorBidi"/>
          <w:vertAlign w:val="superscript"/>
          <w:lang w:val="en-GB"/>
        </w:rPr>
        <w:t>1</w:t>
      </w:r>
      <w:r w:rsidRPr="005F5438">
        <w:rPr>
          <w:rFonts w:asciiTheme="majorBidi" w:hAnsiTheme="majorBidi" w:cstheme="majorBidi"/>
          <w:lang w:val="en-GB"/>
        </w:rPr>
        <w:t>, My Ali EL Khakani</w:t>
      </w:r>
      <w:r w:rsidRPr="005F5438">
        <w:rPr>
          <w:rFonts w:asciiTheme="majorBidi" w:hAnsiTheme="majorBidi" w:cstheme="majorBidi"/>
          <w:vertAlign w:val="superscript"/>
          <w:lang w:val="en-GB"/>
        </w:rPr>
        <w:t>2</w:t>
      </w:r>
      <w:r w:rsidRPr="005F5438">
        <w:rPr>
          <w:rFonts w:asciiTheme="majorBidi" w:hAnsiTheme="majorBidi" w:cstheme="majorBidi"/>
          <w:lang w:val="en-GB"/>
        </w:rPr>
        <w:t>, Mustapha Jouiad</w:t>
      </w:r>
      <w:proofErr w:type="gramStart"/>
      <w:r w:rsidRPr="005F5438">
        <w:rPr>
          <w:rFonts w:asciiTheme="majorBidi" w:hAnsiTheme="majorBidi" w:cstheme="majorBidi"/>
          <w:vertAlign w:val="superscript"/>
          <w:lang w:val="en-GB"/>
        </w:rPr>
        <w:t>1,*</w:t>
      </w:r>
      <w:proofErr w:type="gramEnd"/>
    </w:p>
    <w:p w14:paraId="6CC7EFD2" w14:textId="77777777" w:rsidR="00D44F83" w:rsidRPr="005F5438" w:rsidRDefault="00D44F83" w:rsidP="00D44F83">
      <w:pPr>
        <w:spacing w:after="0" w:line="276" w:lineRule="auto"/>
        <w:ind w:right="185"/>
        <w:jc w:val="both"/>
        <w:rPr>
          <w:rFonts w:asciiTheme="majorBidi" w:hAnsiTheme="majorBidi" w:cstheme="majorBidi"/>
          <w:i/>
          <w:iCs/>
          <w:sz w:val="20"/>
          <w:szCs w:val="20"/>
          <w:lang w:val="fr-FR"/>
        </w:rPr>
      </w:pPr>
      <w:r w:rsidRPr="005F5438">
        <w:rPr>
          <w:rFonts w:asciiTheme="majorBidi" w:hAnsiTheme="majorBidi" w:cstheme="majorBidi"/>
          <w:i/>
          <w:iCs/>
          <w:sz w:val="20"/>
          <w:szCs w:val="20"/>
          <w:vertAlign w:val="superscript"/>
          <w:lang w:val="fr-FR"/>
        </w:rPr>
        <w:t>1</w:t>
      </w:r>
      <w:r w:rsidRPr="005F5438">
        <w:rPr>
          <w:rFonts w:asciiTheme="majorBidi" w:hAnsiTheme="majorBidi" w:cstheme="majorBidi"/>
          <w:i/>
          <w:iCs/>
          <w:sz w:val="20"/>
          <w:szCs w:val="20"/>
          <w:lang w:val="fr-FR"/>
        </w:rPr>
        <w:t xml:space="preserve">Laboratory of </w:t>
      </w:r>
      <w:proofErr w:type="spellStart"/>
      <w:r w:rsidRPr="005F5438">
        <w:rPr>
          <w:rFonts w:asciiTheme="majorBidi" w:hAnsiTheme="majorBidi" w:cstheme="majorBidi"/>
          <w:i/>
          <w:iCs/>
          <w:sz w:val="20"/>
          <w:szCs w:val="20"/>
          <w:lang w:val="fr-FR"/>
        </w:rPr>
        <w:t>Physics</w:t>
      </w:r>
      <w:proofErr w:type="spellEnd"/>
      <w:r w:rsidRPr="005F5438">
        <w:rPr>
          <w:rFonts w:asciiTheme="majorBidi" w:hAnsiTheme="majorBidi" w:cstheme="majorBidi"/>
          <w:i/>
          <w:iCs/>
          <w:sz w:val="20"/>
          <w:szCs w:val="20"/>
          <w:lang w:val="fr-FR"/>
        </w:rPr>
        <w:t xml:space="preserve"> of Condensed </w:t>
      </w:r>
      <w:proofErr w:type="spellStart"/>
      <w:r w:rsidRPr="005F5438">
        <w:rPr>
          <w:rFonts w:asciiTheme="majorBidi" w:hAnsiTheme="majorBidi" w:cstheme="majorBidi"/>
          <w:i/>
          <w:iCs/>
          <w:sz w:val="20"/>
          <w:szCs w:val="20"/>
          <w:lang w:val="fr-FR"/>
        </w:rPr>
        <w:t>Matter</w:t>
      </w:r>
      <w:proofErr w:type="spellEnd"/>
      <w:r w:rsidRPr="005F5438">
        <w:rPr>
          <w:rFonts w:asciiTheme="majorBidi" w:hAnsiTheme="majorBidi" w:cstheme="majorBidi"/>
          <w:i/>
          <w:iCs/>
          <w:sz w:val="20"/>
          <w:szCs w:val="20"/>
          <w:lang w:val="fr-FR"/>
        </w:rPr>
        <w:t xml:space="preserve">, </w:t>
      </w:r>
      <w:proofErr w:type="spellStart"/>
      <w:r w:rsidRPr="005F5438">
        <w:rPr>
          <w:rFonts w:asciiTheme="majorBidi" w:hAnsiTheme="majorBidi" w:cstheme="majorBidi"/>
          <w:i/>
          <w:iCs/>
          <w:sz w:val="20"/>
          <w:szCs w:val="20"/>
          <w:lang w:val="fr-FR"/>
        </w:rPr>
        <w:t>University</w:t>
      </w:r>
      <w:proofErr w:type="spellEnd"/>
      <w:r w:rsidRPr="005F5438">
        <w:rPr>
          <w:rFonts w:asciiTheme="majorBidi" w:hAnsiTheme="majorBidi" w:cstheme="majorBidi"/>
          <w:i/>
          <w:iCs/>
          <w:sz w:val="20"/>
          <w:szCs w:val="20"/>
          <w:lang w:val="fr-FR"/>
        </w:rPr>
        <w:t xml:space="preserve"> of Picardie Jules Verne, Scientific Pole, 33 rue Saint-Leu, 80039 Amiens Cedex 1, France, France</w:t>
      </w:r>
    </w:p>
    <w:p w14:paraId="4D482E45" w14:textId="77777777" w:rsidR="00D44F83" w:rsidRPr="005F5438" w:rsidRDefault="00D44F83" w:rsidP="00D44F83">
      <w:pPr>
        <w:spacing w:after="0" w:line="276" w:lineRule="auto"/>
        <w:ind w:right="185"/>
        <w:jc w:val="both"/>
        <w:rPr>
          <w:rFonts w:asciiTheme="majorBidi" w:hAnsiTheme="majorBidi" w:cstheme="majorBidi"/>
          <w:i/>
          <w:iCs/>
          <w:sz w:val="20"/>
          <w:szCs w:val="20"/>
          <w:lang w:val="fr-FR"/>
        </w:rPr>
      </w:pPr>
      <w:r w:rsidRPr="005F5438">
        <w:rPr>
          <w:rFonts w:asciiTheme="majorBidi" w:hAnsiTheme="majorBidi" w:cstheme="majorBidi"/>
          <w:i/>
          <w:iCs/>
          <w:sz w:val="20"/>
          <w:szCs w:val="20"/>
          <w:vertAlign w:val="superscript"/>
          <w:lang w:val="fr-FR"/>
        </w:rPr>
        <w:t>2</w:t>
      </w:r>
      <w:r w:rsidRPr="005F5438">
        <w:rPr>
          <w:rFonts w:asciiTheme="majorBidi" w:hAnsiTheme="majorBidi" w:cstheme="majorBidi"/>
          <w:i/>
          <w:iCs/>
          <w:sz w:val="20"/>
          <w:szCs w:val="20"/>
          <w:lang w:val="fr-FR"/>
        </w:rPr>
        <w:t xml:space="preserve">Institut National de la Recherche Scientifique, Centre-Energie, Matériaux et Télécommunications, 1650, Blvd, Lionel–Boulet, Varennes, QC J3X-1P7, Canada </w:t>
      </w:r>
    </w:p>
    <w:p w14:paraId="6523E4F5" w14:textId="77777777" w:rsidR="00D44F83" w:rsidRPr="005F5438" w:rsidRDefault="00D44F83" w:rsidP="00D44F83">
      <w:pPr>
        <w:spacing w:line="276" w:lineRule="auto"/>
        <w:ind w:right="185"/>
        <w:jc w:val="both"/>
        <w:rPr>
          <w:rFonts w:asciiTheme="majorBidi" w:hAnsiTheme="majorBidi" w:cstheme="majorBidi"/>
          <w:i/>
          <w:iCs/>
          <w:sz w:val="20"/>
          <w:szCs w:val="20"/>
        </w:rPr>
      </w:pPr>
      <w:r w:rsidRPr="005F5438">
        <w:rPr>
          <w:rFonts w:asciiTheme="majorBidi" w:hAnsiTheme="majorBidi" w:cstheme="majorBidi"/>
          <w:i/>
          <w:iCs/>
          <w:sz w:val="20"/>
          <w:szCs w:val="20"/>
          <w:vertAlign w:val="superscript"/>
        </w:rPr>
        <w:t>3</w:t>
      </w:r>
      <w:r w:rsidRPr="005F5438">
        <w:rPr>
          <w:rFonts w:asciiTheme="majorBidi" w:hAnsiTheme="majorBidi" w:cstheme="majorBidi"/>
          <w:i/>
          <w:iCs/>
          <w:sz w:val="20"/>
          <w:szCs w:val="20"/>
        </w:rPr>
        <w:t>Advanced Materials Research Center, Technology Innovation Institute, P.O. Box 9639, Abu Dhabi, UAE</w:t>
      </w:r>
    </w:p>
    <w:p w14:paraId="2D136751" w14:textId="77777777" w:rsidR="00D44F83" w:rsidRPr="005F5438" w:rsidRDefault="00D44F83" w:rsidP="00D44F83">
      <w:pPr>
        <w:jc w:val="both"/>
        <w:rPr>
          <w:rFonts w:asciiTheme="majorBidi" w:hAnsiTheme="majorBidi" w:cstheme="majorBidi"/>
          <w:i/>
          <w:iCs/>
          <w:sz w:val="20"/>
          <w:szCs w:val="20"/>
          <w:lang w:val="en-CA"/>
        </w:rPr>
      </w:pPr>
    </w:p>
    <w:p w14:paraId="5C6F5FDF" w14:textId="77777777" w:rsidR="00D44F83" w:rsidRPr="005F5438" w:rsidRDefault="00D44F83" w:rsidP="00D44F83">
      <w:pPr>
        <w:jc w:val="both"/>
        <w:rPr>
          <w:rFonts w:asciiTheme="majorBidi" w:hAnsiTheme="majorBidi" w:cstheme="majorBidi"/>
          <w:i/>
          <w:iCs/>
          <w:sz w:val="20"/>
          <w:szCs w:val="20"/>
        </w:rPr>
      </w:pPr>
      <w:r w:rsidRPr="005F5438">
        <w:rPr>
          <w:rFonts w:asciiTheme="majorBidi" w:hAnsiTheme="majorBidi" w:cstheme="majorBidi"/>
          <w:i/>
          <w:iCs/>
          <w:sz w:val="20"/>
          <w:szCs w:val="20"/>
        </w:rPr>
        <w:t>Corresponding author: mustapha.jouiad@u-picardie.fr</w:t>
      </w:r>
    </w:p>
    <w:p w14:paraId="68C01CE8" w14:textId="77777777" w:rsidR="0069129E" w:rsidRPr="005F5438" w:rsidRDefault="0069129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6D759A3" w14:textId="77777777" w:rsidR="007F004A" w:rsidRPr="005F5438" w:rsidRDefault="007F004A"/>
    <w:p w14:paraId="2F714EE0" w14:textId="32614461" w:rsidR="002E0B18" w:rsidRPr="005F5438" w:rsidRDefault="002E0B18" w:rsidP="002E0B18">
      <w:pPr>
        <w:pStyle w:val="NormalWeb"/>
      </w:pPr>
      <w:r w:rsidRPr="005F5438">
        <w:rPr>
          <w:noProof/>
        </w:rPr>
        <w:drawing>
          <wp:inline distT="0" distB="0" distL="0" distR="0" wp14:anchorId="10A89BE5" wp14:editId="1F2D92B1">
            <wp:extent cx="5760720" cy="3332480"/>
            <wp:effectExtent l="0" t="0" r="0" b="127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3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EA38C1" w14:textId="77777777" w:rsidR="00A472A9" w:rsidRPr="005F5438" w:rsidRDefault="00A472A9" w:rsidP="00060B0E">
      <w:pPr>
        <w:jc w:val="both"/>
      </w:pPr>
    </w:p>
    <w:p w14:paraId="3992CA8C" w14:textId="7F5FB2CD" w:rsidR="00A472A9" w:rsidRPr="005F5438" w:rsidRDefault="007C1498" w:rsidP="00060B0E">
      <w:pPr>
        <w:spacing w:line="360" w:lineRule="auto"/>
        <w:jc w:val="both"/>
        <w:rPr>
          <w:rFonts w:asciiTheme="majorBidi" w:eastAsia="Times New Roman" w:hAnsiTheme="majorBidi" w:cstheme="majorBidi"/>
          <w:color w:val="000000"/>
          <w:kern w:val="0"/>
          <w:sz w:val="20"/>
          <w:szCs w:val="20"/>
          <w14:ligatures w14:val="none"/>
        </w:rPr>
      </w:pPr>
      <w:r w:rsidRPr="005F5438">
        <w:rPr>
          <w:rFonts w:asciiTheme="majorBidi" w:eastAsia="Times New Roman" w:hAnsiTheme="majorBidi" w:cstheme="majorBidi"/>
          <w:b/>
          <w:bCs/>
          <w:color w:val="000000"/>
          <w:kern w:val="0"/>
          <w:sz w:val="20"/>
          <w:szCs w:val="20"/>
          <w:lang w:val="en-GB"/>
          <w14:ligatures w14:val="none"/>
        </w:rPr>
        <w:t>Fig</w:t>
      </w:r>
      <w:r w:rsidR="00BE0895" w:rsidRPr="005F5438">
        <w:rPr>
          <w:rFonts w:asciiTheme="majorBidi" w:eastAsia="Times New Roman" w:hAnsiTheme="majorBidi" w:cstheme="majorBidi"/>
          <w:b/>
          <w:bCs/>
          <w:color w:val="000000"/>
          <w:kern w:val="0"/>
          <w:sz w:val="20"/>
          <w:szCs w:val="20"/>
          <w:lang w:val="en-GB"/>
          <w14:ligatures w14:val="none"/>
        </w:rPr>
        <w:t>ure</w:t>
      </w:r>
      <w:r w:rsidRPr="005F5438">
        <w:rPr>
          <w:rFonts w:asciiTheme="majorBidi" w:eastAsia="Times New Roman" w:hAnsiTheme="majorBidi" w:cstheme="majorBidi"/>
          <w:b/>
          <w:bCs/>
          <w:color w:val="000000"/>
          <w:kern w:val="0"/>
          <w:sz w:val="20"/>
          <w:szCs w:val="20"/>
          <w:lang w:val="en-GB"/>
          <w14:ligatures w14:val="none"/>
        </w:rPr>
        <w:t xml:space="preserve"> S1</w:t>
      </w:r>
      <w:r w:rsidR="00060B0E" w:rsidRPr="005F5438">
        <w:rPr>
          <w:rFonts w:asciiTheme="majorBidi" w:eastAsia="Times New Roman" w:hAnsiTheme="majorBidi" w:cstheme="majorBidi"/>
          <w:b/>
          <w:bCs/>
          <w:color w:val="000000"/>
          <w:kern w:val="0"/>
          <w:sz w:val="20"/>
          <w:szCs w:val="20"/>
          <w:lang w:val="en-GB"/>
          <w14:ligatures w14:val="none"/>
        </w:rPr>
        <w:t>.</w:t>
      </w:r>
      <w:r w:rsidR="00060B0E" w:rsidRPr="005F5438">
        <w:rPr>
          <w:rFonts w:asciiTheme="majorBidi" w:eastAsia="Times New Roman" w:hAnsiTheme="majorBidi" w:cstheme="majorBidi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r w:rsidR="00060B0E" w:rsidRPr="005F5438">
        <w:rPr>
          <w:rFonts w:asciiTheme="majorBidi" w:eastAsia="Times New Roman" w:hAnsiTheme="majorBidi" w:cstheme="majorBidi"/>
          <w:color w:val="000000"/>
          <w:kern w:val="0"/>
          <w:sz w:val="20"/>
          <w:szCs w:val="20"/>
          <w14:ligatures w14:val="none"/>
        </w:rPr>
        <w:t>Experimental process for MoS</w:t>
      </w:r>
      <w:r w:rsidR="00060B0E" w:rsidRPr="005F5438">
        <w:rPr>
          <w:rFonts w:asciiTheme="majorBidi" w:eastAsia="Times New Roman" w:hAnsiTheme="majorBidi" w:cstheme="majorBidi"/>
          <w:color w:val="000000"/>
          <w:kern w:val="0"/>
          <w:sz w:val="20"/>
          <w:szCs w:val="20"/>
          <w:vertAlign w:val="subscript"/>
          <w14:ligatures w14:val="none"/>
        </w:rPr>
        <w:t>2</w:t>
      </w:r>
      <w:r w:rsidR="00060B0E" w:rsidRPr="005F5438">
        <w:rPr>
          <w:rFonts w:asciiTheme="majorBidi" w:eastAsia="Times New Roman" w:hAnsiTheme="majorBidi" w:cstheme="majorBidi"/>
          <w:color w:val="000000"/>
          <w:kern w:val="0"/>
          <w:sz w:val="20"/>
          <w:szCs w:val="20"/>
          <w14:ligatures w14:val="none"/>
        </w:rPr>
        <w:t xml:space="preserve"> based device fabrication.</w:t>
      </w:r>
      <w:r w:rsidR="00060B0E" w:rsidRPr="005F5438">
        <w:rPr>
          <w:rFonts w:asciiTheme="majorBidi" w:eastAsia="Times New Roman" w:hAnsiTheme="majorBidi" w:cstheme="majorBidi"/>
          <w:color w:val="000000"/>
          <w:kern w:val="0"/>
          <w:sz w:val="20"/>
          <w:szCs w:val="20"/>
          <w:lang w:val="en-GB"/>
          <w14:ligatures w14:val="none"/>
        </w:rPr>
        <w:t xml:space="preserve"> (a) Schematic representation of the spray coating system used for the synthesis of MoS₂. (b) Device fabrication setup involving ion</w:t>
      </w:r>
      <w:r w:rsidR="002F4AAB" w:rsidRPr="005F5438">
        <w:rPr>
          <w:rFonts w:asciiTheme="majorBidi" w:eastAsia="Times New Roman" w:hAnsiTheme="majorBidi" w:cstheme="majorBidi"/>
          <w:color w:val="000000"/>
          <w:kern w:val="0"/>
          <w:sz w:val="20"/>
          <w:szCs w:val="20"/>
          <w:lang w:val="en-GB"/>
          <w14:ligatures w14:val="none"/>
        </w:rPr>
        <w:t>s</w:t>
      </w:r>
      <w:r w:rsidR="00060B0E" w:rsidRPr="005F5438">
        <w:rPr>
          <w:rFonts w:asciiTheme="majorBidi" w:eastAsia="Times New Roman" w:hAnsiTheme="majorBidi" w:cstheme="majorBidi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r w:rsidR="002F4AAB" w:rsidRPr="005F5438">
        <w:rPr>
          <w:rFonts w:asciiTheme="majorBidi" w:eastAsia="Times New Roman" w:hAnsiTheme="majorBidi" w:cstheme="majorBidi"/>
          <w:color w:val="000000"/>
          <w:kern w:val="0"/>
          <w:sz w:val="20"/>
          <w:szCs w:val="20"/>
          <w:lang w:val="en-GB"/>
          <w14:ligatures w14:val="none"/>
        </w:rPr>
        <w:t xml:space="preserve">beam </w:t>
      </w:r>
      <w:r w:rsidR="00060B0E" w:rsidRPr="005F5438">
        <w:rPr>
          <w:rFonts w:asciiTheme="majorBidi" w:eastAsia="Times New Roman" w:hAnsiTheme="majorBidi" w:cstheme="majorBidi"/>
          <w:color w:val="000000"/>
          <w:kern w:val="0"/>
          <w:sz w:val="20"/>
          <w:szCs w:val="20"/>
          <w:lang w:val="en-GB"/>
          <w14:ligatures w14:val="none"/>
        </w:rPr>
        <w:t xml:space="preserve">deposition (PECS II – Model 685) </w:t>
      </w:r>
      <w:r w:rsidR="002F4AAB" w:rsidRPr="005F5438">
        <w:rPr>
          <w:rFonts w:asciiTheme="majorBidi" w:eastAsia="Times New Roman" w:hAnsiTheme="majorBidi" w:cstheme="majorBidi"/>
          <w:color w:val="000000"/>
          <w:kern w:val="0"/>
          <w:sz w:val="20"/>
          <w:szCs w:val="20"/>
          <w:lang w:val="en-GB"/>
          <w14:ligatures w14:val="none"/>
        </w:rPr>
        <w:t>of</w:t>
      </w:r>
      <w:r w:rsidR="00060B0E" w:rsidRPr="005F5438">
        <w:rPr>
          <w:rFonts w:asciiTheme="majorBidi" w:eastAsia="Times New Roman" w:hAnsiTheme="majorBidi" w:cstheme="majorBidi"/>
          <w:color w:val="000000"/>
          <w:kern w:val="0"/>
          <w:sz w:val="20"/>
          <w:szCs w:val="20"/>
          <w:lang w:val="en-GB"/>
          <w14:ligatures w14:val="none"/>
        </w:rPr>
        <w:t xml:space="preserve"> Pt electrodes, </w:t>
      </w:r>
      <w:r w:rsidR="00060B0E" w:rsidRPr="005F5438">
        <w:rPr>
          <w:rFonts w:asciiTheme="majorBidi" w:eastAsia="Times New Roman" w:hAnsiTheme="majorBidi" w:cstheme="majorBidi"/>
          <w:color w:val="000000"/>
          <w:kern w:val="0"/>
          <w:sz w:val="20"/>
          <w:szCs w:val="20"/>
          <w14:ligatures w14:val="none"/>
        </w:rPr>
        <w:t>followed by the assembly of the MoS</w:t>
      </w:r>
      <w:r w:rsidR="00060B0E" w:rsidRPr="005F5438">
        <w:rPr>
          <w:rFonts w:asciiTheme="majorBidi" w:eastAsia="Times New Roman" w:hAnsiTheme="majorBidi" w:cstheme="majorBidi"/>
          <w:color w:val="000000"/>
          <w:kern w:val="0"/>
          <w:sz w:val="20"/>
          <w:szCs w:val="20"/>
          <w:vertAlign w:val="subscript"/>
          <w14:ligatures w14:val="none"/>
        </w:rPr>
        <w:t>2</w:t>
      </w:r>
      <w:r w:rsidR="00060B0E" w:rsidRPr="005F5438">
        <w:rPr>
          <w:rFonts w:asciiTheme="majorBidi" w:eastAsia="Times New Roman" w:hAnsiTheme="majorBidi" w:cstheme="majorBidi"/>
          <w:color w:val="000000"/>
          <w:kern w:val="0"/>
          <w:sz w:val="20"/>
          <w:szCs w:val="20"/>
          <w14:ligatures w14:val="none"/>
        </w:rPr>
        <w:t xml:space="preserve"> based </w:t>
      </w:r>
      <w:r w:rsidR="006E7929" w:rsidRPr="005F5438">
        <w:rPr>
          <w:rFonts w:asciiTheme="majorBidi" w:eastAsia="Times New Roman" w:hAnsiTheme="majorBidi" w:cstheme="majorBidi"/>
          <w:color w:val="000000"/>
          <w:kern w:val="0"/>
          <w:sz w:val="20"/>
          <w:szCs w:val="20"/>
          <w14:ligatures w14:val="none"/>
        </w:rPr>
        <w:t>Field Effect Transistor (</w:t>
      </w:r>
      <w:r w:rsidR="00060B0E" w:rsidRPr="005F5438">
        <w:rPr>
          <w:rFonts w:asciiTheme="majorBidi" w:eastAsia="Times New Roman" w:hAnsiTheme="majorBidi" w:cstheme="majorBidi"/>
          <w:color w:val="000000"/>
          <w:kern w:val="0"/>
          <w:sz w:val="20"/>
          <w:szCs w:val="20"/>
          <w14:ligatures w14:val="none"/>
        </w:rPr>
        <w:t>FET</w:t>
      </w:r>
      <w:r w:rsidR="006E7929" w:rsidRPr="005F5438">
        <w:rPr>
          <w:rFonts w:asciiTheme="majorBidi" w:eastAsia="Times New Roman" w:hAnsiTheme="majorBidi" w:cstheme="majorBidi"/>
          <w:color w:val="000000"/>
          <w:kern w:val="0"/>
          <w:sz w:val="20"/>
          <w:szCs w:val="20"/>
          <w14:ligatures w14:val="none"/>
        </w:rPr>
        <w:t>)</w:t>
      </w:r>
      <w:r w:rsidR="00060B0E" w:rsidRPr="005F5438">
        <w:rPr>
          <w:rFonts w:asciiTheme="majorBidi" w:eastAsia="Times New Roman" w:hAnsiTheme="majorBidi" w:cstheme="majorBidi"/>
          <w:color w:val="000000"/>
          <w:kern w:val="0"/>
          <w:sz w:val="20"/>
          <w:szCs w:val="20"/>
          <w14:ligatures w14:val="none"/>
        </w:rPr>
        <w:t>.</w:t>
      </w:r>
    </w:p>
    <w:p w14:paraId="3A0F1C31" w14:textId="77777777" w:rsidR="001734F1" w:rsidRPr="005F5438" w:rsidRDefault="001734F1" w:rsidP="001734F1">
      <w:pPr>
        <w:spacing w:line="276" w:lineRule="auto"/>
        <w:jc w:val="both"/>
        <w:rPr>
          <w:rFonts w:asciiTheme="majorBidi" w:hAnsiTheme="majorBidi" w:cstheme="majorBidi"/>
          <w:color w:val="156082" w:themeColor="accent1"/>
        </w:rPr>
      </w:pPr>
      <w:r w:rsidRPr="005F5438">
        <w:rPr>
          <w:noProof/>
        </w:rPr>
        <w:lastRenderedPageBreak/>
        <w:drawing>
          <wp:inline distT="0" distB="0" distL="0" distR="0" wp14:anchorId="13FF1A98" wp14:editId="3CAC0605">
            <wp:extent cx="5725160" cy="2166604"/>
            <wp:effectExtent l="0" t="0" r="0" b="0"/>
            <wp:docPr id="976059163" name="Image 2" descr="Une image contenant capture d’écran, pixel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059163" name="Image 2" descr="Une image contenant capture d’écran, pixel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645" cy="2176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B96907" w14:textId="29423268" w:rsidR="001734F1" w:rsidRPr="005F5438" w:rsidRDefault="001734F1" w:rsidP="001734F1">
      <w:pPr>
        <w:spacing w:line="276" w:lineRule="auto"/>
        <w:jc w:val="both"/>
        <w:rPr>
          <w:rFonts w:asciiTheme="majorBidi" w:hAnsiTheme="majorBidi" w:cstheme="majorBidi"/>
        </w:rPr>
      </w:pPr>
      <w:r w:rsidRPr="005F5438">
        <w:rPr>
          <w:rFonts w:ascii="Times New Roman" w:hAnsi="Times New Roman" w:cs="Times New Roman"/>
          <w:b/>
          <w:bCs/>
          <w:sz w:val="20"/>
          <w:szCs w:val="20"/>
        </w:rPr>
        <w:t>Figure S</w:t>
      </w:r>
      <w:r w:rsidRPr="005F5438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5F5438">
        <w:rPr>
          <w:rFonts w:ascii="Times New Roman" w:hAnsi="Times New Roman" w:cs="Times New Roman"/>
          <w:sz w:val="20"/>
          <w:szCs w:val="20"/>
        </w:rPr>
        <w:t xml:space="preserve"> Distribution of grain size in MoS</w:t>
      </w:r>
      <w:r w:rsidRPr="005F5438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5F5438">
        <w:rPr>
          <w:rFonts w:ascii="Times New Roman" w:hAnsi="Times New Roman" w:cs="Times New Roman"/>
          <w:sz w:val="20"/>
          <w:szCs w:val="20"/>
        </w:rPr>
        <w:t xml:space="preserve"> thin films: a) Pristine MoS</w:t>
      </w:r>
      <w:r w:rsidRPr="005F5438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5F5438">
        <w:rPr>
          <w:rFonts w:ascii="Times New Roman" w:hAnsi="Times New Roman" w:cs="Times New Roman"/>
          <w:sz w:val="20"/>
          <w:szCs w:val="20"/>
        </w:rPr>
        <w:t>; b) 10% nitrogen-doped MoS</w:t>
      </w:r>
      <w:r w:rsidRPr="005F5438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5F5438">
        <w:rPr>
          <w:rFonts w:ascii="Times New Roman" w:hAnsi="Times New Roman" w:cs="Times New Roman"/>
          <w:sz w:val="20"/>
          <w:szCs w:val="20"/>
        </w:rPr>
        <w:t>; c) 50% nitrogen-doped MoS</w:t>
      </w:r>
      <w:r w:rsidRPr="005F5438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5F5438">
        <w:rPr>
          <w:rFonts w:ascii="Times New Roman" w:hAnsi="Times New Roman" w:cs="Times New Roman"/>
          <w:sz w:val="20"/>
          <w:szCs w:val="20"/>
        </w:rPr>
        <w:t>.</w:t>
      </w:r>
    </w:p>
    <w:p w14:paraId="3E7FAF0A" w14:textId="77777777" w:rsidR="001734F1" w:rsidRPr="005F5438" w:rsidRDefault="001734F1" w:rsidP="00060B0E">
      <w:pPr>
        <w:spacing w:line="360" w:lineRule="auto"/>
        <w:jc w:val="both"/>
        <w:rPr>
          <w:rFonts w:asciiTheme="majorBidi" w:eastAsia="Times New Roman" w:hAnsiTheme="majorBidi" w:cstheme="majorBidi"/>
          <w:color w:val="000000"/>
          <w:kern w:val="0"/>
          <w:sz w:val="20"/>
          <w:szCs w:val="20"/>
          <w14:ligatures w14:val="none"/>
        </w:rPr>
      </w:pPr>
    </w:p>
    <w:p w14:paraId="066FD4A6" w14:textId="77777777" w:rsidR="001734F1" w:rsidRPr="005F5438" w:rsidRDefault="00137288" w:rsidP="001734F1">
      <w:pPr>
        <w:jc w:val="center"/>
      </w:pPr>
      <w:r w:rsidRPr="00137288">
        <w:rPr>
          <w:rFonts w:asciiTheme="majorBidi" w:eastAsiaTheme="minorEastAsia" w:hAnsiTheme="majorBidi" w:cstheme="majorBidi"/>
          <w:noProof/>
          <w:color w:val="156082" w:themeColor="accent1"/>
          <w:lang w:val="en-GB"/>
        </w:rPr>
        <w:object w:dxaOrig="4819" w:dyaOrig="4819" w14:anchorId="52D27D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1.4pt;height:241.4pt;mso-width-percent:0;mso-height-percent:0;mso-width-percent:0;mso-height-percent:0" o:ole="">
            <v:imagedata r:id="rId6" o:title=""/>
          </v:shape>
          <o:OLEObject Type="Embed" ProgID="Origin95.Graph" ShapeID="_x0000_i1025" DrawAspect="Content" ObjectID="_1818447900" r:id="rId7"/>
        </w:object>
      </w:r>
    </w:p>
    <w:p w14:paraId="0B3D898C" w14:textId="396F98A4" w:rsidR="001734F1" w:rsidRPr="005F5438" w:rsidRDefault="001734F1" w:rsidP="001734F1">
      <w:pPr>
        <w:rPr>
          <w:rFonts w:asciiTheme="majorBidi" w:hAnsiTheme="majorBidi" w:cstheme="majorBidi"/>
          <w:sz w:val="20"/>
          <w:szCs w:val="20"/>
        </w:rPr>
      </w:pPr>
      <w:r w:rsidRPr="005F5438">
        <w:rPr>
          <w:rFonts w:asciiTheme="majorBidi" w:hAnsiTheme="majorBidi" w:cstheme="majorBidi"/>
          <w:b/>
          <w:bCs/>
          <w:sz w:val="20"/>
          <w:szCs w:val="20"/>
        </w:rPr>
        <w:t>Figure S</w:t>
      </w:r>
      <w:r w:rsidRPr="005F5438">
        <w:rPr>
          <w:rFonts w:asciiTheme="majorBidi" w:hAnsiTheme="majorBidi" w:cstheme="majorBidi"/>
          <w:b/>
          <w:bCs/>
          <w:sz w:val="20"/>
          <w:szCs w:val="20"/>
        </w:rPr>
        <w:t>3</w:t>
      </w:r>
      <w:r w:rsidRPr="005F5438">
        <w:rPr>
          <w:rFonts w:asciiTheme="majorBidi" w:hAnsiTheme="majorBidi" w:cstheme="majorBidi"/>
          <w:sz w:val="20"/>
          <w:szCs w:val="20"/>
        </w:rPr>
        <w:t xml:space="preserve"> XRD diagram for pristine, 10% and 50% nitrogen doped MoS</w:t>
      </w:r>
      <w:r w:rsidRPr="005F5438">
        <w:rPr>
          <w:rFonts w:asciiTheme="majorBidi" w:hAnsiTheme="majorBidi" w:cstheme="majorBidi"/>
          <w:sz w:val="20"/>
          <w:szCs w:val="20"/>
          <w:vertAlign w:val="subscript"/>
        </w:rPr>
        <w:t>2</w:t>
      </w:r>
      <w:r w:rsidRPr="005F5438">
        <w:rPr>
          <w:rFonts w:asciiTheme="majorBidi" w:hAnsiTheme="majorBidi" w:cstheme="majorBidi"/>
          <w:sz w:val="20"/>
          <w:szCs w:val="20"/>
        </w:rPr>
        <w:t xml:space="preserve"> thin films including a zoom in on (100) peak to showcase the XRD shift-induced nitrogen doping. </w:t>
      </w:r>
    </w:p>
    <w:p w14:paraId="5106A189" w14:textId="77777777" w:rsidR="001734F1" w:rsidRPr="005F5438" w:rsidRDefault="001734F1" w:rsidP="00060B0E">
      <w:pPr>
        <w:spacing w:line="360" w:lineRule="auto"/>
        <w:jc w:val="both"/>
        <w:rPr>
          <w:rFonts w:asciiTheme="majorBidi" w:eastAsia="Times New Roman" w:hAnsiTheme="majorBidi" w:cstheme="majorBidi"/>
          <w:color w:val="000000"/>
          <w:kern w:val="0"/>
          <w:sz w:val="20"/>
          <w:szCs w:val="20"/>
          <w14:ligatures w14:val="none"/>
        </w:rPr>
      </w:pPr>
    </w:p>
    <w:p w14:paraId="7AE68BB1" w14:textId="66F915C5" w:rsidR="00A472A9" w:rsidRPr="005F5438" w:rsidRDefault="00A472A9" w:rsidP="00580CF3">
      <w:pPr>
        <w:jc w:val="center"/>
      </w:pPr>
      <w:r w:rsidRPr="005F5438">
        <w:rPr>
          <w:noProof/>
        </w:rPr>
        <w:lastRenderedPageBreak/>
        <w:drawing>
          <wp:inline distT="0" distB="0" distL="0" distR="0" wp14:anchorId="6CF87F84" wp14:editId="61843042">
            <wp:extent cx="5024461" cy="2360930"/>
            <wp:effectExtent l="0" t="0" r="0" b="0"/>
            <wp:docPr id="332829942" name="Image 5" descr="Une image contenant capture d’écran, texte, Graphique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829942" name="Image 5" descr="Une image contenant capture d’écran, texte, Graphique, conceptio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2238" cy="2364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7FC1CD" w14:textId="67C5A20B" w:rsidR="007C1498" w:rsidRPr="005F5438" w:rsidRDefault="00457694" w:rsidP="005A15F2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5438">
        <w:rPr>
          <w:rFonts w:ascii="Times New Roman" w:hAnsi="Times New Roman" w:cs="Times New Roman"/>
          <w:b/>
          <w:bCs/>
          <w:sz w:val="20"/>
          <w:szCs w:val="20"/>
        </w:rPr>
        <w:t>Fig</w:t>
      </w:r>
      <w:r w:rsidR="00BE0895" w:rsidRPr="005F5438">
        <w:rPr>
          <w:rFonts w:ascii="Times New Roman" w:hAnsi="Times New Roman" w:cs="Times New Roman"/>
          <w:b/>
          <w:bCs/>
          <w:sz w:val="20"/>
          <w:szCs w:val="20"/>
        </w:rPr>
        <w:t>ure</w:t>
      </w:r>
      <w:r w:rsidRPr="005F5438">
        <w:rPr>
          <w:rFonts w:ascii="Times New Roman" w:hAnsi="Times New Roman" w:cs="Times New Roman"/>
          <w:b/>
          <w:bCs/>
          <w:sz w:val="20"/>
          <w:szCs w:val="20"/>
        </w:rPr>
        <w:t xml:space="preserve"> S</w:t>
      </w:r>
      <w:r w:rsidR="001734F1" w:rsidRPr="005F5438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Pr="005F5438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5F5438">
        <w:rPr>
          <w:rFonts w:ascii="Times New Roman" w:hAnsi="Times New Roman" w:cs="Times New Roman"/>
          <w:sz w:val="20"/>
          <w:szCs w:val="20"/>
        </w:rPr>
        <w:t xml:space="preserve"> Raman spectr</w:t>
      </w:r>
      <w:r w:rsidR="00BF2486" w:rsidRPr="005F5438">
        <w:rPr>
          <w:rFonts w:ascii="Times New Roman" w:hAnsi="Times New Roman" w:cs="Times New Roman"/>
          <w:sz w:val="20"/>
          <w:szCs w:val="20"/>
        </w:rPr>
        <w:t>oscopy</w:t>
      </w:r>
      <w:r w:rsidRPr="005F5438">
        <w:rPr>
          <w:rFonts w:ascii="Times New Roman" w:hAnsi="Times New Roman" w:cs="Times New Roman"/>
          <w:sz w:val="20"/>
          <w:szCs w:val="20"/>
        </w:rPr>
        <w:t xml:space="preserve"> analysis of MoS₂ thin films.</w:t>
      </w:r>
      <w:r w:rsidR="00BF2486" w:rsidRPr="005F5438">
        <w:rPr>
          <w:rFonts w:ascii="Times New Roman" w:hAnsi="Times New Roman" w:cs="Times New Roman"/>
          <w:sz w:val="20"/>
          <w:szCs w:val="20"/>
        </w:rPr>
        <w:t xml:space="preserve"> </w:t>
      </w:r>
      <w:r w:rsidRPr="005F5438">
        <w:rPr>
          <w:rFonts w:ascii="Times New Roman" w:hAnsi="Times New Roman" w:cs="Times New Roman"/>
          <w:sz w:val="20"/>
          <w:szCs w:val="20"/>
        </w:rPr>
        <w:t xml:space="preserve">(a) </w:t>
      </w:r>
      <w:r w:rsidR="00E32D00" w:rsidRPr="005F5438">
        <w:rPr>
          <w:rFonts w:ascii="Times New Roman" w:hAnsi="Times New Roman" w:cs="Times New Roman"/>
          <w:sz w:val="20"/>
          <w:szCs w:val="20"/>
        </w:rPr>
        <w:t xml:space="preserve">Zoomed </w:t>
      </w:r>
      <w:r w:rsidRPr="005F5438">
        <w:rPr>
          <w:rFonts w:ascii="Times New Roman" w:hAnsi="Times New Roman" w:cs="Times New Roman"/>
          <w:sz w:val="20"/>
          <w:szCs w:val="20"/>
        </w:rPr>
        <w:t xml:space="preserve">Raman spectra showing the characteristic </w:t>
      </w:r>
      <w:proofErr w:type="spellStart"/>
      <w:r w:rsidRPr="005F5438">
        <w:rPr>
          <w:rFonts w:ascii="Times New Roman" w:hAnsi="Times New Roman" w:cs="Times New Roman"/>
          <w:sz w:val="20"/>
          <w:szCs w:val="20"/>
        </w:rPr>
        <w:t>A₁g</w:t>
      </w:r>
      <w:proofErr w:type="spellEnd"/>
      <w:r w:rsidRPr="005F5438">
        <w:rPr>
          <w:rFonts w:ascii="Times New Roman" w:hAnsi="Times New Roman" w:cs="Times New Roman"/>
          <w:sz w:val="20"/>
          <w:szCs w:val="20"/>
        </w:rPr>
        <w:t xml:space="preserve"> and E</w:t>
      </w:r>
      <w:r w:rsidR="00BF2486" w:rsidRPr="005F5438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597470" w:rsidRPr="005F5438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5F5438">
        <w:rPr>
          <w:rFonts w:ascii="Times New Roman" w:hAnsi="Times New Roman" w:cs="Times New Roman"/>
          <w:sz w:val="20"/>
          <w:szCs w:val="20"/>
          <w:vertAlign w:val="subscript"/>
        </w:rPr>
        <w:t>g</w:t>
      </w:r>
      <w:r w:rsidRPr="005F5438">
        <w:rPr>
          <w:rFonts w:ascii="Times New Roman" w:hAnsi="Times New Roman" w:cs="Times New Roman"/>
          <w:sz w:val="20"/>
          <w:szCs w:val="20"/>
        </w:rPr>
        <w:t xml:space="preserve"> modes, highlighting shifts in peak positions indicative of structural and phase modifications induced by </w:t>
      </w:r>
      <w:r w:rsidR="00BF2486" w:rsidRPr="005F5438">
        <w:rPr>
          <w:rFonts w:ascii="Times New Roman" w:hAnsi="Times New Roman" w:cs="Times New Roman"/>
          <w:sz w:val="20"/>
          <w:szCs w:val="20"/>
        </w:rPr>
        <w:t>N-</w:t>
      </w:r>
      <w:r w:rsidRPr="005F5438">
        <w:rPr>
          <w:rFonts w:ascii="Times New Roman" w:hAnsi="Times New Roman" w:cs="Times New Roman"/>
          <w:sz w:val="20"/>
          <w:szCs w:val="20"/>
        </w:rPr>
        <w:t>doping.</w:t>
      </w:r>
      <w:r w:rsidR="00BF2486" w:rsidRPr="005F5438">
        <w:rPr>
          <w:rFonts w:ascii="Times New Roman" w:hAnsi="Times New Roman" w:cs="Times New Roman"/>
          <w:sz w:val="20"/>
          <w:szCs w:val="20"/>
        </w:rPr>
        <w:t xml:space="preserve"> </w:t>
      </w:r>
      <w:r w:rsidRPr="005F5438">
        <w:rPr>
          <w:rFonts w:ascii="Times New Roman" w:hAnsi="Times New Roman" w:cs="Times New Roman"/>
          <w:sz w:val="20"/>
          <w:szCs w:val="20"/>
        </w:rPr>
        <w:t>(b) Variation of the A</w:t>
      </w:r>
      <w:r w:rsidRPr="005F5438">
        <w:rPr>
          <w:rFonts w:ascii="Times New Roman" w:hAnsi="Times New Roman" w:cs="Times New Roman"/>
          <w:sz w:val="20"/>
          <w:szCs w:val="20"/>
          <w:vertAlign w:val="subscript"/>
        </w:rPr>
        <w:t>1</w:t>
      </w:r>
      <w:r w:rsidRPr="005F5438">
        <w:rPr>
          <w:rFonts w:ascii="Times New Roman" w:hAnsi="Times New Roman" w:cs="Times New Roman"/>
          <w:sz w:val="20"/>
          <w:szCs w:val="20"/>
        </w:rPr>
        <w:t>g and E</w:t>
      </w:r>
      <w:r w:rsidR="00597470" w:rsidRPr="005F5438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5F5438">
        <w:rPr>
          <w:rFonts w:ascii="Times New Roman" w:hAnsi="Times New Roman" w:cs="Times New Roman"/>
          <w:sz w:val="20"/>
          <w:szCs w:val="20"/>
        </w:rPr>
        <w:t>g Raman peak positions as a function of urea doping concentration.</w:t>
      </w:r>
    </w:p>
    <w:p w14:paraId="748F05A7" w14:textId="6FE62D14" w:rsidR="00CD5D6D" w:rsidRPr="005F5438" w:rsidRDefault="006E7929" w:rsidP="00457694">
      <w:pPr>
        <w:jc w:val="center"/>
      </w:pPr>
      <w:r w:rsidRPr="005F5438">
        <w:rPr>
          <w:noProof/>
        </w:rPr>
        <w:drawing>
          <wp:inline distT="0" distB="0" distL="0" distR="0" wp14:anchorId="01981C28" wp14:editId="58FF9F04">
            <wp:extent cx="4896409" cy="5349240"/>
            <wp:effectExtent l="0" t="0" r="0" b="0"/>
            <wp:docPr id="1593396447" name="Image 1" descr="Une image contenant capture d’écran, ar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396447" name="Image 1" descr="Une image contenant capture d’écran, art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948" cy="5359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474303" w14:textId="60D435B9" w:rsidR="00F056EB" w:rsidRPr="005F5438" w:rsidRDefault="00457694" w:rsidP="00D64037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5438">
        <w:rPr>
          <w:rFonts w:ascii="Times New Roman" w:hAnsi="Times New Roman" w:cs="Times New Roman"/>
          <w:b/>
          <w:bCs/>
          <w:sz w:val="20"/>
          <w:szCs w:val="20"/>
        </w:rPr>
        <w:lastRenderedPageBreak/>
        <w:t>Fig</w:t>
      </w:r>
      <w:r w:rsidR="00BE0895" w:rsidRPr="005F5438">
        <w:rPr>
          <w:rFonts w:ascii="Times New Roman" w:hAnsi="Times New Roman" w:cs="Times New Roman"/>
          <w:b/>
          <w:bCs/>
          <w:sz w:val="20"/>
          <w:szCs w:val="20"/>
        </w:rPr>
        <w:t>ure</w:t>
      </w:r>
      <w:r w:rsidRPr="005F5438">
        <w:rPr>
          <w:rFonts w:ascii="Times New Roman" w:hAnsi="Times New Roman" w:cs="Times New Roman"/>
          <w:b/>
          <w:bCs/>
          <w:sz w:val="20"/>
          <w:szCs w:val="20"/>
        </w:rPr>
        <w:t xml:space="preserve"> S</w:t>
      </w:r>
      <w:r w:rsidR="000C38DD" w:rsidRPr="005F5438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5F5438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5F5438">
        <w:rPr>
          <w:rFonts w:ascii="Times New Roman" w:hAnsi="Times New Roman" w:cs="Times New Roman"/>
          <w:sz w:val="20"/>
          <w:szCs w:val="20"/>
        </w:rPr>
        <w:t xml:space="preserve"> </w:t>
      </w:r>
      <w:r w:rsidR="00D64037" w:rsidRPr="005F5438">
        <w:rPr>
          <w:rFonts w:ascii="Times New Roman" w:hAnsi="Times New Roman" w:cs="Times New Roman"/>
          <w:sz w:val="20"/>
          <w:szCs w:val="20"/>
        </w:rPr>
        <w:t>XPS elemental and c</w:t>
      </w:r>
      <w:r w:rsidRPr="005F5438">
        <w:rPr>
          <w:rFonts w:ascii="Times New Roman" w:hAnsi="Times New Roman" w:cs="Times New Roman"/>
          <w:sz w:val="20"/>
          <w:szCs w:val="20"/>
        </w:rPr>
        <w:t>ompositional analysis of MoS</w:t>
      </w:r>
      <w:r w:rsidRPr="005F5438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5F5438">
        <w:rPr>
          <w:rFonts w:ascii="Times New Roman" w:hAnsi="Times New Roman" w:cs="Times New Roman"/>
          <w:sz w:val="20"/>
          <w:szCs w:val="20"/>
        </w:rPr>
        <w:t xml:space="preserve"> thin films</w:t>
      </w:r>
      <w:r w:rsidR="00D64037" w:rsidRPr="005F5438">
        <w:rPr>
          <w:rFonts w:ascii="Times New Roman" w:hAnsi="Times New Roman" w:cs="Times New Roman"/>
          <w:sz w:val="20"/>
          <w:szCs w:val="20"/>
        </w:rPr>
        <w:t xml:space="preserve">. </w:t>
      </w:r>
      <w:r w:rsidRPr="005F5438">
        <w:rPr>
          <w:rFonts w:ascii="Times New Roman" w:hAnsi="Times New Roman" w:cs="Times New Roman"/>
          <w:sz w:val="20"/>
          <w:szCs w:val="20"/>
        </w:rPr>
        <w:t xml:space="preserve">(a–c) </w:t>
      </w:r>
      <w:r w:rsidR="00D64037" w:rsidRPr="005F5438">
        <w:rPr>
          <w:rFonts w:ascii="Times New Roman" w:hAnsi="Times New Roman" w:cs="Times New Roman"/>
          <w:sz w:val="20"/>
          <w:szCs w:val="20"/>
        </w:rPr>
        <w:t>General XPS s</w:t>
      </w:r>
      <w:r w:rsidRPr="005F5438">
        <w:rPr>
          <w:rFonts w:ascii="Times New Roman" w:hAnsi="Times New Roman" w:cs="Times New Roman"/>
          <w:sz w:val="20"/>
          <w:szCs w:val="20"/>
        </w:rPr>
        <w:t>urvey spectra of (a) pristine MoS</w:t>
      </w:r>
      <w:r w:rsidRPr="005F5438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="00D64037" w:rsidRPr="005F5438">
        <w:rPr>
          <w:rFonts w:ascii="Times New Roman" w:hAnsi="Times New Roman" w:cs="Times New Roman"/>
          <w:sz w:val="20"/>
          <w:szCs w:val="20"/>
        </w:rPr>
        <w:t>.</w:t>
      </w:r>
      <w:r w:rsidRPr="005F5438">
        <w:rPr>
          <w:rFonts w:ascii="Times New Roman" w:hAnsi="Times New Roman" w:cs="Times New Roman"/>
          <w:sz w:val="20"/>
          <w:szCs w:val="20"/>
        </w:rPr>
        <w:t xml:space="preserve"> (b) 10% urea-doped MoS</w:t>
      </w:r>
      <w:r w:rsidR="00580CF3" w:rsidRPr="005F5438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="00D64037" w:rsidRPr="005F5438">
        <w:rPr>
          <w:rFonts w:ascii="Times New Roman" w:hAnsi="Times New Roman" w:cs="Times New Roman"/>
          <w:sz w:val="20"/>
          <w:szCs w:val="20"/>
        </w:rPr>
        <w:t>.</w:t>
      </w:r>
      <w:r w:rsidRPr="005F5438">
        <w:rPr>
          <w:rFonts w:ascii="Times New Roman" w:hAnsi="Times New Roman" w:cs="Times New Roman"/>
          <w:sz w:val="20"/>
          <w:szCs w:val="20"/>
        </w:rPr>
        <w:t xml:space="preserve"> (c) 50% urea-doped MoS</w:t>
      </w:r>
      <w:r w:rsidRPr="005F5438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5F5438">
        <w:rPr>
          <w:rFonts w:ascii="Times New Roman" w:hAnsi="Times New Roman" w:cs="Times New Roman"/>
          <w:sz w:val="20"/>
          <w:szCs w:val="20"/>
        </w:rPr>
        <w:t>.</w:t>
      </w:r>
      <w:r w:rsidR="00D64037" w:rsidRPr="005F5438">
        <w:rPr>
          <w:rFonts w:ascii="Times New Roman" w:hAnsi="Times New Roman" w:cs="Times New Roman"/>
          <w:sz w:val="20"/>
          <w:szCs w:val="20"/>
        </w:rPr>
        <w:t xml:space="preserve"> </w:t>
      </w:r>
      <w:r w:rsidRPr="005F5438">
        <w:rPr>
          <w:rFonts w:ascii="Times New Roman" w:hAnsi="Times New Roman" w:cs="Times New Roman"/>
          <w:sz w:val="20"/>
          <w:szCs w:val="20"/>
        </w:rPr>
        <w:t xml:space="preserve">High-resolution XPS spectrum of </w:t>
      </w:r>
      <w:r w:rsidR="00D64037" w:rsidRPr="005F5438">
        <w:rPr>
          <w:rFonts w:ascii="Times New Roman" w:hAnsi="Times New Roman" w:cs="Times New Roman"/>
          <w:sz w:val="20"/>
          <w:szCs w:val="20"/>
        </w:rPr>
        <w:t xml:space="preserve">(d) </w:t>
      </w:r>
      <w:r w:rsidRPr="005F5438">
        <w:rPr>
          <w:rFonts w:ascii="Times New Roman" w:hAnsi="Times New Roman" w:cs="Times New Roman"/>
          <w:sz w:val="20"/>
          <w:szCs w:val="20"/>
        </w:rPr>
        <w:t>pristine MoS</w:t>
      </w:r>
      <w:r w:rsidR="00580CF3" w:rsidRPr="005F5438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5F5438">
        <w:rPr>
          <w:rFonts w:ascii="Times New Roman" w:hAnsi="Times New Roman" w:cs="Times New Roman"/>
          <w:sz w:val="20"/>
          <w:szCs w:val="20"/>
        </w:rPr>
        <w:t>. (e) 50% urea-doped MoS</w:t>
      </w:r>
      <w:r w:rsidRPr="005F5438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5F5438">
        <w:rPr>
          <w:rFonts w:ascii="Times New Roman" w:hAnsi="Times New Roman" w:cs="Times New Roman"/>
          <w:sz w:val="20"/>
          <w:szCs w:val="20"/>
        </w:rPr>
        <w:t>.</w:t>
      </w:r>
    </w:p>
    <w:p w14:paraId="74AB2CE9" w14:textId="77777777" w:rsidR="00E60291" w:rsidRPr="00306AF3" w:rsidRDefault="00E60291" w:rsidP="00E60291">
      <w:pPr>
        <w:spacing w:line="276" w:lineRule="auto"/>
        <w:jc w:val="both"/>
        <w:rPr>
          <w:rFonts w:asciiTheme="majorBidi" w:hAnsiTheme="majorBidi" w:cstheme="majorBidi"/>
        </w:rPr>
      </w:pPr>
      <w:r w:rsidRPr="00306AF3">
        <w:rPr>
          <w:rFonts w:asciiTheme="majorBidi" w:hAnsiTheme="majorBidi" w:cstheme="majorBidi"/>
          <w:noProof/>
        </w:rPr>
        <w:drawing>
          <wp:inline distT="0" distB="0" distL="0" distR="0" wp14:anchorId="6480D808" wp14:editId="3DEC8CC3">
            <wp:extent cx="5731510" cy="2228215"/>
            <wp:effectExtent l="0" t="0" r="2540" b="635"/>
            <wp:docPr id="27651639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28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E6DB88" w14:textId="5CE2944F" w:rsidR="00E60291" w:rsidRPr="00E60291" w:rsidRDefault="00E60291" w:rsidP="00E60291">
      <w:pPr>
        <w:spacing w:line="276" w:lineRule="auto"/>
        <w:jc w:val="both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FC0D24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 xml:space="preserve">Figure </w:t>
      </w:r>
      <w:r w:rsidR="00B444CC" w:rsidRPr="00FC0D24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>S6</w:t>
      </w:r>
      <w:r w:rsidR="00FC0D24" w:rsidRPr="00FC0D24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>.</w:t>
      </w:r>
      <w:r w:rsidRPr="00B444CC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I</w:t>
      </w:r>
      <w:r w:rsidRPr="00B444CC">
        <w:rPr>
          <w:rFonts w:asciiTheme="majorBidi" w:hAnsiTheme="majorBidi" w:cstheme="majorBidi"/>
          <w:color w:val="000000" w:themeColor="text1"/>
          <w:sz w:val="20"/>
          <w:szCs w:val="20"/>
          <w:vertAlign w:val="subscript"/>
        </w:rPr>
        <w:t>DS</w:t>
      </w:r>
      <w:r w:rsidRPr="00B444CC">
        <w:rPr>
          <w:rFonts w:asciiTheme="majorBidi" w:hAnsiTheme="majorBidi" w:cstheme="majorBidi"/>
          <w:color w:val="000000" w:themeColor="text1"/>
          <w:sz w:val="20"/>
          <w:szCs w:val="20"/>
        </w:rPr>
        <w:t>-V</w:t>
      </w:r>
      <w:r w:rsidRPr="00B444CC">
        <w:rPr>
          <w:rFonts w:asciiTheme="majorBidi" w:hAnsiTheme="majorBidi" w:cstheme="majorBidi"/>
          <w:color w:val="000000" w:themeColor="text1"/>
          <w:sz w:val="20"/>
          <w:szCs w:val="20"/>
          <w:vertAlign w:val="subscript"/>
        </w:rPr>
        <w:t>DS</w:t>
      </w:r>
      <w:r w:rsidRPr="00B444CC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plots with respect to various gate bias for sample: a) 10% N-doping; b) 50% N-doping</w:t>
      </w:r>
    </w:p>
    <w:p w14:paraId="07A14A4A" w14:textId="77777777" w:rsidR="00F056EB" w:rsidRPr="005F5438" w:rsidRDefault="00F056EB" w:rsidP="00F056EB">
      <w:pPr>
        <w:spacing w:line="360" w:lineRule="auto"/>
        <w:jc w:val="both"/>
      </w:pPr>
    </w:p>
    <w:p w14:paraId="6E712DA9" w14:textId="4C99B630" w:rsidR="00F056EB" w:rsidRPr="005F5438" w:rsidRDefault="009A74E0" w:rsidP="009A74E0">
      <w:pPr>
        <w:rPr>
          <w:rStyle w:val="Aucun"/>
          <w:lang w:val="en-US"/>
        </w:rPr>
      </w:pPr>
      <w:r w:rsidRPr="005F5438">
        <w:rPr>
          <w:rStyle w:val="Aucun"/>
          <w:rFonts w:ascii="Times New Roman" w:hAnsi="Times New Roman" w:cs="Times New Roman"/>
          <w:b/>
          <w:bCs/>
          <w:sz w:val="20"/>
          <w:szCs w:val="20"/>
          <w:lang w:val="en-GB"/>
        </w:rPr>
        <w:t>Table S1.</w:t>
      </w:r>
      <w:r w:rsidRPr="005F5438">
        <w:rPr>
          <w:rStyle w:val="Aucun"/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AD4333" w:rsidRPr="005F5438">
        <w:rPr>
          <w:rStyle w:val="Aucun"/>
          <w:rFonts w:ascii="Times New Roman" w:hAnsi="Times New Roman" w:cs="Times New Roman"/>
          <w:sz w:val="20"/>
          <w:szCs w:val="20"/>
          <w:lang w:val="en-GB"/>
        </w:rPr>
        <w:t>XPS e</w:t>
      </w:r>
      <w:r w:rsidRPr="005F5438">
        <w:rPr>
          <w:rStyle w:val="Aucun"/>
          <w:rFonts w:ascii="Times New Roman" w:hAnsi="Times New Roman" w:cs="Times New Roman"/>
          <w:sz w:val="20"/>
          <w:szCs w:val="20"/>
          <w:lang w:val="en-GB"/>
        </w:rPr>
        <w:t>lement</w:t>
      </w:r>
      <w:r w:rsidR="00AD4333" w:rsidRPr="005F5438">
        <w:rPr>
          <w:rStyle w:val="Aucun"/>
          <w:rFonts w:ascii="Times New Roman" w:hAnsi="Times New Roman" w:cs="Times New Roman"/>
          <w:sz w:val="20"/>
          <w:szCs w:val="20"/>
          <w:lang w:val="en-GB"/>
        </w:rPr>
        <w:t xml:space="preserve"> contents</w:t>
      </w:r>
      <w:r w:rsidRPr="005F5438">
        <w:rPr>
          <w:rStyle w:val="Aucun"/>
          <w:rFonts w:ascii="Times New Roman" w:hAnsi="Times New Roman" w:cs="Times New Roman"/>
          <w:sz w:val="20"/>
          <w:szCs w:val="20"/>
          <w:lang w:val="en-GB"/>
        </w:rPr>
        <w:t xml:space="preserve"> Mo, S and N in </w:t>
      </w:r>
      <w:r w:rsidR="00AD4333" w:rsidRPr="005F5438">
        <w:rPr>
          <w:rStyle w:val="Aucun"/>
          <w:rFonts w:ascii="Times New Roman" w:hAnsi="Times New Roman" w:cs="Times New Roman"/>
          <w:sz w:val="20"/>
          <w:szCs w:val="20"/>
          <w:lang w:val="en-GB"/>
        </w:rPr>
        <w:t>MoS</w:t>
      </w:r>
      <w:r w:rsidR="00AD4333" w:rsidRPr="005F5438">
        <w:rPr>
          <w:rStyle w:val="Aucun"/>
          <w:rFonts w:ascii="Times New Roman" w:hAnsi="Times New Roman" w:cs="Times New Roman"/>
          <w:sz w:val="20"/>
          <w:szCs w:val="20"/>
          <w:vertAlign w:val="subscript"/>
          <w:lang w:val="en-GB"/>
        </w:rPr>
        <w:t>2</w:t>
      </w:r>
      <w:r w:rsidR="00AD4333" w:rsidRPr="005F5438">
        <w:rPr>
          <w:rStyle w:val="Aucun"/>
          <w:rFonts w:ascii="Times New Roman" w:hAnsi="Times New Roman" w:cs="Times New Roman"/>
          <w:sz w:val="20"/>
          <w:szCs w:val="20"/>
          <w:lang w:val="en-GB"/>
        </w:rPr>
        <w:t xml:space="preserve"> thin films</w:t>
      </w:r>
      <w:r w:rsidRPr="005F5438">
        <w:rPr>
          <w:rStyle w:val="Aucun"/>
          <w:rFonts w:ascii="Times New Roman" w:hAnsi="Times New Roman" w:cs="Times New Roman"/>
          <w:sz w:val="20"/>
          <w:szCs w:val="20"/>
          <w:lang w:val="en-GB"/>
        </w:rPr>
        <w:t>.</w:t>
      </w:r>
    </w:p>
    <w:tbl>
      <w:tblPr>
        <w:tblStyle w:val="TableNormal1"/>
        <w:tblW w:w="609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1418"/>
        <w:gridCol w:w="1276"/>
      </w:tblGrid>
      <w:tr w:rsidR="00F056EB" w:rsidRPr="005F5438" w14:paraId="25305077" w14:textId="77777777" w:rsidTr="009A74E0">
        <w:trPr>
          <w:trHeight w:val="300"/>
          <w:jc w:val="center"/>
        </w:trPr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E2AC2C" w14:textId="77777777" w:rsidR="00F056EB" w:rsidRPr="005F5438" w:rsidRDefault="00F056EB" w:rsidP="009A74E0">
            <w:pPr>
              <w:pStyle w:val="Corps"/>
              <w:spacing w:line="360" w:lineRule="auto"/>
              <w:rPr>
                <w:rFonts w:ascii="Times New Roman" w:hAnsi="Times New Roman" w:cs="Times New Roman"/>
              </w:rPr>
            </w:pPr>
            <w:r w:rsidRPr="005F5438">
              <w:rPr>
                <w:rStyle w:val="Aucun"/>
                <w:rFonts w:ascii="Times New Roman" w:hAnsi="Times New Roman" w:cs="Times New Roman"/>
                <w:lang w:val="en-US"/>
              </w:rPr>
              <w:t>Samples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3E4E7" w14:textId="77777777" w:rsidR="00F056EB" w:rsidRPr="005F5438" w:rsidRDefault="00F056EB" w:rsidP="002305B4">
            <w:pPr>
              <w:pStyle w:val="Corps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F5438">
              <w:rPr>
                <w:rStyle w:val="Aucun"/>
                <w:rFonts w:ascii="Times New Roman" w:hAnsi="Times New Roman" w:cs="Times New Roman"/>
                <w:lang w:val="en-US"/>
              </w:rPr>
              <w:t>Mo / at%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A178B7" w14:textId="77777777" w:rsidR="00F056EB" w:rsidRPr="005F5438" w:rsidRDefault="00F056EB" w:rsidP="002305B4">
            <w:pPr>
              <w:pStyle w:val="Corps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F5438">
              <w:rPr>
                <w:rStyle w:val="Aucun"/>
                <w:rFonts w:ascii="Times New Roman" w:hAnsi="Times New Roman" w:cs="Times New Roman"/>
                <w:lang w:val="en-US"/>
              </w:rPr>
              <w:t>S / at%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A0D5A1" w14:textId="77777777" w:rsidR="00F056EB" w:rsidRPr="005F5438" w:rsidRDefault="00F056EB" w:rsidP="002305B4">
            <w:pPr>
              <w:pStyle w:val="Corps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F5438">
              <w:rPr>
                <w:rStyle w:val="Aucun"/>
                <w:rFonts w:ascii="Times New Roman" w:hAnsi="Times New Roman" w:cs="Times New Roman"/>
                <w:lang w:val="en-US"/>
              </w:rPr>
              <w:t>N / at%</w:t>
            </w:r>
          </w:p>
        </w:tc>
      </w:tr>
      <w:tr w:rsidR="00F056EB" w:rsidRPr="005F5438" w14:paraId="335E4C56" w14:textId="77777777" w:rsidTr="009A74E0">
        <w:trPr>
          <w:trHeight w:val="305"/>
          <w:jc w:val="center"/>
        </w:trPr>
        <w:tc>
          <w:tcPr>
            <w:tcW w:w="21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8BA9F1" w14:textId="77777777" w:rsidR="00F056EB" w:rsidRPr="005F5438" w:rsidRDefault="00F056EB" w:rsidP="009A74E0">
            <w:pPr>
              <w:pStyle w:val="Corps"/>
              <w:spacing w:line="360" w:lineRule="auto"/>
              <w:rPr>
                <w:rFonts w:ascii="Times New Roman" w:hAnsi="Times New Roman" w:cs="Times New Roman"/>
              </w:rPr>
            </w:pPr>
            <w:r w:rsidRPr="005F5438">
              <w:rPr>
                <w:rStyle w:val="Aucun"/>
                <w:rFonts w:ascii="Times New Roman" w:hAnsi="Times New Roman" w:cs="Times New Roman"/>
                <w:lang w:val="en-US"/>
              </w:rPr>
              <w:t>Pristine MoS</w:t>
            </w:r>
            <w:r w:rsidRPr="005F5438">
              <w:rPr>
                <w:rStyle w:val="Aucun"/>
                <w:rFonts w:ascii="Times New Roman" w:hAnsi="Times New Roman" w:cs="Times New Roman"/>
                <w:vertAlign w:val="subscript"/>
                <w:lang w:val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034BAF" w14:textId="77777777" w:rsidR="00F056EB" w:rsidRPr="005F5438" w:rsidRDefault="00F056EB" w:rsidP="002305B4">
            <w:pPr>
              <w:pStyle w:val="Corps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F5438">
              <w:rPr>
                <w:rStyle w:val="Aucun"/>
                <w:rFonts w:ascii="Times New Roman" w:hAnsi="Times New Roman" w:cs="Times New Roman"/>
                <w:lang w:val="en-US"/>
              </w:rPr>
              <w:t>28.79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7B36D7" w14:textId="77777777" w:rsidR="00F056EB" w:rsidRPr="005F5438" w:rsidRDefault="00F056EB" w:rsidP="002305B4">
            <w:pPr>
              <w:pStyle w:val="Corps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F5438">
              <w:rPr>
                <w:rStyle w:val="Aucun"/>
                <w:rFonts w:ascii="Times New Roman" w:hAnsi="Times New Roman" w:cs="Times New Roman"/>
                <w:lang w:val="en-US"/>
              </w:rPr>
              <w:t>71.21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F3ADC6" w14:textId="77777777" w:rsidR="00F056EB" w:rsidRPr="005F5438" w:rsidRDefault="00F056EB" w:rsidP="002305B4">
            <w:pPr>
              <w:pStyle w:val="Corps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F5438">
              <w:rPr>
                <w:rStyle w:val="Aucun"/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F056EB" w:rsidRPr="005F5438" w14:paraId="15F9D225" w14:textId="77777777" w:rsidTr="009A74E0">
        <w:trPr>
          <w:trHeight w:val="310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A35D0D" w14:textId="77777777" w:rsidR="00F056EB" w:rsidRPr="005F5438" w:rsidRDefault="00F056EB" w:rsidP="009A74E0">
            <w:pPr>
              <w:pStyle w:val="Corps"/>
              <w:spacing w:line="360" w:lineRule="auto"/>
              <w:rPr>
                <w:rFonts w:ascii="Times New Roman" w:hAnsi="Times New Roman" w:cs="Times New Roman"/>
              </w:rPr>
            </w:pPr>
            <w:r w:rsidRPr="005F5438">
              <w:rPr>
                <w:rStyle w:val="Aucun"/>
                <w:rFonts w:ascii="Times New Roman" w:hAnsi="Times New Roman" w:cs="Times New Roman"/>
                <w:lang w:val="en-US"/>
              </w:rPr>
              <w:t>10% Urea doped MoS</w:t>
            </w:r>
            <w:r w:rsidRPr="005F5438">
              <w:rPr>
                <w:rStyle w:val="Aucun"/>
                <w:rFonts w:ascii="Times New Roman" w:hAnsi="Times New Roman" w:cs="Times New Roman"/>
                <w:vertAlign w:val="subscript"/>
                <w:lang w:val="en-US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5A572" w14:textId="77777777" w:rsidR="00F056EB" w:rsidRPr="005F5438" w:rsidRDefault="00F056EB" w:rsidP="002305B4">
            <w:pPr>
              <w:pStyle w:val="Corps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F5438">
              <w:rPr>
                <w:rStyle w:val="Aucun"/>
                <w:rFonts w:ascii="Times New Roman" w:hAnsi="Times New Roman" w:cs="Times New Roman"/>
                <w:lang w:val="en-US"/>
              </w:rPr>
              <w:t>42.75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18EB91" w14:textId="77777777" w:rsidR="00F056EB" w:rsidRPr="005F5438" w:rsidRDefault="00F056EB" w:rsidP="002305B4">
            <w:pPr>
              <w:pStyle w:val="Corps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F5438">
              <w:rPr>
                <w:rStyle w:val="Aucun"/>
                <w:rFonts w:ascii="Times New Roman" w:hAnsi="Times New Roman" w:cs="Times New Roman"/>
                <w:lang w:val="en-US"/>
              </w:rPr>
              <w:t>54.46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11FBE8" w14:textId="77777777" w:rsidR="00F056EB" w:rsidRPr="005F5438" w:rsidRDefault="00F056EB" w:rsidP="002305B4">
            <w:pPr>
              <w:pStyle w:val="Corps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F5438">
              <w:rPr>
                <w:rStyle w:val="Aucun"/>
                <w:rFonts w:ascii="Times New Roman" w:hAnsi="Times New Roman" w:cs="Times New Roman"/>
                <w:lang w:val="en-US"/>
              </w:rPr>
              <w:t>2.79</w:t>
            </w:r>
          </w:p>
        </w:tc>
      </w:tr>
      <w:tr w:rsidR="00F056EB" w:rsidRPr="00F252A5" w14:paraId="6517216F" w14:textId="77777777" w:rsidTr="009A74E0">
        <w:trPr>
          <w:trHeight w:val="305"/>
          <w:jc w:val="center"/>
        </w:trPr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FF8745" w14:textId="77777777" w:rsidR="00F056EB" w:rsidRPr="005F5438" w:rsidRDefault="00F056EB" w:rsidP="009A74E0">
            <w:pPr>
              <w:pStyle w:val="Corps"/>
              <w:spacing w:line="360" w:lineRule="auto"/>
              <w:rPr>
                <w:rFonts w:ascii="Times New Roman" w:hAnsi="Times New Roman" w:cs="Times New Roman"/>
              </w:rPr>
            </w:pPr>
            <w:r w:rsidRPr="005F5438">
              <w:rPr>
                <w:rStyle w:val="Aucun"/>
                <w:rFonts w:ascii="Times New Roman" w:hAnsi="Times New Roman" w:cs="Times New Roman"/>
                <w:lang w:val="en-US"/>
              </w:rPr>
              <w:t>50% Urea doped MoS</w:t>
            </w:r>
            <w:r w:rsidRPr="005F5438">
              <w:rPr>
                <w:rStyle w:val="Aucun"/>
                <w:rFonts w:ascii="Times New Roman" w:hAnsi="Times New Roman" w:cs="Times New Roman"/>
                <w:vertAlign w:val="subscript"/>
                <w:lang w:val="en-US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533E4" w14:textId="77777777" w:rsidR="00F056EB" w:rsidRPr="005F5438" w:rsidRDefault="00F056EB" w:rsidP="002305B4">
            <w:pPr>
              <w:pStyle w:val="Corps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F5438">
              <w:rPr>
                <w:rStyle w:val="Aucun"/>
                <w:rFonts w:ascii="Times New Roman" w:hAnsi="Times New Roman" w:cs="Times New Roman"/>
                <w:lang w:val="en-US"/>
              </w:rPr>
              <w:t>42.36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472CA" w14:textId="77777777" w:rsidR="00F056EB" w:rsidRPr="005F5438" w:rsidRDefault="00F056EB" w:rsidP="002305B4">
            <w:pPr>
              <w:pStyle w:val="Corps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F5438">
              <w:rPr>
                <w:rStyle w:val="Aucun"/>
                <w:rFonts w:ascii="Times New Roman" w:hAnsi="Times New Roman" w:cs="Times New Roman"/>
                <w:lang w:val="en-US"/>
              </w:rPr>
              <w:t>52.81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49BBA" w14:textId="77777777" w:rsidR="00F056EB" w:rsidRPr="009A74E0" w:rsidRDefault="00F056EB" w:rsidP="002305B4">
            <w:pPr>
              <w:pStyle w:val="Corps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F5438">
              <w:rPr>
                <w:rStyle w:val="Aucun"/>
                <w:rFonts w:ascii="Times New Roman" w:hAnsi="Times New Roman" w:cs="Times New Roman"/>
                <w:lang w:val="en-US"/>
              </w:rPr>
              <w:t>4.83</w:t>
            </w:r>
          </w:p>
        </w:tc>
      </w:tr>
    </w:tbl>
    <w:p w14:paraId="370C791C" w14:textId="1FC8F6EA" w:rsidR="00CD5D6D" w:rsidRDefault="00CD5D6D" w:rsidP="009A74E0"/>
    <w:p w14:paraId="4A691AC1" w14:textId="77777777" w:rsidR="00AA217C" w:rsidRDefault="00AA217C" w:rsidP="009A74E0"/>
    <w:sectPr w:rsidR="00AA21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04A"/>
    <w:rsid w:val="00060B0E"/>
    <w:rsid w:val="000A4D0D"/>
    <w:rsid w:val="000C38DD"/>
    <w:rsid w:val="000C5A41"/>
    <w:rsid w:val="00137288"/>
    <w:rsid w:val="00144502"/>
    <w:rsid w:val="00150922"/>
    <w:rsid w:val="001734F1"/>
    <w:rsid w:val="001F457A"/>
    <w:rsid w:val="00250167"/>
    <w:rsid w:val="0026022B"/>
    <w:rsid w:val="002A7A70"/>
    <w:rsid w:val="002E0B18"/>
    <w:rsid w:val="002F4AAB"/>
    <w:rsid w:val="00424E1D"/>
    <w:rsid w:val="00457694"/>
    <w:rsid w:val="00462154"/>
    <w:rsid w:val="00580CF3"/>
    <w:rsid w:val="00597470"/>
    <w:rsid w:val="005A15F2"/>
    <w:rsid w:val="005A4E63"/>
    <w:rsid w:val="005F2A5E"/>
    <w:rsid w:val="005F5438"/>
    <w:rsid w:val="00665FD1"/>
    <w:rsid w:val="0069129E"/>
    <w:rsid w:val="006D3F05"/>
    <w:rsid w:val="006E7929"/>
    <w:rsid w:val="00737C7A"/>
    <w:rsid w:val="007A4490"/>
    <w:rsid w:val="007C1498"/>
    <w:rsid w:val="007E5601"/>
    <w:rsid w:val="007F004A"/>
    <w:rsid w:val="00953F27"/>
    <w:rsid w:val="009A74E0"/>
    <w:rsid w:val="009C7B40"/>
    <w:rsid w:val="00A46B3D"/>
    <w:rsid w:val="00A472A9"/>
    <w:rsid w:val="00A53AC2"/>
    <w:rsid w:val="00AA217C"/>
    <w:rsid w:val="00AC5CA2"/>
    <w:rsid w:val="00AD4333"/>
    <w:rsid w:val="00B05D9C"/>
    <w:rsid w:val="00B444CC"/>
    <w:rsid w:val="00BE0895"/>
    <w:rsid w:val="00BF2486"/>
    <w:rsid w:val="00C36833"/>
    <w:rsid w:val="00C609FC"/>
    <w:rsid w:val="00C62D70"/>
    <w:rsid w:val="00CD5D6D"/>
    <w:rsid w:val="00D44F83"/>
    <w:rsid w:val="00D64037"/>
    <w:rsid w:val="00E32D00"/>
    <w:rsid w:val="00E60291"/>
    <w:rsid w:val="00F056EB"/>
    <w:rsid w:val="00F252A5"/>
    <w:rsid w:val="00F76270"/>
    <w:rsid w:val="00FC0D24"/>
    <w:rsid w:val="00FC1647"/>
    <w:rsid w:val="00FC5E8D"/>
    <w:rsid w:val="00FC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68D94"/>
  <w15:chartTrackingRefBased/>
  <w15:docId w15:val="{CE342086-41D5-4CD7-856D-0229F83EC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M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00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00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00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00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00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00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00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00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00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00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00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00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00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00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00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00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00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00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00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0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00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00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00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00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00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00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00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00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004A"/>
    <w:rPr>
      <w:b/>
      <w:bCs/>
      <w:smallCaps/>
      <w:color w:val="0F4761" w:themeColor="accent1" w:themeShade="BF"/>
      <w:spacing w:val="5"/>
    </w:rPr>
  </w:style>
  <w:style w:type="table" w:customStyle="1" w:styleId="TableNormal1">
    <w:name w:val="Table Normal1"/>
    <w:rsid w:val="00F056E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val="fr-FR" w:eastAsia="fr-FR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rsid w:val="00F056E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kern w:val="0"/>
      <w:u w:color="000000"/>
      <w:bdr w:val="nil"/>
      <w:lang w:val="fr-FR" w:eastAsia="fr-FR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Aucun">
    <w:name w:val="Aucun"/>
    <w:rsid w:val="00F056EB"/>
    <w:rPr>
      <w:lang w:val="fr-FR"/>
    </w:rPr>
  </w:style>
  <w:style w:type="paragraph" w:styleId="NormalWeb">
    <w:name w:val="Normal (Web)"/>
    <w:basedOn w:val="Normal"/>
    <w:uiPriority w:val="99"/>
    <w:semiHidden/>
    <w:unhideWhenUsed/>
    <w:rsid w:val="002E0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fontTable" Target="fontTable.xml"/><Relationship Id="rId5" Type="http://schemas.openxmlformats.org/officeDocument/2006/relationships/image" Target="media/image2.tiff"/><Relationship Id="rId10" Type="http://schemas.openxmlformats.org/officeDocument/2006/relationships/image" Target="media/image6.png"/><Relationship Id="rId4" Type="http://schemas.openxmlformats.org/officeDocument/2006/relationships/image" Target="media/image1.jpe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343</Words>
  <Characters>1957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Youssef Doubi</dc:creator>
  <cp:keywords/>
  <dc:description/>
  <cp:lastModifiedBy>mustapha.jouiad@icloud.com</cp:lastModifiedBy>
  <cp:revision>14</cp:revision>
  <dcterms:created xsi:type="dcterms:W3CDTF">2025-09-02T19:47:00Z</dcterms:created>
  <dcterms:modified xsi:type="dcterms:W3CDTF">2025-09-03T21:36:00Z</dcterms:modified>
</cp:coreProperties>
</file>