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F2C" w:rsidRPr="00060A7F" w:rsidRDefault="00815F2C" w:rsidP="00815F2C">
      <w:pPr>
        <w:spacing w:after="0" w:line="240" w:lineRule="auto"/>
        <w:contextualSpacing/>
        <w:rPr>
          <w:rFonts w:ascii="Arial Narrow" w:hAnsi="Arial Narrow" w:cs="Times New Roman"/>
          <w:b/>
          <w:sz w:val="16"/>
          <w:szCs w:val="16"/>
        </w:rPr>
      </w:pPr>
      <w:r w:rsidRPr="00060A7F">
        <w:rPr>
          <w:rFonts w:ascii="Arial Narrow" w:hAnsi="Arial Narrow" w:cs="Times New Roman"/>
          <w:b/>
          <w:sz w:val="16"/>
          <w:szCs w:val="16"/>
        </w:rPr>
        <w:t xml:space="preserve">Table 2 </w:t>
      </w:r>
      <w:r w:rsidRPr="00060A7F">
        <w:rPr>
          <w:rFonts w:ascii="Arial Narrow" w:hAnsi="Arial Narrow" w:cs="Times New Roman"/>
          <w:b/>
          <w:bCs/>
          <w:sz w:val="16"/>
          <w:szCs w:val="16"/>
        </w:rPr>
        <w:t>The Inductive Codes, Categories, And Themes of YL</w:t>
      </w:r>
      <w:bookmarkStart w:id="0" w:name="_GoBack"/>
      <w:bookmarkEnd w:id="0"/>
    </w:p>
    <w:p w:rsidR="00815F2C" w:rsidRPr="00060A7F" w:rsidRDefault="00815F2C" w:rsidP="00815F2C">
      <w:pPr>
        <w:spacing w:after="0" w:line="240" w:lineRule="auto"/>
        <w:ind w:firstLine="720"/>
        <w:contextualSpacing/>
        <w:rPr>
          <w:rFonts w:ascii="Arial Narrow" w:hAnsi="Arial Narrow" w:cs="Times New Roman"/>
          <w:bCs/>
          <w:sz w:val="16"/>
          <w:szCs w:val="16"/>
        </w:rPr>
      </w:pP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40"/>
        <w:gridCol w:w="1701"/>
        <w:gridCol w:w="1276"/>
        <w:gridCol w:w="850"/>
      </w:tblGrid>
      <w:tr w:rsidR="00815F2C" w:rsidRPr="00060A7F" w:rsidTr="00343477">
        <w:tc>
          <w:tcPr>
            <w:tcW w:w="5240" w:type="dxa"/>
            <w:tcBorders>
              <w:top w:val="single" w:sz="4" w:space="0" w:color="auto"/>
              <w:bottom w:val="single" w:sz="4" w:space="0" w:color="auto"/>
            </w:tcBorders>
            <w:vAlign w:val="center"/>
          </w:tcPr>
          <w:p w:rsidR="00815F2C" w:rsidRPr="00060A7F" w:rsidRDefault="00815F2C" w:rsidP="00343477">
            <w:pPr>
              <w:rPr>
                <w:rFonts w:ascii="Arial Narrow" w:hAnsi="Arial Narrow" w:cs="Times New Roman"/>
                <w:b/>
                <w:sz w:val="16"/>
                <w:szCs w:val="16"/>
              </w:rPr>
            </w:pPr>
            <w:r w:rsidRPr="00060A7F">
              <w:rPr>
                <w:rFonts w:ascii="Arial Narrow" w:hAnsi="Arial Narrow" w:cs="Times New Roman"/>
                <w:b/>
                <w:sz w:val="16"/>
                <w:szCs w:val="16"/>
              </w:rPr>
              <w:t xml:space="preserve">Condensed meaning unit as per interview data </w:t>
            </w:r>
          </w:p>
          <w:p w:rsidR="00815F2C" w:rsidRPr="00060A7F" w:rsidRDefault="00815F2C" w:rsidP="00343477">
            <w:pPr>
              <w:rPr>
                <w:rFonts w:ascii="Arial Narrow" w:hAnsi="Arial Narrow" w:cs="Times New Roman"/>
                <w:b/>
                <w:sz w:val="16"/>
                <w:szCs w:val="16"/>
              </w:rPr>
            </w:pPr>
            <w:r w:rsidRPr="00060A7F">
              <w:rPr>
                <w:rFonts w:ascii="Arial Narrow" w:hAnsi="Arial Narrow" w:cs="Times New Roman"/>
                <w:b/>
                <w:sz w:val="16"/>
                <w:szCs w:val="16"/>
              </w:rPr>
              <w:t xml:space="preserve">Swami </w:t>
            </w:r>
            <w:proofErr w:type="spellStart"/>
            <w:r w:rsidRPr="00060A7F">
              <w:rPr>
                <w:rFonts w:ascii="Arial Narrow" w:hAnsi="Arial Narrow" w:cs="Times New Roman"/>
                <w:b/>
                <w:sz w:val="16"/>
                <w:szCs w:val="16"/>
              </w:rPr>
              <w:t>Ramdev</w:t>
            </w:r>
            <w:proofErr w:type="spellEnd"/>
            <w:r w:rsidRPr="00060A7F">
              <w:rPr>
                <w:rFonts w:ascii="Arial Narrow" w:hAnsi="Arial Narrow" w:cs="Times New Roman"/>
                <w:b/>
                <w:sz w:val="16"/>
                <w:szCs w:val="16"/>
              </w:rPr>
              <w:t xml:space="preserve"> and Acharya </w:t>
            </w:r>
            <w:proofErr w:type="spellStart"/>
            <w:r w:rsidRPr="00060A7F">
              <w:rPr>
                <w:rFonts w:ascii="Arial Narrow" w:hAnsi="Arial Narrow" w:cs="Times New Roman"/>
                <w:b/>
                <w:sz w:val="16"/>
                <w:szCs w:val="16"/>
              </w:rPr>
              <w:t>Balkrishna</w:t>
            </w:r>
            <w:proofErr w:type="spellEnd"/>
            <w:r w:rsidRPr="00060A7F">
              <w:rPr>
                <w:rFonts w:ascii="Arial Narrow" w:hAnsi="Arial Narrow" w:cs="Times New Roman"/>
                <w:b/>
                <w:sz w:val="16"/>
                <w:szCs w:val="16"/>
              </w:rPr>
              <w:t>…</w:t>
            </w:r>
          </w:p>
        </w:tc>
        <w:tc>
          <w:tcPr>
            <w:tcW w:w="1701" w:type="dxa"/>
            <w:tcBorders>
              <w:top w:val="single" w:sz="4" w:space="0" w:color="auto"/>
              <w:bottom w:val="single" w:sz="4" w:space="0" w:color="auto"/>
            </w:tcBorders>
            <w:vAlign w:val="center"/>
          </w:tcPr>
          <w:p w:rsidR="00815F2C" w:rsidRPr="00060A7F" w:rsidRDefault="00815F2C" w:rsidP="00343477">
            <w:pPr>
              <w:jc w:val="center"/>
              <w:rPr>
                <w:rFonts w:ascii="Arial Narrow" w:hAnsi="Arial Narrow" w:cs="Times New Roman"/>
                <w:b/>
                <w:sz w:val="16"/>
                <w:szCs w:val="16"/>
              </w:rPr>
            </w:pPr>
            <w:r w:rsidRPr="00060A7F">
              <w:rPr>
                <w:rFonts w:ascii="Arial Narrow" w:hAnsi="Arial Narrow" w:cs="Times New Roman"/>
                <w:b/>
                <w:sz w:val="16"/>
                <w:szCs w:val="16"/>
              </w:rPr>
              <w:t xml:space="preserve">Codes </w:t>
            </w:r>
          </w:p>
          <w:p w:rsidR="00815F2C" w:rsidRPr="00060A7F" w:rsidRDefault="00815F2C" w:rsidP="00343477">
            <w:pPr>
              <w:jc w:val="center"/>
              <w:rPr>
                <w:rFonts w:ascii="Arial Narrow" w:hAnsi="Arial Narrow" w:cs="Times New Roman"/>
                <w:b/>
                <w:sz w:val="16"/>
                <w:szCs w:val="16"/>
              </w:rPr>
            </w:pPr>
            <w:r w:rsidRPr="00060A7F">
              <w:rPr>
                <w:rFonts w:ascii="Arial Narrow" w:hAnsi="Arial Narrow" w:cs="Times New Roman"/>
                <w:b/>
                <w:sz w:val="16"/>
                <w:szCs w:val="16"/>
              </w:rPr>
              <w:t>Count (%)</w:t>
            </w:r>
          </w:p>
        </w:tc>
        <w:tc>
          <w:tcPr>
            <w:tcW w:w="1276" w:type="dxa"/>
            <w:tcBorders>
              <w:top w:val="single" w:sz="4" w:space="0" w:color="auto"/>
              <w:bottom w:val="single" w:sz="4" w:space="0" w:color="auto"/>
            </w:tcBorders>
            <w:vAlign w:val="center"/>
          </w:tcPr>
          <w:p w:rsidR="00815F2C" w:rsidRPr="00060A7F" w:rsidRDefault="00815F2C" w:rsidP="00343477">
            <w:pPr>
              <w:jc w:val="center"/>
              <w:rPr>
                <w:rFonts w:ascii="Arial Narrow" w:hAnsi="Arial Narrow" w:cs="Times New Roman"/>
                <w:b/>
                <w:sz w:val="16"/>
                <w:szCs w:val="16"/>
              </w:rPr>
            </w:pPr>
            <w:r w:rsidRPr="00060A7F">
              <w:rPr>
                <w:rFonts w:ascii="Arial Narrow" w:hAnsi="Arial Narrow" w:cs="Times New Roman"/>
                <w:b/>
                <w:sz w:val="16"/>
                <w:szCs w:val="16"/>
              </w:rPr>
              <w:t>Categories</w:t>
            </w:r>
          </w:p>
          <w:p w:rsidR="00815F2C" w:rsidRPr="00060A7F" w:rsidRDefault="00815F2C" w:rsidP="00343477">
            <w:pPr>
              <w:jc w:val="center"/>
              <w:rPr>
                <w:rFonts w:ascii="Arial Narrow" w:hAnsi="Arial Narrow" w:cs="Times New Roman"/>
                <w:b/>
                <w:sz w:val="16"/>
                <w:szCs w:val="16"/>
              </w:rPr>
            </w:pPr>
            <w:r w:rsidRPr="00060A7F">
              <w:rPr>
                <w:rFonts w:ascii="Arial Narrow" w:hAnsi="Arial Narrow" w:cs="Times New Roman"/>
                <w:b/>
                <w:sz w:val="16"/>
                <w:szCs w:val="16"/>
              </w:rPr>
              <w:t>Count (%)</w:t>
            </w:r>
          </w:p>
        </w:tc>
        <w:tc>
          <w:tcPr>
            <w:tcW w:w="850" w:type="dxa"/>
            <w:tcBorders>
              <w:top w:val="single" w:sz="4" w:space="0" w:color="auto"/>
              <w:bottom w:val="single" w:sz="4" w:space="0" w:color="auto"/>
            </w:tcBorders>
            <w:vAlign w:val="center"/>
          </w:tcPr>
          <w:p w:rsidR="00815F2C" w:rsidRPr="00060A7F" w:rsidRDefault="00815F2C" w:rsidP="00343477">
            <w:pPr>
              <w:jc w:val="center"/>
              <w:rPr>
                <w:rFonts w:ascii="Arial Narrow" w:hAnsi="Arial Narrow" w:cs="Times New Roman"/>
                <w:b/>
                <w:sz w:val="16"/>
                <w:szCs w:val="16"/>
              </w:rPr>
            </w:pPr>
            <w:r w:rsidRPr="00060A7F">
              <w:rPr>
                <w:rFonts w:ascii="Arial Narrow" w:hAnsi="Arial Narrow" w:cs="Times New Roman"/>
                <w:b/>
                <w:sz w:val="16"/>
                <w:szCs w:val="16"/>
              </w:rPr>
              <w:t>Themes Count (%)</w:t>
            </w:r>
          </w:p>
        </w:tc>
      </w:tr>
      <w:tr w:rsidR="00815F2C" w:rsidRPr="00060A7F" w:rsidTr="00343477">
        <w:tc>
          <w:tcPr>
            <w:tcW w:w="5240" w:type="dxa"/>
            <w:tcBorders>
              <w:top w:val="single" w:sz="4" w:space="0" w:color="auto"/>
            </w:tcBorders>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display remarkable agility, swiftly and precisely navigating various situations quickly, showcasing their ability to adapt and respond efficiently to changing circumstances. </w:t>
            </w:r>
          </w:p>
        </w:tc>
        <w:tc>
          <w:tcPr>
            <w:tcW w:w="1701" w:type="dxa"/>
            <w:tcBorders>
              <w:top w:val="single" w:sz="4" w:space="0" w:color="auto"/>
            </w:tcBorders>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Agility (13.7)</w:t>
            </w:r>
          </w:p>
        </w:tc>
        <w:tc>
          <w:tcPr>
            <w:tcW w:w="1276" w:type="dxa"/>
            <w:vMerge w:val="restart"/>
            <w:tcBorders>
              <w:top w:val="single" w:sz="4" w:space="0" w:color="auto"/>
            </w:tcBorders>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Gross-Motor Skills (31.7)</w:t>
            </w:r>
          </w:p>
        </w:tc>
        <w:tc>
          <w:tcPr>
            <w:tcW w:w="850" w:type="dxa"/>
            <w:vMerge w:val="restart"/>
            <w:tcBorders>
              <w:top w:val="single" w:sz="4" w:space="0" w:color="auto"/>
            </w:tcBorders>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BKI (8)</w:t>
            </w: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demonstrate exceptional physical endurance and staying power, enabling them to sustain rigorous activities with remarkable perseverance and vitality.</w:t>
            </w:r>
          </w:p>
        </w:tc>
        <w:tc>
          <w:tcPr>
            <w:tcW w:w="1701" w:type="dxa"/>
            <w:vAlign w:val="center"/>
          </w:tcPr>
          <w:p w:rsidR="00815F2C" w:rsidRPr="00060A7F" w:rsidRDefault="00815F2C" w:rsidP="00343477">
            <w:pPr>
              <w:ind w:left="-955"/>
              <w:jc w:val="center"/>
              <w:rPr>
                <w:rFonts w:ascii="Arial Narrow" w:hAnsi="Arial Narrow" w:cs="Times New Roman"/>
                <w:sz w:val="16"/>
                <w:szCs w:val="16"/>
              </w:rPr>
            </w:pPr>
            <w:r w:rsidRPr="00060A7F">
              <w:rPr>
                <w:rFonts w:ascii="Arial Narrow" w:hAnsi="Arial Narrow" w:cs="Times New Roman"/>
                <w:sz w:val="16"/>
                <w:szCs w:val="16"/>
              </w:rPr>
              <w:t>Stamina (14.7)</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can harmonize movements seamlessly, showcasing their ability to coordinate actions fluidly and efficiently, reflecting their precision and grace in various </w:t>
            </w:r>
            <w:proofErr w:type="spellStart"/>
            <w:r w:rsidRPr="00060A7F">
              <w:rPr>
                <w:rFonts w:ascii="Arial Narrow" w:hAnsi="Arial Narrow" w:cs="Times New Roman"/>
                <w:bCs/>
                <w:sz w:val="16"/>
                <w:szCs w:val="16"/>
              </w:rPr>
              <w:t>endeavors</w:t>
            </w:r>
            <w:proofErr w:type="spellEnd"/>
            <w:r w:rsidRPr="00060A7F">
              <w:rPr>
                <w:rFonts w:ascii="Arial Narrow" w:hAnsi="Arial Narrow" w:cs="Times New Roman"/>
                <w:bCs/>
                <w:sz w:val="16"/>
                <w:szCs w:val="16"/>
              </w:rPr>
              <w:t>.</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Coordination (24.5)</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rPr>
          <w:trHeight w:val="660"/>
        </w:trPr>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can stretch and bend gracefully without succumbing to injuries, demonstrating their flexibility, disciplined approach, and body awareness in maintaining physical well-being.</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Flexibility (14.7)</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embody the ability to maintain stability and equilibrium while in motion, illustrating their balance, control, and meditation in navigating various physical activities.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Balance (9.8)</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display impressive muscular power and force, showcasing their strength and physical prowess in various activities and </w:t>
            </w:r>
            <w:proofErr w:type="spellStart"/>
            <w:r w:rsidRPr="00060A7F">
              <w:rPr>
                <w:rFonts w:ascii="Arial Narrow" w:hAnsi="Arial Narrow" w:cs="Times New Roman"/>
                <w:bCs/>
                <w:sz w:val="16"/>
                <w:szCs w:val="16"/>
              </w:rPr>
              <w:t>endeavors</w:t>
            </w:r>
            <w:proofErr w:type="spellEnd"/>
            <w:r w:rsidRPr="00060A7F">
              <w:rPr>
                <w:rFonts w:ascii="Arial Narrow" w:hAnsi="Arial Narrow" w:cs="Times New Roman"/>
                <w:bCs/>
                <w:sz w:val="16"/>
                <w:szCs w:val="16"/>
              </w:rPr>
              <w:t>.</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Strength (10.78)</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display swift execution, closely linked to their ability to make quick movements, showcasing their agility and adeptness in efficiently accomplishing tasks.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Speed (11.76)</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exhibit exceptional manual and bodily dexterity, showcasing their skill and proficiency in utilizing their hands and body effectively, contributing to their mastery of various activities.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Dexterity (13.6)</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Fine Motor Skills (34.2)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demonstrate remarkable hand-eye coordination, effectively synchronizing their visual perception with precise hand movements, highlighting their adeptness in performing tasks requiring precision and accuracy.</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Hand-eye coordination (10.9)</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carry out activities accurately and swiftly, ultimately contributing to their effectiveness in various </w:t>
            </w:r>
            <w:proofErr w:type="spellStart"/>
            <w:r w:rsidRPr="00060A7F">
              <w:rPr>
                <w:rFonts w:ascii="Arial Narrow" w:hAnsi="Arial Narrow" w:cs="Times New Roman"/>
                <w:bCs/>
                <w:sz w:val="16"/>
                <w:szCs w:val="16"/>
              </w:rPr>
              <w:t>endeavors</w:t>
            </w:r>
            <w:proofErr w:type="spellEnd"/>
            <w:r w:rsidRPr="00060A7F">
              <w:rPr>
                <w:rFonts w:ascii="Arial Narrow" w:hAnsi="Arial Narrow" w:cs="Times New Roman"/>
                <w:bCs/>
                <w:sz w:val="16"/>
                <w:szCs w:val="16"/>
              </w:rPr>
              <w:t>.</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Finger control (9.0)</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consistently exhibit exceptional accuracy and exactness in handling tasks, reflecting their meticulous attention to detail and commitment to achieving outcomes with precision and perfection.</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Precision (17.2)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demonstrate a distinctive style and legibility in their written script, reflecting their attention to detail, artistic expression, and clear communication, which contribute to the aesthetic and communicative qualities of their writing.</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Handwriting (8.18)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have a remarkable ability to perform tasks effectively with their hands, showcasing their manual dexterity, </w:t>
            </w:r>
            <w:proofErr w:type="spellStart"/>
            <w:r w:rsidRPr="00060A7F">
              <w:rPr>
                <w:rFonts w:ascii="Arial Narrow" w:hAnsi="Arial Narrow" w:cs="Times New Roman"/>
                <w:bCs/>
                <w:sz w:val="16"/>
                <w:szCs w:val="16"/>
              </w:rPr>
              <w:t>skillful</w:t>
            </w:r>
            <w:proofErr w:type="spellEnd"/>
            <w:r w:rsidRPr="00060A7F">
              <w:rPr>
                <w:rFonts w:ascii="Arial Narrow" w:hAnsi="Arial Narrow" w:cs="Times New Roman"/>
                <w:bCs/>
                <w:sz w:val="16"/>
                <w:szCs w:val="16"/>
              </w:rPr>
              <w:t xml:space="preserve"> coordination, and precision in executing various activities requiring hands-on involvement.</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Hand-efficiency (18.18)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display impressive hand muscle power and force, demonstrating their strength and capability in exerting significant energy and effort through their hands, contributing to their proficiency in various physical activities and tasks.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Hand-strength (22.72)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proofErr w:type="spellStart"/>
            <w:r w:rsidRPr="00060A7F">
              <w:rPr>
                <w:rFonts w:ascii="Arial Narrow" w:hAnsi="Arial Narrow" w:cs="Times New Roman"/>
                <w:bCs/>
                <w:sz w:val="16"/>
                <w:szCs w:val="16"/>
              </w:rPr>
              <w:t>Ramdev’s</w:t>
            </w:r>
            <w:proofErr w:type="spellEnd"/>
            <w:r w:rsidRPr="00060A7F">
              <w:rPr>
                <w:rFonts w:ascii="Arial Narrow" w:hAnsi="Arial Narrow" w:cs="Times New Roman"/>
                <w:bCs/>
                <w:sz w:val="16"/>
                <w:szCs w:val="16"/>
              </w:rPr>
              <w:t xml:space="preserve"> facial expressions often exhibit a serene and composed </w:t>
            </w:r>
            <w:proofErr w:type="spellStart"/>
            <w:r w:rsidRPr="00060A7F">
              <w:rPr>
                <w:rFonts w:ascii="Arial Narrow" w:hAnsi="Arial Narrow" w:cs="Times New Roman"/>
                <w:bCs/>
                <w:sz w:val="16"/>
                <w:szCs w:val="16"/>
              </w:rPr>
              <w:t>demeanor</w:t>
            </w:r>
            <w:proofErr w:type="spellEnd"/>
            <w:r w:rsidRPr="00060A7F">
              <w:rPr>
                <w:rFonts w:ascii="Arial Narrow" w:hAnsi="Arial Narrow" w:cs="Times New Roman"/>
                <w:bCs/>
                <w:sz w:val="16"/>
                <w:szCs w:val="16"/>
              </w:rPr>
              <w:t xml:space="preserve">, reflecting his inner tranquillity and yogic discipline, while </w:t>
            </w:r>
            <w:proofErr w:type="spellStart"/>
            <w:r w:rsidRPr="00060A7F">
              <w:rPr>
                <w:rFonts w:ascii="Arial Narrow" w:hAnsi="Arial Narrow" w:cs="Times New Roman"/>
                <w:bCs/>
                <w:sz w:val="16"/>
                <w:szCs w:val="16"/>
              </w:rPr>
              <w:t>Balkrishna’s</w:t>
            </w:r>
            <w:proofErr w:type="spellEnd"/>
            <w:r w:rsidRPr="00060A7F">
              <w:rPr>
                <w:rFonts w:ascii="Arial Narrow" w:hAnsi="Arial Narrow" w:cs="Times New Roman"/>
                <w:bCs/>
                <w:sz w:val="16"/>
                <w:szCs w:val="16"/>
              </w:rPr>
              <w:t xml:space="preserve"> countenance conveys an intense focus and determination, symbolizing his unwavering commitment to yoga and holistic well-being.</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Facial expression (16.51)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Body language (33.9)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exhibit the calming and focused personality trait of unwavering eye contact, reflecting their deep inner concentration and presence during yogic practices and teachings.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Eye contact (17.43)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proofErr w:type="spellStart"/>
            <w:r w:rsidRPr="00060A7F">
              <w:rPr>
                <w:rFonts w:ascii="Arial Narrow" w:hAnsi="Arial Narrow" w:cs="Times New Roman"/>
                <w:bCs/>
                <w:sz w:val="16"/>
                <w:szCs w:val="16"/>
              </w:rPr>
              <w:t>Ramdev</w:t>
            </w:r>
            <w:proofErr w:type="spellEnd"/>
            <w:r w:rsidRPr="00060A7F">
              <w:rPr>
                <w:rFonts w:ascii="Arial Narrow" w:hAnsi="Arial Narrow" w:cs="Times New Roman"/>
                <w:bCs/>
                <w:sz w:val="16"/>
                <w:szCs w:val="16"/>
              </w:rPr>
              <w:t xml:space="preserve"> Stands with an upright posture and confident gestures while addressing a large audience, conveying authoritative leadership. </w:t>
            </w:r>
          </w:p>
          <w:p w:rsidR="00815F2C" w:rsidRPr="00060A7F" w:rsidRDefault="00815F2C" w:rsidP="00343477">
            <w:pPr>
              <w:rPr>
                <w:rFonts w:ascii="Arial Narrow" w:hAnsi="Arial Narrow" w:cs="Times New Roman"/>
                <w:bCs/>
                <w:sz w:val="16"/>
                <w:szCs w:val="16"/>
              </w:rPr>
            </w:pPr>
            <w:proofErr w:type="spellStart"/>
            <w:r w:rsidRPr="00060A7F">
              <w:rPr>
                <w:rFonts w:ascii="Arial Narrow" w:hAnsi="Arial Narrow" w:cs="Times New Roman"/>
                <w:bCs/>
                <w:sz w:val="16"/>
                <w:szCs w:val="16"/>
              </w:rPr>
              <w:t>Balkrishna</w:t>
            </w:r>
            <w:proofErr w:type="spellEnd"/>
            <w:r w:rsidRPr="00060A7F">
              <w:rPr>
                <w:rFonts w:ascii="Arial Narrow" w:hAnsi="Arial Narrow" w:cs="Times New Roman"/>
                <w:bCs/>
                <w:sz w:val="16"/>
                <w:szCs w:val="16"/>
              </w:rPr>
              <w:t xml:space="preserve"> often actively listens with open body language and nods while discussing ideas with team members, demonstrating inclusive leadership.</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Gestures (24.77)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proofErr w:type="spellStart"/>
            <w:r w:rsidRPr="00060A7F">
              <w:rPr>
                <w:rFonts w:ascii="Arial Narrow" w:hAnsi="Arial Narrow" w:cs="Times New Roman"/>
                <w:bCs/>
                <w:sz w:val="16"/>
                <w:szCs w:val="16"/>
              </w:rPr>
              <w:t>Ramdev’s</w:t>
            </w:r>
            <w:proofErr w:type="spellEnd"/>
            <w:r w:rsidRPr="00060A7F">
              <w:rPr>
                <w:rFonts w:ascii="Arial Narrow" w:hAnsi="Arial Narrow" w:cs="Times New Roman"/>
                <w:bCs/>
                <w:sz w:val="16"/>
                <w:szCs w:val="16"/>
              </w:rPr>
              <w:t xml:space="preserve"> upright and balanced posture exemplifies discipline and control, while </w:t>
            </w:r>
            <w:proofErr w:type="spellStart"/>
            <w:r w:rsidRPr="00060A7F">
              <w:rPr>
                <w:rFonts w:ascii="Arial Narrow" w:hAnsi="Arial Narrow" w:cs="Times New Roman"/>
                <w:bCs/>
                <w:sz w:val="16"/>
                <w:szCs w:val="16"/>
              </w:rPr>
              <w:t>Balkrishna’s</w:t>
            </w:r>
            <w:proofErr w:type="spellEnd"/>
            <w:r w:rsidRPr="00060A7F">
              <w:rPr>
                <w:rFonts w:ascii="Arial Narrow" w:hAnsi="Arial Narrow" w:cs="Times New Roman"/>
                <w:bCs/>
                <w:sz w:val="16"/>
                <w:szCs w:val="16"/>
              </w:rPr>
              <w:t xml:space="preserve"> calm and </w:t>
            </w:r>
            <w:proofErr w:type="spellStart"/>
            <w:r w:rsidRPr="00060A7F">
              <w:rPr>
                <w:rFonts w:ascii="Arial Narrow" w:hAnsi="Arial Narrow" w:cs="Times New Roman"/>
                <w:bCs/>
                <w:sz w:val="16"/>
                <w:szCs w:val="16"/>
              </w:rPr>
              <w:t>centered</w:t>
            </w:r>
            <w:proofErr w:type="spellEnd"/>
            <w:r w:rsidRPr="00060A7F">
              <w:rPr>
                <w:rFonts w:ascii="Arial Narrow" w:hAnsi="Arial Narrow" w:cs="Times New Roman"/>
                <w:bCs/>
                <w:sz w:val="16"/>
                <w:szCs w:val="16"/>
              </w:rPr>
              <w:t xml:space="preserve"> </w:t>
            </w:r>
            <w:proofErr w:type="spellStart"/>
            <w:r w:rsidRPr="00060A7F">
              <w:rPr>
                <w:rFonts w:ascii="Arial Narrow" w:hAnsi="Arial Narrow" w:cs="Times New Roman"/>
                <w:bCs/>
                <w:sz w:val="16"/>
                <w:szCs w:val="16"/>
              </w:rPr>
              <w:t>demeanor</w:t>
            </w:r>
            <w:proofErr w:type="spellEnd"/>
            <w:r w:rsidRPr="00060A7F">
              <w:rPr>
                <w:rFonts w:ascii="Arial Narrow" w:hAnsi="Arial Narrow" w:cs="Times New Roman"/>
                <w:bCs/>
                <w:sz w:val="16"/>
                <w:szCs w:val="16"/>
              </w:rPr>
              <w:t xml:space="preserve"> reflects inner tranquillity, embodying essential yogic principles of physical and mental harmony.</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Posture (20.18)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xml:space="preserve">From a yogic perspective, </w:t>
            </w:r>
            <w:proofErr w:type="spellStart"/>
            <w:r w:rsidRPr="00060A7F">
              <w:rPr>
                <w:rFonts w:ascii="Arial Narrow" w:hAnsi="Arial Narrow" w:cs="Times New Roman"/>
                <w:bCs/>
                <w:sz w:val="16"/>
                <w:szCs w:val="16"/>
              </w:rPr>
              <w:t>Ramdev’s</w:t>
            </w:r>
            <w:proofErr w:type="spellEnd"/>
            <w:r w:rsidRPr="00060A7F">
              <w:rPr>
                <w:rFonts w:ascii="Arial Narrow" w:hAnsi="Arial Narrow" w:cs="Times New Roman"/>
                <w:bCs/>
                <w:sz w:val="16"/>
                <w:szCs w:val="16"/>
              </w:rPr>
              <w:t xml:space="preserve"> tone of voice exudes confidence and authority, reflecting his strong and disciplined approach to yoga and wellness. In contrast, </w:t>
            </w:r>
            <w:proofErr w:type="spellStart"/>
            <w:r w:rsidRPr="00060A7F">
              <w:rPr>
                <w:rFonts w:ascii="Arial Narrow" w:hAnsi="Arial Narrow" w:cs="Times New Roman"/>
                <w:bCs/>
                <w:sz w:val="16"/>
                <w:szCs w:val="16"/>
              </w:rPr>
              <w:t>Balkrishna’s</w:t>
            </w:r>
            <w:proofErr w:type="spellEnd"/>
            <w:r w:rsidRPr="00060A7F">
              <w:rPr>
                <w:rFonts w:ascii="Arial Narrow" w:hAnsi="Arial Narrow" w:cs="Times New Roman"/>
                <w:bCs/>
                <w:sz w:val="16"/>
                <w:szCs w:val="16"/>
              </w:rPr>
              <w:t xml:space="preserve"> tone carries a deep sense of tranquillity and wisdom, mirroring his profound connection to the spiritual aspects of yoga and Ayurveda.</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Tone of voice (10)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xml:space="preserve">…exhibit a tranquil and </w:t>
            </w:r>
            <w:proofErr w:type="spellStart"/>
            <w:r w:rsidRPr="00060A7F">
              <w:rPr>
                <w:rFonts w:ascii="Arial Narrow" w:hAnsi="Arial Narrow" w:cs="Times New Roman"/>
                <w:bCs/>
                <w:sz w:val="16"/>
                <w:szCs w:val="16"/>
              </w:rPr>
              <w:t>centered</w:t>
            </w:r>
            <w:proofErr w:type="spellEnd"/>
            <w:r w:rsidRPr="00060A7F">
              <w:rPr>
                <w:rFonts w:ascii="Arial Narrow" w:hAnsi="Arial Narrow" w:cs="Times New Roman"/>
                <w:bCs/>
                <w:sz w:val="16"/>
                <w:szCs w:val="16"/>
              </w:rPr>
              <w:t xml:space="preserve"> presence, with serene facial expressions and composed body postures, reflecting their deep yogic practice and inner balance.</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 Other Non-verbal Cues (11)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rPr>
          <w:trHeight w:val="109"/>
        </w:trPr>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prioritize overall health and well-being through regular yoga, exercise, and physical activity. They demonstrate their commitment to maintaining a balanced lifestyle that fosters physical fitness, vitality, and optimal health.</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Physical fitness (10.6)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Physical Potential (16.6)</w:t>
            </w:r>
          </w:p>
        </w:tc>
        <w:tc>
          <w:tcPr>
            <w:tcW w:w="850" w:type="dxa"/>
            <w:vMerge w:val="restart"/>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Wellness (28)</w:t>
            </w: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can sustain physical activity over extended periods, showcasing their endurance, stamina, and disciplined approach to consistently engaging in physical tasks and exercises.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Endurance (12.1)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embody the capacity to endure demanding activities with unwavering staying power, epitomizing the concept of ceaseless hard work, which reflects their relentless dedication, resilience, and determination in pursuing their goals even in the face of challenges.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Stamina (10.1)</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can move their joints and muscles comfortably, illustrating their flexibility, physical well-being, and ease of movement, contributing to their overall fitness and agility.</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Flexibility range of motion (10.1)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demonstrate their muscles’ impressive power and effectiveness for various tasks, showcasing their physical competence and capability to execute tasks with strength and efficiency.</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Strength </w:t>
            </w:r>
            <w:r w:rsidRPr="00060A7F">
              <w:rPr>
                <w:rFonts w:ascii="Arial Narrow" w:hAnsi="Arial Narrow" w:cs="Times New Roman"/>
                <w:bCs/>
                <w:sz w:val="16"/>
                <w:szCs w:val="16"/>
              </w:rPr>
              <w:t>muscle function (11.6)</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lastRenderedPageBreak/>
              <w:t>... excel in handling and reducing stress effectively, showcasing their ability to manage and alleviate stress through breath regulations, meditation, resilience, and holistic practices, ultimately contributing to their well-being and balanced approach to life.</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Stress management (16.6)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Psychological Potential (15.1)</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sz w:val="16"/>
                <w:szCs w:val="16"/>
              </w:rPr>
              <w:t>... exemplify remarkable adaptability, effortlessly flourishing in ever-changing circumstances, showcasing their ability to embrace new situations and continue their journey with unwavering determination.</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Adaptability (21.1)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i/>
                <w:iCs/>
                <w:sz w:val="16"/>
                <w:szCs w:val="16"/>
              </w:rPr>
            </w:pPr>
            <w:r w:rsidRPr="00060A7F">
              <w:rPr>
                <w:rFonts w:ascii="Arial Narrow" w:hAnsi="Arial Narrow" w:cs="Times New Roman"/>
                <w:bCs/>
                <w:sz w:val="16"/>
                <w:szCs w:val="16"/>
              </w:rPr>
              <w:t>... embody unshakable resolution, demonstrating unwavering determination and commitment to their goals. They navigate challenges steadfastly and channel their energy into constructive actions, mirroring their unyielding pursuit of personal growth and success.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Resilience (17.22)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exhibit exceptional emotional management and control, exemplifying the capacity to regulate their emotions effectively, contributing to their composed and balanced </w:t>
            </w:r>
            <w:proofErr w:type="spellStart"/>
            <w:r w:rsidRPr="00060A7F">
              <w:rPr>
                <w:rFonts w:ascii="Arial Narrow" w:hAnsi="Arial Narrow" w:cs="Times New Roman"/>
                <w:bCs/>
                <w:sz w:val="16"/>
                <w:szCs w:val="16"/>
              </w:rPr>
              <w:t>demeanor</w:t>
            </w:r>
            <w:proofErr w:type="spellEnd"/>
            <w:r w:rsidRPr="00060A7F">
              <w:rPr>
                <w:rFonts w:ascii="Arial Narrow" w:hAnsi="Arial Narrow" w:cs="Times New Roman"/>
                <w:bCs/>
                <w:sz w:val="16"/>
                <w:szCs w:val="16"/>
              </w:rPr>
              <w:t xml:space="preserve"> in various situations.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Emotional regulation (22.22)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consistently maintain a positive </w:t>
            </w:r>
            <w:proofErr w:type="spellStart"/>
            <w:r w:rsidRPr="00060A7F">
              <w:rPr>
                <w:rFonts w:ascii="Arial Narrow" w:hAnsi="Arial Narrow" w:cs="Times New Roman"/>
                <w:bCs/>
                <w:sz w:val="16"/>
                <w:szCs w:val="16"/>
              </w:rPr>
              <w:t>mindset</w:t>
            </w:r>
            <w:proofErr w:type="spellEnd"/>
            <w:r w:rsidRPr="00060A7F">
              <w:rPr>
                <w:rFonts w:ascii="Arial Narrow" w:hAnsi="Arial Narrow" w:cs="Times New Roman"/>
                <w:bCs/>
                <w:sz w:val="16"/>
                <w:szCs w:val="16"/>
              </w:rPr>
              <w:t>, demonstrating their ability to approach challenges optimistically and cultivate an attitude that fosters resilience and growth.</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Positive </w:t>
            </w:r>
            <w:proofErr w:type="spellStart"/>
            <w:r w:rsidRPr="00060A7F">
              <w:rPr>
                <w:rFonts w:ascii="Arial Narrow" w:hAnsi="Arial Narrow" w:cs="Times New Roman"/>
                <w:bCs/>
                <w:sz w:val="16"/>
                <w:szCs w:val="16"/>
              </w:rPr>
              <w:t>mindset</w:t>
            </w:r>
            <w:proofErr w:type="spellEnd"/>
            <w:r w:rsidRPr="00060A7F">
              <w:rPr>
                <w:rFonts w:ascii="Arial Narrow" w:hAnsi="Arial Narrow" w:cs="Times New Roman"/>
                <w:bCs/>
                <w:sz w:val="16"/>
                <w:szCs w:val="16"/>
              </w:rPr>
              <w:t xml:space="preserve"> (22.77)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possess exceptional abilities for effective communication and interaction, demonstrating their skill in conveying ideas, connecting with others, and fostering meaningful relationships through clear expression and empathetic engagement.</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Interpersonal skills (16.6)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Social Potential (16.6)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excel in establishing and nurturing connections with others, showcasing their ability to cultivate meaningful relationships, foster camaraderie, and create a sense of belonging through their approachable </w:t>
            </w:r>
            <w:proofErr w:type="spellStart"/>
            <w:r w:rsidRPr="00060A7F">
              <w:rPr>
                <w:rFonts w:ascii="Arial Narrow" w:hAnsi="Arial Narrow" w:cs="Times New Roman"/>
                <w:bCs/>
                <w:sz w:val="16"/>
                <w:szCs w:val="16"/>
              </w:rPr>
              <w:t>demeanor</w:t>
            </w:r>
            <w:proofErr w:type="spellEnd"/>
            <w:r w:rsidRPr="00060A7F">
              <w:rPr>
                <w:rFonts w:ascii="Arial Narrow" w:hAnsi="Arial Narrow" w:cs="Times New Roman"/>
                <w:bCs/>
                <w:sz w:val="16"/>
                <w:szCs w:val="16"/>
              </w:rPr>
              <w:t xml:space="preserve"> and genuine interactions.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Building relationships (17.1)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exhibit the capacity to receive assistance and emotional support from their peers, demonstrating their openness to collaboration, ability to build a supportive network, and recognition of the value of shared understanding and empathy.</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Social support (21.17)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adeptly manage disagreements and find solutions, showcasing their conflict resolution skills, collaborative approach, and commitment to maintaining harmony and effective problem-solving within their interactions and </w:t>
            </w:r>
            <w:proofErr w:type="spellStart"/>
            <w:r w:rsidRPr="00060A7F">
              <w:rPr>
                <w:rFonts w:ascii="Arial Narrow" w:hAnsi="Arial Narrow" w:cs="Times New Roman"/>
                <w:bCs/>
                <w:sz w:val="16"/>
                <w:szCs w:val="16"/>
              </w:rPr>
              <w:t>endeavors</w:t>
            </w:r>
            <w:proofErr w:type="spellEnd"/>
            <w:r w:rsidRPr="00060A7F">
              <w:rPr>
                <w:rFonts w:ascii="Arial Narrow" w:hAnsi="Arial Narrow" w:cs="Times New Roman"/>
                <w:bCs/>
                <w:sz w:val="16"/>
                <w:szCs w:val="16"/>
              </w:rPr>
              <w:t>.</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Conflict resolution (10.1)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effectively collaborate with others to achieve shared goals, exemplifying their teamwork, coordination, and alignment of efforts towards common objectives, fostering a collective sense of accomplishment and success.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Collaboration (16.16)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demonstrate cooperative efforts within a group to accomplish tasks, highlighting their ability to work harmoniously, contribute collaboratively, and leverage their collective strengths to complete objectives and projects successfully.</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Teamwork (16.66)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convey a sense of security and ease regarding their financial situation, reflecting their balanced approach to financial matters and ability to manage resources wisely, contributing to their overall peace of mind and stability.</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Financial comfort (14.28)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Economic Potential (11.77)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Maintain a positive outlook regarding prospects, demonstrating an optimistic </w:t>
            </w:r>
            <w:proofErr w:type="spellStart"/>
            <w:r w:rsidRPr="00060A7F">
              <w:rPr>
                <w:rFonts w:ascii="Arial Narrow" w:hAnsi="Arial Narrow" w:cs="Times New Roman"/>
                <w:bCs/>
                <w:sz w:val="16"/>
                <w:szCs w:val="16"/>
              </w:rPr>
              <w:t>mindset</w:t>
            </w:r>
            <w:proofErr w:type="spellEnd"/>
            <w:r w:rsidRPr="00060A7F">
              <w:rPr>
                <w:rFonts w:ascii="Arial Narrow" w:hAnsi="Arial Narrow" w:cs="Times New Roman"/>
                <w:bCs/>
                <w:sz w:val="16"/>
                <w:szCs w:val="16"/>
              </w:rPr>
              <w:t xml:space="preserve">, hopeful attitude, and belief in the potential for </w:t>
            </w:r>
            <w:proofErr w:type="spellStart"/>
            <w:r w:rsidRPr="00060A7F">
              <w:rPr>
                <w:rFonts w:ascii="Arial Narrow" w:hAnsi="Arial Narrow" w:cs="Times New Roman"/>
                <w:bCs/>
                <w:sz w:val="16"/>
                <w:szCs w:val="16"/>
              </w:rPr>
              <w:t>favorable</w:t>
            </w:r>
            <w:proofErr w:type="spellEnd"/>
            <w:r w:rsidRPr="00060A7F">
              <w:rPr>
                <w:rFonts w:ascii="Arial Narrow" w:hAnsi="Arial Narrow" w:cs="Times New Roman"/>
                <w:bCs/>
                <w:sz w:val="16"/>
                <w:szCs w:val="16"/>
              </w:rPr>
              <w:t xml:space="preserve"> outcomes, inspiring confidence and resilience in their </w:t>
            </w:r>
            <w:proofErr w:type="spellStart"/>
            <w:r w:rsidRPr="00060A7F">
              <w:rPr>
                <w:rFonts w:ascii="Arial Narrow" w:hAnsi="Arial Narrow" w:cs="Times New Roman"/>
                <w:bCs/>
                <w:sz w:val="16"/>
                <w:szCs w:val="16"/>
              </w:rPr>
              <w:t>endeavors</w:t>
            </w:r>
            <w:proofErr w:type="spellEnd"/>
            <w:r w:rsidRPr="00060A7F">
              <w:rPr>
                <w:rFonts w:ascii="Arial Narrow" w:hAnsi="Arial Narrow" w:cs="Times New Roman"/>
                <w:bCs/>
                <w:sz w:val="16"/>
                <w:szCs w:val="16"/>
              </w:rPr>
              <w:t>.</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Optimism about the future (16.42)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have access to diverse job opportunities and possibilities for career growth, showcasing their wide-ranging skills, expertise, and commitment to continuous learning, contributing to their professional advancement and success.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Employment and career opportunities (21.4)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possess knowledge and understanding of financial concepts, demonstrating their familiarity with financial principles, prudent decision-making, and ability to manage financial matters effectively for personal and organizational well-being.</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Financial literacy (7.14)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have access to many learning opportunities, showcasing their dedication to continuous growth, skill development, and proactive approach toward acquiring new knowledge and expanding their horizons.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Access to education and skill development (12.14)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demonstrate the ability to ascend the economic ladder, reflecting their determination, strategic efforts, and effective utilization of resources to achieve higher economic status and improved financial well-being.</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Economic mobility (15)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can maintain a stable and consistent financial situation. They highlight their prudent financial management, responsible decision-making, and resilience in navigating economic fluctuations for long-term financial security.</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Economic stability (13.57)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xml:space="preserve">... possess a profound sense of significance and direction in life, exemplifying their clarity of purpose, strong values, and ability to navigate their journey with a clear sense of meaning and </w:t>
            </w:r>
            <w:proofErr w:type="spellStart"/>
            <w:r w:rsidRPr="00060A7F">
              <w:rPr>
                <w:rFonts w:ascii="Arial Narrow" w:hAnsi="Arial Narrow" w:cs="Times New Roman"/>
                <w:bCs/>
                <w:sz w:val="16"/>
                <w:szCs w:val="16"/>
              </w:rPr>
              <w:t>fulfillment</w:t>
            </w:r>
            <w:proofErr w:type="spellEnd"/>
            <w:r w:rsidRPr="00060A7F">
              <w:rPr>
                <w:rFonts w:ascii="Arial Narrow" w:hAnsi="Arial Narrow" w:cs="Times New Roman"/>
                <w:bCs/>
                <w:sz w:val="16"/>
                <w:szCs w:val="16"/>
              </w:rPr>
              <w:t>.</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Meaning and purpose (12.85)</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Spiritual Potential (11.77)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experience a deep connection to a larger purpose or more significant cause, demonstrating their alignment with meaningful ideals, dedication to contributing to society’s betterment, and commitment to serving a higher mission.</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Connection to something significant (13.57)</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actively engage in personal development and embrace positive change, exemplifying their continuous self-improvement, adaptability, and capacity to evolve and grow for the betterment and benefit of those around them.</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Inner growth and transformation (15)</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consistently practice meditation, embodying the ability to be fully aware and engaged in the present moment, reflecting their conscious presence, heightened focus, and commitment to living here and now.</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Meditation and Presence (9.28)</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consistently exhibit empathy and contribute to the well-being of others, exemplifying their compassionate nature and commitment to positively impacting the lives of those they interact with.</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Compassion and Service (14.28)</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consistently uphold moral principles and beliefs, reflecting their strong ethical foundation, integrity, and unwavering commitment to living aligned with their values.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Values and Ethics (16.42)</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
                <w:bCs/>
                <w:sz w:val="16"/>
                <w:szCs w:val="16"/>
              </w:rPr>
            </w:pPr>
            <w:r w:rsidRPr="00060A7F">
              <w:rPr>
                <w:rFonts w:ascii="Arial Narrow" w:hAnsi="Arial Narrow" w:cs="Times New Roman"/>
                <w:bCs/>
                <w:sz w:val="16"/>
                <w:szCs w:val="16"/>
              </w:rPr>
              <w:t>... actively engage in specific routines or practices for spiritual and personal growth, showcasing their dedication to self-improvement, inner development, and their commitment to nurturing their spiritual journey.</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Rituals and practices (18.57)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lastRenderedPageBreak/>
              <w:t>... readily reach out for assistance when needed, demonstrating their humility, openness, and understanding that seeking support is a sign of strength and a proactive approach to problem-solving and growth.</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Seeking support (14.2)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Work-Life Balance (11.77)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adeptly establish achievable goals, showcasing their strategic planning, clarity of purpose, and ability to set realistic targets aligned with their aspirations and capabilities.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Setting Realistic Expectations (17.85)</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actively engage in enjoyable activities, reflecting their pursuit of joy balance and their recognition of the importance of incorporating leisure and pleasure into their lives for overall well-being.</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Pursuing hobbies and interests (10.71)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prioritize spending meaningful time with family and friends, exemplifying their solid interpersonal connections, commitment to nurturing relationships, and recognition of social bonds’ value for emotional well-being.</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Quality time with loved ones (17.14)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w:t>
            </w:r>
            <w:proofErr w:type="spellStart"/>
            <w:r w:rsidRPr="00060A7F">
              <w:rPr>
                <w:rFonts w:ascii="Arial Narrow" w:hAnsi="Arial Narrow" w:cs="Times New Roman"/>
                <w:bCs/>
                <w:sz w:val="16"/>
                <w:szCs w:val="16"/>
              </w:rPr>
              <w:t>skillfully</w:t>
            </w:r>
            <w:proofErr w:type="spellEnd"/>
            <w:r w:rsidRPr="00060A7F">
              <w:rPr>
                <w:rFonts w:ascii="Arial Narrow" w:hAnsi="Arial Narrow" w:cs="Times New Roman"/>
                <w:bCs/>
                <w:sz w:val="16"/>
                <w:szCs w:val="16"/>
              </w:rPr>
              <w:t xml:space="preserve"> handle stress, showcasing their resilience, coping strategies, and ability to manage challenges with composure and adaptability, contributing to their overall well-being and balanced approach to life.</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Stress management (11.42)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establish limits for their well-being, exemplifying their self-care, boundary-setting, and understanding that maintaining healthy boundaries is crucial for their physical, emotional, and mental health.</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Personal Boundaries (12.1)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efficiently manage their time for tasks and relaxation, demonstrating their time-management skills, productivity, and ability to strike a harmonious balance between accomplishing responsibilities and rejuvenating through leisure activities.</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Time management (16.42)</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xml:space="preserve">... embrace </w:t>
            </w:r>
            <w:bookmarkStart w:id="1" w:name="_Hlk143178501"/>
            <w:r w:rsidRPr="00060A7F">
              <w:rPr>
                <w:rFonts w:ascii="Arial Narrow" w:hAnsi="Arial Narrow" w:cs="Times New Roman"/>
                <w:bCs/>
                <w:sz w:val="16"/>
                <w:szCs w:val="16"/>
              </w:rPr>
              <w:t>a balanced diet and lifestyle, moderate exercise, and practice mindful work, exemplifying their holistic approach to well-being by nurturing their physical health, mental clarity, and overall vitality.</w:t>
            </w:r>
            <w:bookmarkEnd w:id="1"/>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Yoga practice (13)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Yoga lifestyle (16.2)</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…exhibit a profound mindfulness characterized by their unwavering dedication to the principles of yoga, encompassing both physical postures (</w:t>
            </w:r>
            <w:proofErr w:type="spellStart"/>
            <w:r w:rsidRPr="00060A7F">
              <w:rPr>
                <w:rFonts w:ascii="Arial Narrow" w:hAnsi="Arial Narrow" w:cs="Times New Roman"/>
                <w:bCs/>
                <w:sz w:val="16"/>
                <w:szCs w:val="16"/>
              </w:rPr>
              <w:t>asanas</w:t>
            </w:r>
            <w:proofErr w:type="spellEnd"/>
            <w:r w:rsidRPr="00060A7F">
              <w:rPr>
                <w:rFonts w:ascii="Arial Narrow" w:hAnsi="Arial Narrow" w:cs="Times New Roman"/>
                <w:bCs/>
                <w:sz w:val="16"/>
                <w:szCs w:val="16"/>
              </w:rPr>
              <w:t>) and a deep awareness of their inner selves, fostering holistic well-being in the pursuit of a yogic lifestyle.</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Mindfulness (12.4)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restart"/>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proofErr w:type="spellStart"/>
            <w:r w:rsidRPr="00060A7F">
              <w:rPr>
                <w:rFonts w:ascii="Arial Narrow" w:hAnsi="Arial Narrow" w:cs="Times New Roman"/>
                <w:bCs/>
                <w:sz w:val="16"/>
                <w:szCs w:val="16"/>
              </w:rPr>
              <w:t>Ramdev</w:t>
            </w:r>
            <w:proofErr w:type="spellEnd"/>
            <w:r w:rsidRPr="00060A7F">
              <w:rPr>
                <w:rFonts w:ascii="Arial Narrow" w:hAnsi="Arial Narrow" w:cs="Times New Roman"/>
                <w:bCs/>
                <w:sz w:val="16"/>
                <w:szCs w:val="16"/>
              </w:rPr>
              <w:t xml:space="preserve"> and </w:t>
            </w:r>
            <w:proofErr w:type="spellStart"/>
            <w:r w:rsidRPr="00060A7F">
              <w:rPr>
                <w:rFonts w:ascii="Arial Narrow" w:hAnsi="Arial Narrow" w:cs="Times New Roman"/>
                <w:bCs/>
                <w:sz w:val="16"/>
                <w:szCs w:val="16"/>
              </w:rPr>
              <w:t>Balkrishna’s</w:t>
            </w:r>
            <w:proofErr w:type="spellEnd"/>
            <w:r w:rsidRPr="00060A7F">
              <w:rPr>
                <w:rFonts w:ascii="Arial Narrow" w:hAnsi="Arial Narrow" w:cs="Times New Roman"/>
                <w:bCs/>
                <w:sz w:val="16"/>
                <w:szCs w:val="16"/>
              </w:rPr>
              <w:t xml:space="preserve"> dedication to maintaining a disciplined and </w:t>
            </w:r>
            <w:proofErr w:type="spellStart"/>
            <w:r w:rsidRPr="00060A7F">
              <w:rPr>
                <w:rFonts w:ascii="Arial Narrow" w:hAnsi="Arial Narrow" w:cs="Times New Roman"/>
                <w:bCs/>
                <w:sz w:val="16"/>
                <w:szCs w:val="16"/>
              </w:rPr>
              <w:t>sattvic</w:t>
            </w:r>
            <w:proofErr w:type="spellEnd"/>
            <w:r w:rsidRPr="00060A7F">
              <w:rPr>
                <w:rFonts w:ascii="Arial Narrow" w:hAnsi="Arial Narrow" w:cs="Times New Roman"/>
                <w:bCs/>
                <w:sz w:val="16"/>
                <w:szCs w:val="16"/>
              </w:rPr>
              <w:t xml:space="preserve"> (pure) diet, aligning with yogic principles, reflects their admirable self-control and commitment to holistic well-being.</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Healthy diet (12.4)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renowned for their dedication to a yogic lifestyle exemplify the personality trait of prioritizing adequate sleep, recognizing its essential role in achieving physical, mental, and spiritual well-being according to yoga principles.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Adequate sleep (11.4)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xml:space="preserve">… exemplify the personality trait of relentless self-study or </w:t>
            </w:r>
            <w:proofErr w:type="spellStart"/>
            <w:r w:rsidRPr="00060A7F">
              <w:rPr>
                <w:rFonts w:ascii="Arial Narrow" w:hAnsi="Arial Narrow" w:cs="Times New Roman"/>
                <w:bCs/>
                <w:i/>
                <w:iCs/>
                <w:sz w:val="16"/>
                <w:szCs w:val="16"/>
              </w:rPr>
              <w:t>swadhyay</w:t>
            </w:r>
            <w:proofErr w:type="spellEnd"/>
            <w:r w:rsidRPr="00060A7F">
              <w:rPr>
                <w:rFonts w:ascii="Arial Narrow" w:hAnsi="Arial Narrow" w:cs="Times New Roman"/>
                <w:bCs/>
                <w:sz w:val="16"/>
                <w:szCs w:val="16"/>
              </w:rPr>
              <w:t xml:space="preserve"> through their dedicated pursuit of yogic knowledge and lifestyle, embodying the essence of continuous self-improvement and inner exploration by yogic principles.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Self-study (15.5)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exemplify the personality trait of non-violence (</w:t>
            </w:r>
            <w:r w:rsidRPr="00060A7F">
              <w:rPr>
                <w:rFonts w:ascii="Arial Narrow" w:hAnsi="Arial Narrow" w:cs="Times New Roman"/>
                <w:bCs/>
                <w:i/>
                <w:iCs/>
                <w:sz w:val="16"/>
                <w:szCs w:val="16"/>
              </w:rPr>
              <w:t>Ahimsa</w:t>
            </w:r>
            <w:r w:rsidRPr="00060A7F">
              <w:rPr>
                <w:rFonts w:ascii="Arial Narrow" w:hAnsi="Arial Narrow" w:cs="Times New Roman"/>
                <w:bCs/>
                <w:sz w:val="16"/>
                <w:szCs w:val="16"/>
              </w:rPr>
              <w:t>) in their yogic lifestyle by promoting harmlessness towards all living beings, advocating for a vegetarian diet, and fostering a physical and mental well-being culture through yoga and Ayurveda.</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Nonviolence (6.217)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exemplify the personality trait of simplicity, embodying the principle of contentment (</w:t>
            </w:r>
            <w:proofErr w:type="spellStart"/>
            <w:r w:rsidRPr="00060A7F">
              <w:rPr>
                <w:rFonts w:ascii="Arial Narrow" w:hAnsi="Arial Narrow" w:cs="Times New Roman"/>
                <w:bCs/>
                <w:i/>
                <w:iCs/>
                <w:sz w:val="16"/>
                <w:szCs w:val="16"/>
              </w:rPr>
              <w:t>Santosha</w:t>
            </w:r>
            <w:proofErr w:type="spellEnd"/>
            <w:r w:rsidRPr="00060A7F">
              <w:rPr>
                <w:rFonts w:ascii="Arial Narrow" w:hAnsi="Arial Narrow" w:cs="Times New Roman"/>
                <w:bCs/>
                <w:sz w:val="16"/>
                <w:szCs w:val="16"/>
              </w:rPr>
              <w:t>) by leading humble lives focused on inner peace and holistic well-being.</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Simplicity (10.36)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exemplify the yogic personality traits of commitment and service through their unwavering dedication to spreading the benefits of yoga and Ayurveda for the holistic well-being of individuals and society.</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Community and service (18.65)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practice self-awareness, encompassing an understanding of their strengths and weaknesses, demonstrating their introspection, humility, and ability to harness their strengths while addressing areas for improvement.</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Personal Mastery (33.6)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Soul-awareness (19.9) </w:t>
            </w:r>
          </w:p>
        </w:tc>
        <w:tc>
          <w:tcPr>
            <w:tcW w:w="850" w:type="dxa"/>
            <w:vMerge w:val="restart"/>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SI (15) </w:t>
            </w: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exhibit natural and unrestrained </w:t>
            </w:r>
            <w:proofErr w:type="spellStart"/>
            <w:r w:rsidRPr="00060A7F">
              <w:rPr>
                <w:rFonts w:ascii="Arial Narrow" w:hAnsi="Arial Narrow" w:cs="Times New Roman"/>
                <w:bCs/>
                <w:sz w:val="16"/>
                <w:szCs w:val="16"/>
              </w:rPr>
              <w:t>behavior</w:t>
            </w:r>
            <w:proofErr w:type="spellEnd"/>
            <w:r w:rsidRPr="00060A7F">
              <w:rPr>
                <w:rFonts w:ascii="Arial Narrow" w:hAnsi="Arial Narrow" w:cs="Times New Roman"/>
                <w:bCs/>
                <w:sz w:val="16"/>
                <w:szCs w:val="16"/>
              </w:rPr>
              <w:t>, embodying authenticity and spontaneity in their actions, interactions, and expressions, which fosters genuine connections and resonates with those around them.</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Spontaneity (34.4)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have a clear and inspiring goal for the future, reflecting their vision, purpose-driven approach, and ability to channel their efforts towards a meaningful and impactful direction.</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Vision (32)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exhibit a holistic perspective, viewing things as interconnected and considering the whole, illustrating their comprehensive understanding, systemic thinking, and awareness of the interdependence of various aspects of life.</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Holism (32.5)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Alignment With Higher Values (19.58)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demonstrate faith and trust in something without necessarily requiring concrete evidence, showcasing their spiritual depth, conviction, and capacity to embrace beliefs that transcend empirical proof.</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Faith (43.08)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sz w:val="16"/>
                <w:szCs w:val="16"/>
              </w:rPr>
            </w:pPr>
            <w:r w:rsidRPr="00060A7F">
              <w:rPr>
                <w:rFonts w:ascii="Arial Narrow" w:hAnsi="Arial Narrow" w:cs="Times New Roman"/>
                <w:bCs/>
                <w:sz w:val="16"/>
                <w:szCs w:val="16"/>
              </w:rPr>
              <w:t xml:space="preserve">... exhibit humility by acknowledging their limitations, showcasing their self-awareness, </w:t>
            </w:r>
            <w:proofErr w:type="spellStart"/>
            <w:r w:rsidRPr="00060A7F">
              <w:rPr>
                <w:rFonts w:ascii="Arial Narrow" w:hAnsi="Arial Narrow" w:cs="Times New Roman"/>
                <w:bCs/>
                <w:sz w:val="16"/>
                <w:szCs w:val="16"/>
              </w:rPr>
              <w:t>groundedness</w:t>
            </w:r>
            <w:proofErr w:type="spellEnd"/>
            <w:r w:rsidRPr="00060A7F">
              <w:rPr>
                <w:rFonts w:ascii="Arial Narrow" w:hAnsi="Arial Narrow" w:cs="Times New Roman"/>
                <w:bCs/>
                <w:sz w:val="16"/>
                <w:szCs w:val="16"/>
              </w:rPr>
              <w:t xml:space="preserve">, and willingness to learn and grow while maintaining a modest and approachable </w:t>
            </w:r>
            <w:proofErr w:type="spellStart"/>
            <w:r w:rsidRPr="00060A7F">
              <w:rPr>
                <w:rFonts w:ascii="Arial Narrow" w:hAnsi="Arial Narrow" w:cs="Times New Roman"/>
                <w:bCs/>
                <w:sz w:val="16"/>
                <w:szCs w:val="16"/>
              </w:rPr>
              <w:t>demeanor</w:t>
            </w:r>
            <w:proofErr w:type="spellEnd"/>
            <w:r w:rsidRPr="00060A7F">
              <w:rPr>
                <w:rFonts w:ascii="Arial Narrow" w:hAnsi="Arial Narrow" w:cs="Times New Roman"/>
                <w:bCs/>
                <w:sz w:val="16"/>
                <w:szCs w:val="16"/>
              </w:rPr>
              <w:t>.</w:t>
            </w:r>
          </w:p>
        </w:tc>
        <w:tc>
          <w:tcPr>
            <w:tcW w:w="1701" w:type="dxa"/>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bCs/>
                <w:sz w:val="16"/>
                <w:szCs w:val="16"/>
              </w:rPr>
              <w:t xml:space="preserve">Humility (24.39)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embody completeness and integration in life, reflecting their holistic approach, harmonious living, and ability to merge various facets of life into a unified and balanced existence.</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Wholeness (34)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Compassion In Actions (15.9)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xml:space="preserve">... deeply respect and </w:t>
            </w:r>
            <w:proofErr w:type="spellStart"/>
            <w:r w:rsidRPr="00060A7F">
              <w:rPr>
                <w:rFonts w:ascii="Arial Narrow" w:hAnsi="Arial Narrow" w:cs="Times New Roman"/>
                <w:bCs/>
                <w:sz w:val="16"/>
                <w:szCs w:val="16"/>
              </w:rPr>
              <w:t>honor</w:t>
            </w:r>
            <w:proofErr w:type="spellEnd"/>
            <w:r w:rsidRPr="00060A7F">
              <w:rPr>
                <w:rFonts w:ascii="Arial Narrow" w:hAnsi="Arial Narrow" w:cs="Times New Roman"/>
                <w:bCs/>
                <w:sz w:val="16"/>
                <w:szCs w:val="16"/>
              </w:rPr>
              <w:t xml:space="preserve"> the differences among individuals, exemplifying their inclusivity, empathy, and recognition of the diverse perspectives and contributions each person brings to the collective tapestry of humanity.</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Celebration of diversity (40)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actively contribute to the well-being of others, embodying their selflessness, compassion, and commitment to positively impacting the lives of individuals and communities through their actions, teachings, and service.</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Service (26)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practice mindful presence, fully attentive and engaged in the current moment, demonstrating their ability to cultivate focus, awareness, and a deep connection to their surroundings and experiences.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Presence (32.6)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Consciousness (36.6)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lastRenderedPageBreak/>
              <w:t>... deeply value and embrace differences among individuals, exemplifying their inclusiveness, open-mindedness, and commitment to fostering a harmonious and diverse community that appreciates and respects each person’s unique qualities.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Diversity (34.78)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xml:space="preserve">... exhibit adept control and management of their thoughts and mental processes, showcasing their meditation, cognitive discipline, and ability to cultivate a positive and focused </w:t>
            </w:r>
            <w:proofErr w:type="spellStart"/>
            <w:r w:rsidRPr="00060A7F">
              <w:rPr>
                <w:rFonts w:ascii="Arial Narrow" w:hAnsi="Arial Narrow" w:cs="Times New Roman"/>
                <w:bCs/>
                <w:sz w:val="16"/>
                <w:szCs w:val="16"/>
              </w:rPr>
              <w:t>mindset</w:t>
            </w:r>
            <w:proofErr w:type="spellEnd"/>
            <w:r w:rsidRPr="00060A7F">
              <w:rPr>
                <w:rFonts w:ascii="Arial Narrow" w:hAnsi="Arial Narrow" w:cs="Times New Roman"/>
                <w:bCs/>
                <w:sz w:val="16"/>
                <w:szCs w:val="16"/>
              </w:rPr>
              <w:t xml:space="preserve"> for enhanced well-being.</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Mastery of thoughts (50)</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proofErr w:type="spellStart"/>
            <w:r w:rsidRPr="00060A7F">
              <w:rPr>
                <w:rFonts w:ascii="Arial Narrow" w:hAnsi="Arial Narrow" w:cs="Times New Roman"/>
                <w:bCs/>
                <w:sz w:val="16"/>
                <w:szCs w:val="16"/>
              </w:rPr>
              <w:t>Ramdev’s</w:t>
            </w:r>
            <w:proofErr w:type="spellEnd"/>
            <w:r w:rsidRPr="00060A7F">
              <w:rPr>
                <w:rFonts w:ascii="Arial Narrow" w:hAnsi="Arial Narrow" w:cs="Times New Roman"/>
                <w:bCs/>
                <w:sz w:val="16"/>
                <w:szCs w:val="16"/>
              </w:rPr>
              <w:t xml:space="preserve"> ecological concern can be seen in his advocacy for sustainable agriculture, emphasizing the use of organic farming and natural resources for holistic well-being. </w:t>
            </w:r>
            <w:proofErr w:type="spellStart"/>
            <w:r w:rsidRPr="00060A7F">
              <w:rPr>
                <w:rFonts w:ascii="Arial Narrow" w:hAnsi="Arial Narrow" w:cs="Times New Roman"/>
                <w:bCs/>
                <w:sz w:val="16"/>
                <w:szCs w:val="16"/>
              </w:rPr>
              <w:t>Balkrishna’s</w:t>
            </w:r>
            <w:proofErr w:type="spellEnd"/>
            <w:r w:rsidRPr="00060A7F">
              <w:rPr>
                <w:rFonts w:ascii="Arial Narrow" w:hAnsi="Arial Narrow" w:cs="Times New Roman"/>
                <w:bCs/>
                <w:sz w:val="16"/>
                <w:szCs w:val="16"/>
              </w:rPr>
              <w:t xml:space="preserve"> ecological concern is evident through his promotion of Ayurveda and herbal products, showcasing a commitment to nature-based healing and minimizing the environmental impact of healthcare practices.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Environmental awareness (7.96) </w:t>
            </w:r>
          </w:p>
        </w:tc>
        <w:tc>
          <w:tcPr>
            <w:tcW w:w="1276" w:type="dxa"/>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bCs/>
                <w:sz w:val="16"/>
                <w:szCs w:val="16"/>
              </w:rPr>
              <w:t xml:space="preserve">Ecological concern (7.96)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demonstrate a keen understanding and recognition of their emotions, reflecting their emotional intelligence, self-awareness, and ability to navigate their feelings with insight and authenticity.</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Emotional self-awareness (34)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Self-awareness (20) </w:t>
            </w:r>
          </w:p>
        </w:tc>
        <w:tc>
          <w:tcPr>
            <w:tcW w:w="850" w:type="dxa"/>
            <w:vMerge w:val="restart"/>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EI (28) </w:t>
            </w: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possess a healthy self-perception regarding their abilities and qualities, exemplifying their self-esteem, self-confidence, and realistic assessment of their strengths and attributes.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Self-perception (30.2)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strongly believe in their capabilities and exhibit self-assurance, showcasing their self-confidence, resilience, and ability to approach challenges with a positive attitude and a sense of empowerment.</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Self-confidence (35.7)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adeptly manage and control their emotions, illustrating their emotional regulation, self-mastery, and ability to respond thoughtfully and constructively to various emotional stimuli and situations.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Emotional regulation (33.47)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Self-Regulation (19.57)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display the ability to resist immediate impulses or urges, showcasing their self-discipline, willpower, and capacity to make deliberate and conscious choices that align with their long-term goals and values.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Impulse control (26.95)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effectively cope with and endure stressors healthily, demonstrating their resilience, adaptive coping strategies, and ability to maintain well-being and balance even in challenging situations.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Stress tolerance (39.56)</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exhibit a deep understanding and care for the well-being of others, particularly during times of difficulty or suffering, exemplifying their compassion, empathy, and commitment to providing support and solace to those in need.</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Compassion (20.42) </w:t>
            </w:r>
          </w:p>
        </w:tc>
        <w:tc>
          <w:tcPr>
            <w:tcW w:w="1276" w:type="dxa"/>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Empathy (20.42)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actively exchange information and ideas between individuals or groups, showcasing their communication skills, openness to diverse perspectives, and commitment to fostering meaningful dialogue and collaboration.</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Communication (20)</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Relationship Management (19.14)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skilfully manage and find solutions to disagreements or conflicts, demonstrating their conflict resolution abilities, diplomacy, and commitment to maintaining harmonious relationships and fostering understanding even in challenging situations.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Conflict resolution (17.7)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excel in establishing and nurturing connections with others, exemplifying their interpersonal skills, genuine interactions, and ability to cultivate meaningful relationships that contribute to community and mutual growth.</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Building relationships collaboration (16.88)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collaborate effectively with others to achieve common goals, showcasing their teamwork, leadership, and capacity to align diverse efforts towards shared objectives for the more significant benefit.</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Influence (25.33)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can influence and impact others’ decisions and actions, illustrating their persuasive skills, leadership presence, and capacity to inspire positive change and alignment with their teachings and guidance.</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Communication (20)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xml:space="preserve">... focus on setting and attaining goals, reflecting their goal-oriented </w:t>
            </w:r>
            <w:proofErr w:type="spellStart"/>
            <w:r w:rsidRPr="00060A7F">
              <w:rPr>
                <w:rFonts w:ascii="Arial Narrow" w:hAnsi="Arial Narrow" w:cs="Times New Roman"/>
                <w:bCs/>
                <w:sz w:val="16"/>
                <w:szCs w:val="16"/>
              </w:rPr>
              <w:t>mindset</w:t>
            </w:r>
            <w:proofErr w:type="spellEnd"/>
            <w:r w:rsidRPr="00060A7F">
              <w:rPr>
                <w:rFonts w:ascii="Arial Narrow" w:hAnsi="Arial Narrow" w:cs="Times New Roman"/>
                <w:bCs/>
                <w:sz w:val="16"/>
                <w:szCs w:val="16"/>
              </w:rPr>
              <w:t>, determination, and commitment to achieving desired outcomes through deliberate and purposeful actions.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Achievement Orientation (24.5)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Self-Motivation (20.85)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xml:space="preserve">... consistently take proactive and self-motivated actions, showcasing their initiative, drive, and ability to independently and purposefully pursue tasks and </w:t>
            </w:r>
            <w:proofErr w:type="spellStart"/>
            <w:r w:rsidRPr="00060A7F">
              <w:rPr>
                <w:rFonts w:ascii="Arial Narrow" w:hAnsi="Arial Narrow" w:cs="Times New Roman"/>
                <w:bCs/>
                <w:sz w:val="16"/>
                <w:szCs w:val="16"/>
              </w:rPr>
              <w:t>endeavors</w:t>
            </w:r>
            <w:proofErr w:type="spellEnd"/>
            <w:r w:rsidRPr="00060A7F">
              <w:rPr>
                <w:rFonts w:ascii="Arial Narrow" w:hAnsi="Arial Narrow" w:cs="Times New Roman"/>
                <w:bCs/>
                <w:sz w:val="16"/>
                <w:szCs w:val="16"/>
              </w:rPr>
              <w:t xml:space="preserve"> for personal and collective growth.</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Initiative (20.4)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adapt and thrive in changing situations, demonstrating their adaptability, resilience, and capacity to navigate uncertainty with a positive outlook and a balanced approach.</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Adaptability (18.36)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xml:space="preserve">... hold a positive outlook and a firm belief in </w:t>
            </w:r>
            <w:proofErr w:type="spellStart"/>
            <w:r w:rsidRPr="00060A7F">
              <w:rPr>
                <w:rFonts w:ascii="Arial Narrow" w:hAnsi="Arial Narrow" w:cs="Times New Roman"/>
                <w:bCs/>
                <w:sz w:val="16"/>
                <w:szCs w:val="16"/>
              </w:rPr>
              <w:t>favorable</w:t>
            </w:r>
            <w:proofErr w:type="spellEnd"/>
            <w:r w:rsidRPr="00060A7F">
              <w:rPr>
                <w:rFonts w:ascii="Arial Narrow" w:hAnsi="Arial Narrow" w:cs="Times New Roman"/>
                <w:bCs/>
                <w:sz w:val="16"/>
                <w:szCs w:val="16"/>
              </w:rPr>
              <w:t xml:space="preserve"> outcomes, showcasing their optimism, faith, and ability to maintain a hopeful perspective even in challenging circumstances.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Optimism (36.73)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comprehensively understand various subjects and topics, exemplifying their breadth of knowledge, intellectual curiosity, and commitment to continuous learning and exploration.</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General knowledge (33.25)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Crystallized Intelligence (DM) (45.48) </w:t>
            </w:r>
          </w:p>
        </w:tc>
        <w:tc>
          <w:tcPr>
            <w:tcW w:w="850" w:type="dxa"/>
            <w:vMerge w:val="restart"/>
            <w:vAlign w:val="center"/>
          </w:tcPr>
          <w:p w:rsidR="00815F2C" w:rsidRPr="00060A7F" w:rsidRDefault="00815F2C" w:rsidP="00343477">
            <w:pPr>
              <w:jc w:val="center"/>
              <w:rPr>
                <w:rFonts w:ascii="Arial Narrow" w:hAnsi="Arial Narrow" w:cs="Times New Roman"/>
                <w:sz w:val="16"/>
                <w:szCs w:val="16"/>
              </w:rPr>
            </w:pPr>
            <w:r w:rsidRPr="00060A7F">
              <w:rPr>
                <w:rFonts w:ascii="Arial Narrow" w:hAnsi="Arial Narrow" w:cs="Times New Roman"/>
                <w:sz w:val="16"/>
                <w:szCs w:val="16"/>
              </w:rPr>
              <w:t xml:space="preserve">CI (21) </w:t>
            </w: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exhibit proficiency in numerical and mathematical concepts, showcasing their quantitative skills, analytical thinking, and ability to effectively comprehend and apply mathematical principles.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Mathematical ability (32.25)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emphasize enhancing social skills and developing practical abilities, inclusiveness in their decision-making, reflecting their focus on interpersonal interactions, hands-on learning, and commitment to nurturing well-rounded individuals. (</w:t>
            </w:r>
            <w:proofErr w:type="spellStart"/>
            <w:r w:rsidRPr="00060A7F">
              <w:rPr>
                <w:rFonts w:ascii="Arial Narrow" w:hAnsi="Arial Narrow" w:cs="Times New Roman"/>
                <w:bCs/>
                <w:i/>
                <w:iCs/>
                <w:sz w:val="16"/>
                <w:szCs w:val="16"/>
              </w:rPr>
              <w:t>vikalp</w:t>
            </w:r>
            <w:proofErr w:type="spellEnd"/>
            <w:r w:rsidRPr="00060A7F">
              <w:rPr>
                <w:rFonts w:ascii="Arial Narrow" w:hAnsi="Arial Narrow" w:cs="Times New Roman"/>
                <w:bCs/>
                <w:i/>
                <w:iCs/>
                <w:sz w:val="16"/>
                <w:szCs w:val="16"/>
              </w:rPr>
              <w:t xml:space="preserve"> </w:t>
            </w:r>
            <w:proofErr w:type="spellStart"/>
            <w:r w:rsidRPr="00060A7F">
              <w:rPr>
                <w:rFonts w:ascii="Arial Narrow" w:hAnsi="Arial Narrow" w:cs="Times New Roman"/>
                <w:bCs/>
                <w:i/>
                <w:iCs/>
                <w:sz w:val="16"/>
                <w:szCs w:val="16"/>
              </w:rPr>
              <w:t>rahit</w:t>
            </w:r>
            <w:proofErr w:type="spellEnd"/>
            <w:r w:rsidRPr="00060A7F">
              <w:rPr>
                <w:rFonts w:ascii="Arial Narrow" w:hAnsi="Arial Narrow" w:cs="Times New Roman"/>
                <w:bCs/>
                <w:i/>
                <w:iCs/>
                <w:sz w:val="16"/>
                <w:szCs w:val="16"/>
              </w:rPr>
              <w:t xml:space="preserve"> </w:t>
            </w:r>
            <w:proofErr w:type="spellStart"/>
            <w:r w:rsidRPr="00060A7F">
              <w:rPr>
                <w:rFonts w:ascii="Arial Narrow" w:hAnsi="Arial Narrow" w:cs="Times New Roman"/>
                <w:bCs/>
                <w:i/>
                <w:iCs/>
                <w:sz w:val="16"/>
                <w:szCs w:val="16"/>
              </w:rPr>
              <w:t>sankalp</w:t>
            </w:r>
            <w:proofErr w:type="spellEnd"/>
            <w:r w:rsidRPr="00060A7F">
              <w:rPr>
                <w:rFonts w:ascii="Arial Narrow" w:hAnsi="Arial Narrow" w:cs="Times New Roman"/>
                <w:bCs/>
                <w:sz w:val="16"/>
                <w:szCs w:val="16"/>
              </w:rPr>
              <w:t>)</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Social and Skill Development (34.49) </w:t>
            </w:r>
          </w:p>
        </w:tc>
        <w:tc>
          <w:tcPr>
            <w:tcW w:w="1276" w:type="dxa"/>
            <w:vMerge/>
            <w:vAlign w:val="center"/>
          </w:tcPr>
          <w:p w:rsidR="00815F2C" w:rsidRPr="00060A7F" w:rsidRDefault="00815F2C" w:rsidP="00343477">
            <w:pPr>
              <w:pStyle w:val="NoSpacing"/>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draw general conclusions from specific observations, demonstrating their analytical thinking, logical reasoning, and ability to extrapolate broader insights from detailed observations and experiences.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Inductive reasoning (20) </w:t>
            </w:r>
          </w:p>
        </w:tc>
        <w:tc>
          <w:tcPr>
            <w:tcW w:w="1276" w:type="dxa"/>
            <w:vMerge w:val="restart"/>
            <w:vAlign w:val="center"/>
          </w:tcPr>
          <w:p w:rsidR="00815F2C" w:rsidRPr="00060A7F" w:rsidRDefault="00815F2C" w:rsidP="00343477">
            <w:pPr>
              <w:pStyle w:val="NoSpacing"/>
              <w:rPr>
                <w:rFonts w:ascii="Arial Narrow" w:hAnsi="Arial Narrow" w:cs="Times New Roman"/>
                <w:sz w:val="16"/>
                <w:szCs w:val="16"/>
              </w:rPr>
            </w:pPr>
            <w:r w:rsidRPr="00060A7F">
              <w:rPr>
                <w:rFonts w:ascii="Arial Narrow" w:hAnsi="Arial Narrow" w:cs="Times New Roman"/>
                <w:sz w:val="16"/>
                <w:szCs w:val="16"/>
              </w:rPr>
              <w:t xml:space="preserve">Fluid Intelligence (Creativity) (54.17) </w:t>
            </w: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make specific predictions based on general principles, illustrating their deductive reasoning, systematic approach, and ability to apply overarching concepts to predict particular outcomes or scenarios.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Deductive reasoning (20.83) </w:t>
            </w:r>
          </w:p>
        </w:tc>
        <w:tc>
          <w:tcPr>
            <w:tcW w:w="1276" w:type="dxa"/>
            <w:vMerge/>
            <w:vAlign w:val="center"/>
          </w:tcPr>
          <w:p w:rsidR="00815F2C" w:rsidRPr="00060A7F" w:rsidRDefault="00815F2C" w:rsidP="00343477">
            <w:pPr>
              <w:jc w:val="center"/>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temporarily store and manipulate information during tasks, exemplifying their cognitive abilities, mental agility, and capacity to process and utilize information effectively to accomplish various cognitive activities.</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Working memory (27.91) </w:t>
            </w:r>
          </w:p>
        </w:tc>
        <w:tc>
          <w:tcPr>
            <w:tcW w:w="1276" w:type="dxa"/>
            <w:vMerge/>
            <w:vAlign w:val="center"/>
          </w:tcPr>
          <w:p w:rsidR="00815F2C" w:rsidRPr="00060A7F" w:rsidRDefault="00815F2C" w:rsidP="00343477">
            <w:pPr>
              <w:jc w:val="center"/>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lastRenderedPageBreak/>
              <w:t>... can remember and navigate through space, showcasing their spatial awareness, cognitive mapping skills, and capacity to orient themselves within their surroundings accurately.</w:t>
            </w:r>
          </w:p>
        </w:tc>
        <w:tc>
          <w:tcPr>
            <w:tcW w:w="1701" w:type="dxa"/>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Spatial memory (14.58) </w:t>
            </w:r>
          </w:p>
        </w:tc>
        <w:tc>
          <w:tcPr>
            <w:tcW w:w="1276" w:type="dxa"/>
            <w:vMerge/>
            <w:vAlign w:val="center"/>
          </w:tcPr>
          <w:p w:rsidR="00815F2C" w:rsidRPr="00060A7F" w:rsidRDefault="00815F2C" w:rsidP="00343477">
            <w:pPr>
              <w:jc w:val="center"/>
              <w:rPr>
                <w:rFonts w:ascii="Arial Narrow" w:hAnsi="Arial Narrow" w:cs="Times New Roman"/>
                <w:sz w:val="16"/>
                <w:szCs w:val="16"/>
              </w:rPr>
            </w:pPr>
          </w:p>
        </w:tc>
        <w:tc>
          <w:tcPr>
            <w:tcW w:w="850" w:type="dxa"/>
            <w:vMerge/>
            <w:vAlign w:val="center"/>
          </w:tcPr>
          <w:p w:rsidR="00815F2C" w:rsidRPr="00060A7F" w:rsidRDefault="00815F2C" w:rsidP="00343477">
            <w:pPr>
              <w:jc w:val="center"/>
              <w:rPr>
                <w:rFonts w:ascii="Arial Narrow" w:hAnsi="Arial Narrow" w:cs="Times New Roman"/>
                <w:sz w:val="16"/>
                <w:szCs w:val="16"/>
              </w:rPr>
            </w:pPr>
          </w:p>
        </w:tc>
      </w:tr>
      <w:tr w:rsidR="00815F2C" w:rsidRPr="00060A7F" w:rsidTr="00343477">
        <w:tc>
          <w:tcPr>
            <w:tcW w:w="5240" w:type="dxa"/>
            <w:tcBorders>
              <w:bottom w:val="single" w:sz="4" w:space="0" w:color="auto"/>
            </w:tcBorders>
            <w:vAlign w:val="center"/>
          </w:tcPr>
          <w:p w:rsidR="00815F2C" w:rsidRPr="00060A7F" w:rsidRDefault="00815F2C" w:rsidP="00343477">
            <w:pPr>
              <w:rPr>
                <w:rFonts w:ascii="Arial Narrow" w:hAnsi="Arial Narrow" w:cs="Times New Roman"/>
                <w:bCs/>
                <w:sz w:val="16"/>
                <w:szCs w:val="16"/>
              </w:rPr>
            </w:pPr>
            <w:r w:rsidRPr="00060A7F">
              <w:rPr>
                <w:rFonts w:ascii="Arial Narrow" w:hAnsi="Arial Narrow" w:cs="Times New Roman"/>
                <w:bCs/>
                <w:sz w:val="16"/>
                <w:szCs w:val="16"/>
              </w:rPr>
              <w:t>... exhibit the retention of sensory experiences or information, highlighting their visual memory, perceptual acuity, and ability to recall and store sensory details for reference and understanding.</w:t>
            </w:r>
          </w:p>
        </w:tc>
        <w:tc>
          <w:tcPr>
            <w:tcW w:w="1701" w:type="dxa"/>
            <w:tcBorders>
              <w:bottom w:val="single" w:sz="4" w:space="0" w:color="auto"/>
            </w:tcBorders>
            <w:vAlign w:val="center"/>
          </w:tcPr>
          <w:p w:rsidR="00815F2C" w:rsidRPr="00060A7F" w:rsidRDefault="00815F2C" w:rsidP="00343477">
            <w:pPr>
              <w:jc w:val="center"/>
              <w:rPr>
                <w:rFonts w:ascii="Arial Narrow" w:hAnsi="Arial Narrow" w:cs="Times New Roman"/>
                <w:bCs/>
                <w:sz w:val="16"/>
                <w:szCs w:val="16"/>
              </w:rPr>
            </w:pPr>
            <w:r w:rsidRPr="00060A7F">
              <w:rPr>
                <w:rFonts w:ascii="Arial Narrow" w:hAnsi="Arial Narrow" w:cs="Times New Roman"/>
                <w:bCs/>
                <w:sz w:val="16"/>
                <w:szCs w:val="16"/>
              </w:rPr>
              <w:t xml:space="preserve">Perceptual memory (16.66) </w:t>
            </w:r>
          </w:p>
        </w:tc>
        <w:tc>
          <w:tcPr>
            <w:tcW w:w="1276" w:type="dxa"/>
            <w:vMerge/>
            <w:tcBorders>
              <w:bottom w:val="single" w:sz="4" w:space="0" w:color="auto"/>
            </w:tcBorders>
            <w:vAlign w:val="center"/>
          </w:tcPr>
          <w:p w:rsidR="00815F2C" w:rsidRPr="00060A7F" w:rsidRDefault="00815F2C" w:rsidP="00343477">
            <w:pPr>
              <w:jc w:val="center"/>
              <w:rPr>
                <w:rFonts w:ascii="Arial Narrow" w:hAnsi="Arial Narrow" w:cs="Times New Roman"/>
                <w:sz w:val="16"/>
                <w:szCs w:val="16"/>
              </w:rPr>
            </w:pPr>
          </w:p>
        </w:tc>
        <w:tc>
          <w:tcPr>
            <w:tcW w:w="850" w:type="dxa"/>
            <w:vMerge/>
            <w:tcBorders>
              <w:bottom w:val="single" w:sz="4" w:space="0" w:color="auto"/>
            </w:tcBorders>
            <w:vAlign w:val="center"/>
          </w:tcPr>
          <w:p w:rsidR="00815F2C" w:rsidRPr="00060A7F" w:rsidRDefault="00815F2C" w:rsidP="00343477">
            <w:pPr>
              <w:jc w:val="center"/>
              <w:rPr>
                <w:rFonts w:ascii="Arial Narrow" w:hAnsi="Arial Narrow" w:cs="Times New Roman"/>
                <w:sz w:val="16"/>
                <w:szCs w:val="16"/>
              </w:rPr>
            </w:pPr>
          </w:p>
        </w:tc>
      </w:tr>
    </w:tbl>
    <w:p w:rsidR="00EA6BAF" w:rsidRPr="00060A7F" w:rsidRDefault="00EA6BAF">
      <w:pPr>
        <w:rPr>
          <w:rFonts w:ascii="Arial Narrow" w:hAnsi="Arial Narrow"/>
          <w:sz w:val="16"/>
          <w:szCs w:val="16"/>
        </w:rPr>
      </w:pPr>
    </w:p>
    <w:sectPr w:rsidR="00EA6BAF" w:rsidRPr="00060A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F2C"/>
    <w:rsid w:val="00060A7F"/>
    <w:rsid w:val="00815F2C"/>
    <w:rsid w:val="00A113DF"/>
    <w:rsid w:val="00DE0BC3"/>
    <w:rsid w:val="00EA6BA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147B394-350D-4258-A624-3C40E5C90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5F2C"/>
    <w:rPr>
      <w:rFonts w:ascii="Times New Roman" w:hAnsi="Times New Roman"/>
      <w:sz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15F2C"/>
    <w:pPr>
      <w:spacing w:after="0" w:line="240" w:lineRule="auto"/>
      <w:jc w:val="center"/>
    </w:pPr>
    <w:rPr>
      <w:rFonts w:ascii="Times New Roman" w:hAnsi="Times New Roman"/>
      <w14:ligatures w14:val="standardContextual"/>
    </w:rPr>
  </w:style>
  <w:style w:type="table" w:styleId="TableGrid">
    <w:name w:val="Table Grid"/>
    <w:basedOn w:val="TableNormal"/>
    <w:uiPriority w:val="39"/>
    <w:rsid w:val="00815F2C"/>
    <w:pPr>
      <w:spacing w:after="0" w:line="240" w:lineRule="auto"/>
    </w:pPr>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3219</Words>
  <Characters>22068</Characters>
  <Application>Microsoft Office Word</Application>
  <DocSecurity>0</DocSecurity>
  <Lines>183</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2025-04-10T11:43:00Z</dcterms:created>
  <dcterms:modified xsi:type="dcterms:W3CDTF">2025-08-01T08:26:00Z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c8973c31-d0a7-4197-b705-8168cf19853e</vt:lpwstr>
  </property>
</Properties>
</file>