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11427" w:type="dxa"/>
        <w:jc w:val="start"/>
        <w:tblInd w:w="-75" w:type="dxa"/>
        <w:tblLayout w:type="fixed"/>
        <w:tblCellMar>
          <w:top w:w="0" w:type="dxa"/>
          <w:start w:w="5" w:type="dxa"/>
          <w:bottom w:w="0" w:type="dxa"/>
          <w:end w:w="0" w:type="dxa"/>
        </w:tblCellMar>
        <w:tblLook w:val="04a0" w:noHBand="0" w:noVBand="1" w:firstColumn="1" w:lastRow="0" w:lastColumn="0" w:firstRow="1"/>
      </w:tblPr>
      <w:tblGrid>
        <w:gridCol w:w="2974"/>
        <w:gridCol w:w="2331"/>
        <w:gridCol w:w="2247"/>
        <w:gridCol w:w="2123"/>
        <w:gridCol w:w="1752"/>
      </w:tblGrid>
      <w:tr>
        <w:trPr>
          <w:trHeight w:val="113" w:hRule="atLeast"/>
        </w:trPr>
        <w:tc>
          <w:tcPr>
            <w:tcW w:w="29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="Calibri" w:ascii="Calibri" w:hAnsi="Calibri"/>
                <w:b/>
                <w:bCs/>
                <w:sz w:val="16"/>
                <w:szCs w:val="16"/>
                <w:lang w:eastAsia="fr-FR"/>
              </w:rPr>
            </w:r>
          </w:p>
        </w:tc>
        <w:tc>
          <w:tcPr>
            <w:tcW w:w="84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en-US" w:eastAsia="fr-FR"/>
              </w:rPr>
              <w:t>IPTW pseudo-population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en-US" w:eastAsia="fr-FR"/>
              </w:rPr>
              <w:t>Variable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en-US" w:eastAsia="fr-FR"/>
              </w:rPr>
              <w:t>Overall</w:t>
            </w: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,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N = 910</w:t>
            </w:r>
            <w:r>
              <w:rPr>
                <w:rFonts w:eastAsia="Times New Roman" w:cs="Calibri"/>
                <w:i/>
                <w:iCs/>
                <w:sz w:val="16"/>
                <w:szCs w:val="16"/>
                <w:vertAlign w:val="superscript"/>
                <w:lang w:val="en-US" w:eastAsia="fr-FR"/>
              </w:rPr>
              <w:t>1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en-US" w:eastAsia="fr-FR"/>
              </w:rPr>
              <w:t>No TZP</w:t>
            </w: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,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N = 454</w:t>
            </w:r>
            <w:r>
              <w:rPr>
                <w:rFonts w:eastAsia="Times New Roman" w:cs="Calibri"/>
                <w:i/>
                <w:iCs/>
                <w:sz w:val="16"/>
                <w:szCs w:val="16"/>
                <w:vertAlign w:val="superscript"/>
                <w:lang w:val="en-US" w:eastAsia="fr-FR"/>
              </w:rPr>
              <w:t>1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en-US" w:eastAsia="fr-FR"/>
              </w:rPr>
              <w:t>TZP</w:t>
            </w: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,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N = 456</w:t>
            </w:r>
            <w:r>
              <w:rPr>
                <w:rFonts w:eastAsia="Times New Roman" w:cs="Calibri"/>
                <w:i/>
                <w:iCs/>
                <w:sz w:val="16"/>
                <w:szCs w:val="16"/>
                <w:vertAlign w:val="superscript"/>
                <w:lang w:val="en-US" w:eastAsia="fr-FR"/>
              </w:rPr>
              <w:t>1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en-US" w:eastAsia="fr-FR"/>
              </w:rPr>
              <w:t>p-value</w:t>
            </w:r>
          </w:p>
        </w:tc>
      </w:tr>
      <w:tr>
        <w:trPr>
          <w:trHeight w:val="113" w:hRule="atLeast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ICU LOS (days)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14 (7, 26)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16 (8, 28)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11 (6, 23)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0.010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sz w:val="16"/>
                <w:szCs w:val="16"/>
                <w:vertAlign w:val="superscript"/>
                <w:lang w:val="en-US" w:eastAsia="fr-FR"/>
              </w:rPr>
              <w:t>2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ICU LOS  among survivors (days)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14 (8, 26)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15 (9, 27)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12 (8, 26)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0.26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sz w:val="16"/>
                <w:szCs w:val="16"/>
                <w:vertAlign w:val="superscript"/>
                <w:lang w:val="en-US" w:eastAsia="fr-FR"/>
              </w:rPr>
              <w:t>2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MV duration alive (days)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 (3, 14)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 (3, 15)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 (2, 11)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0.14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sz w:val="16"/>
                <w:szCs w:val="16"/>
                <w:vertAlign w:val="superscript"/>
                <w:lang w:val="en-US" w:eastAsia="fr-FR"/>
              </w:rPr>
              <w:t>2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Antibiotic treatment duration (days)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10.0 (7.0, 14.0)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10.0 (7.0, 14.0)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10.0 (7.0, 13.0)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0.054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3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ICU mortality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272 (30%)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138 (30%)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134 (29%)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0.84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4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Hospital mortality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316 (35%)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157 (35%)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158 (35%)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0.99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4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Time to death (days)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16 (4, 28)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21 (8, 30)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10 (2, 26)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0.014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3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Surgical revision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450 (49%)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221 (49%)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229 (50%)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0.78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4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Number of surgical revisions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0.00 (0.00, 1.00)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0.00 (0.00, 1.00)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1.00 (0.00, 1.00)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0.93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sz w:val="16"/>
                <w:szCs w:val="16"/>
                <w:vertAlign w:val="superscript"/>
                <w:lang w:val="en-US" w:eastAsia="fr-FR"/>
              </w:rPr>
              <w:t>2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Favorable outcome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394 (43%)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214 (47%)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180 (40%)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0.20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4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Persistent sepsis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247 (61%)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111 (55%)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136 (68%)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0.19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4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Surgical complication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141 (35%)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71 (35%)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70 (34%)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0.92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4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Medical complication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120 (30%)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61 (31%)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59 (29%)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0.89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4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1-month mortality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273 (31%)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122 (28%)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151 (35%)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0.20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4</w:t>
            </w:r>
          </w:p>
        </w:tc>
      </w:tr>
      <w:tr>
        <w:trPr>
          <w:trHeight w:val="113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1-year mortality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425 (57%)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217 (57%)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208 (57%)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0.93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4</w:t>
            </w:r>
          </w:p>
        </w:tc>
      </w:tr>
      <w:tr>
        <w:trPr>
          <w:trHeight w:val="152" w:hRule="atLeast"/>
          <w:cantSplit w:val="true"/>
        </w:trPr>
        <w:tc>
          <w:tcPr>
            <w:tcW w:w="2974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Times New Roman" w:cs="Calibri"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fr-FR"/>
              </w:rPr>
              <w:t>5-years mortality</w:t>
            </w:r>
          </w:p>
        </w:tc>
        <w:tc>
          <w:tcPr>
            <w:tcW w:w="2331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492 (76%)</w:t>
            </w:r>
          </w:p>
        </w:tc>
        <w:tc>
          <w:tcPr>
            <w:tcW w:w="224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263 (79%)</w:t>
            </w:r>
          </w:p>
        </w:tc>
        <w:tc>
          <w:tcPr>
            <w:tcW w:w="2123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229 (72%)</w:t>
            </w:r>
          </w:p>
        </w:tc>
        <w:tc>
          <w:tcPr>
            <w:tcW w:w="17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0.15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4</w:t>
            </w:r>
          </w:p>
        </w:tc>
      </w:tr>
      <w:tr>
        <w:trPr>
          <w:cantSplit w:val="true"/>
        </w:trPr>
        <w:tc>
          <w:tcPr>
            <w:tcW w:w="11427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bidi w:val="0"/>
              <w:spacing w:before="0" w:after="60"/>
              <w:jc w:val="start"/>
              <w:rPr>
                <w:b/>
                <w:bCs/>
              </w:rPr>
            </w:pPr>
            <w:r>
              <w:rPr>
                <w:rFonts w:eastAsia="Times New Roman" w:cs="Calibri"/>
                <w:b w:val="false"/>
                <w:bCs w:val="false"/>
                <w:i/>
                <w:iCs/>
                <w:sz w:val="16"/>
                <w:szCs w:val="16"/>
                <w:vertAlign w:val="superscript"/>
                <w:lang w:val="en-US" w:eastAsia="fr-FR"/>
              </w:rPr>
              <w:t>1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lang w:val="en-US" w:eastAsia="fr-FR"/>
              </w:rPr>
              <w:t>Median (IQR); n (%)</w:t>
            </w:r>
          </w:p>
          <w:p>
            <w:pPr>
              <w:pStyle w:val="Normal"/>
              <w:keepNext w:val="true"/>
              <w:widowControl/>
              <w:bidi w:val="0"/>
              <w:spacing w:lineRule="auto" w:line="259" w:before="0" w:after="60"/>
              <w:jc w:val="start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rFonts w:eastAsia="Times New Roman" w:cs="Calibri"/>
                <w:b w:val="false"/>
                <w:bCs w:val="false"/>
                <w:i/>
                <w:iCs/>
                <w:sz w:val="16"/>
                <w:szCs w:val="16"/>
                <w:vertAlign w:val="superscript"/>
                <w:lang w:val="en-US" w:eastAsia="fr-FR"/>
              </w:rPr>
              <w:t>2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position w:val="0"/>
                <w:sz w:val="16"/>
                <w:sz w:val="16"/>
                <w:szCs w:val="16"/>
                <w:vertAlign w:val="baseline"/>
                <w:lang w:val="en-US" w:eastAsia="fr-FR"/>
              </w:rPr>
              <w:t>Wilcoxon rank-sum test for complex survey samples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sz w:val="16"/>
                <w:szCs w:val="16"/>
                <w:vertAlign w:val="superscript"/>
                <w:lang w:val="en-US" w:eastAsia="fr-FR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lang w:val="en-US" w:eastAsia="fr-FR"/>
              </w:rPr>
              <w:t xml:space="preserve">; 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>3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lang w:val="en-US" w:eastAsia="fr-FR"/>
              </w:rPr>
              <w:t xml:space="preserve">t-test adapted to complex survey samples; 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vertAlign w:val="superscript"/>
                <w:lang w:val="en-US" w:eastAsia="fr-FR"/>
              </w:rPr>
              <w:t xml:space="preserve">4 </w:t>
            </w:r>
            <w:r>
              <w:rPr>
                <w:rFonts w:eastAsia="Times New Roman" w:cs="Calibri"/>
                <w:b w:val="false"/>
                <w:bCs w:val="false"/>
                <w:position w:val="0"/>
                <w:sz w:val="16"/>
                <w:sz w:val="16"/>
                <w:szCs w:val="16"/>
                <w:vertAlign w:val="baseline"/>
                <w:lang w:val="en-US" w:eastAsia="fr-FR"/>
              </w:rPr>
              <w:t>C</w:t>
            </w:r>
            <w:r>
              <w:rPr>
                <w:rFonts w:eastAsia="Times New Roman" w:cs="Calibri"/>
                <w:b w:val="false"/>
                <w:bCs w:val="false"/>
                <w:sz w:val="16"/>
                <w:szCs w:val="16"/>
                <w:lang w:val="en-US" w:eastAsia="fr-FR"/>
              </w:rPr>
              <w:t>hi-squared test with Rao &amp; Scott's second-order correction</w:t>
            </w:r>
          </w:p>
          <w:p>
            <w:pPr>
              <w:pStyle w:val="Normal"/>
              <w:keepNext w:val="true"/>
              <w:widowControl/>
              <w:bidi w:val="0"/>
              <w:spacing w:lineRule="auto" w:line="259" w:before="0" w:after="60"/>
              <w:jc w:val="start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rFonts w:eastAsia="Times New Roman" w:cs="Calibri"/>
                <w:b w:val="false"/>
                <w:bCs w:val="false"/>
                <w:i/>
                <w:iCs/>
                <w:sz w:val="16"/>
                <w:szCs w:val="16"/>
                <w:lang w:val="en-US" w:eastAsia="fr-FR"/>
              </w:rPr>
              <w:t>LOS : length of stay, ICU : intensive care unit, MV : mechanical ventilation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sz w:val="16"/>
          <w:szCs w:val="16"/>
          <w:lang w:val="en-US"/>
        </w:rPr>
      </w:pPr>
      <w:r>
        <w:rPr>
          <w:b/>
          <w:bCs/>
          <w:sz w:val="16"/>
          <w:szCs w:val="16"/>
          <w:u w:val="single"/>
          <w:lang w:val="en-US"/>
        </w:rPr>
        <w:t>eTable 5 :</w:t>
      </w:r>
      <w:r>
        <w:rPr>
          <w:sz w:val="16"/>
          <w:szCs w:val="16"/>
          <w:lang w:val="en-US"/>
        </w:rPr>
        <w:t xml:space="preserve"> Patients outcomes according to documented TZP treatment in the IPTW pseudo-population. Independent variables used in the propensity score calculation were SAPSII and Charlson comorbidity scores, patients age, year of inclusion, and the timing of surgery (emergency).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 Devanagari"/>
        <w:kern w:val="2"/>
        <w:sz w:val="22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oto Serif CJK SC" w:cs="Noto Sans Devanagari"/>
      <w:color w:val="auto"/>
      <w:kern w:val="2"/>
      <w:sz w:val="22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 Devanagari"/>
      <w:sz w:val="24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LibreOffice/25.2.4.3$Linux_X86_64 LibreOffice_project/33e196637044ead23f5c3226cde09b47731f7e27</Application>
  <AppVersion>15.0000</AppVersion>
  <Pages>1</Pages>
  <Words>271</Words>
  <Characters>1322</Characters>
  <CharactersWithSpaces>1501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2025-06-27T20:37:09Z</dcterms:created>
  <dc:creator>Charles Baulier</dc:creator>
  <dc:description/>
  <dc:language>fr-FR</dc:language>
  <cp:lastModifiedBy>Charles Baulier</cp:lastModifiedBy>
  <dcterms:modified xsi:type="dcterms:W3CDTF">2025-09-09T11:15:53Z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