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546" w:type="dxa"/>
        <w:jc w:val="center"/>
        <w:tblInd w:w="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noHBand="0" w:noVBand="0" w:firstColumn="0" w:lastRow="0" w:lastColumn="0" w:firstRow="0"/>
      </w:tblPr>
      <w:tblGrid>
        <w:gridCol w:w="3199"/>
        <w:gridCol w:w="1230"/>
        <w:gridCol w:w="1231"/>
        <w:gridCol w:w="1233"/>
        <w:gridCol w:w="546"/>
        <w:gridCol w:w="960"/>
        <w:gridCol w:w="1230"/>
        <w:gridCol w:w="1236"/>
        <w:gridCol w:w="1231"/>
        <w:gridCol w:w="547"/>
        <w:gridCol w:w="901"/>
      </w:tblGrid>
      <w:tr>
        <w:trPr>
          <w:tblHeader w:val="true"/>
          <w:cantSplit w:val="true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5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Before IPTW (baseline cohort)</w:t>
            </w:r>
          </w:p>
        </w:tc>
        <w:tc>
          <w:tcPr>
            <w:tcW w:w="5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IPTW pseudo-population</w:t>
            </w:r>
          </w:p>
        </w:tc>
      </w:tr>
      <w:tr>
        <w:trPr>
          <w:tblHeader w:val="true"/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Variables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Overall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= 454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 TZP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= 321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TZP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= 133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i w:val="false"/>
                <w:iCs w:val="false"/>
                <w:position w:val="0"/>
                <w:sz w:val="16"/>
                <w:sz w:val="16"/>
                <w:szCs w:val="16"/>
                <w:vertAlign w:val="baseline"/>
              </w:rPr>
              <w:t>SMD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95% CI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Overall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= 910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 TZP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= 454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TZP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= 456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i w:val="false"/>
                <w:iCs w:val="false"/>
                <w:position w:val="0"/>
                <w:sz w:val="16"/>
                <w:sz w:val="16"/>
                <w:szCs w:val="16"/>
                <w:vertAlign w:val="baseline"/>
              </w:rPr>
              <w:t>SMD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95% CI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2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Age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 (49, 72)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 (49, 72)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 (50, 73)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-0.30, 0.10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 (48, 72)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 (50, 72)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 (46, 72)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-0.09, 0.17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Sex (male)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 (52%)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 (55%)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 (46%)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-0.03, 0.38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454 (50%)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249 (55%)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206 (45%)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0.06, 0.32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en-US" w:eastAsia="fr-FR" w:bidi="ar-SA"/>
              </w:rPr>
              <w:t>Year of diagnosis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 (2001, 2012)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2006 (2002, 2013)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2003 (2000, 2006)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0.62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0.42, 0.83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2,005.0 (2,001.0, 2,012.0)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2,005.0 (2,002.0, 2,012.0)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2,006.0 (2,001.0, 2,012.0)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-0.14, 0.12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Aptos" w:cs="Arial" w:ascii="Arial" w:hAnsi="Arial"/>
                <w:color w:themeColor="text1" w:val="000000"/>
                <w:kern w:val="0"/>
                <w:sz w:val="16"/>
                <w:szCs w:val="16"/>
                <w:lang w:val="en-US" w:eastAsia="fr-FR" w:bidi="ar-SA"/>
              </w:rPr>
              <w:t>Chronic heart failure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 (4.0%)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 (3.1%)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 (6.1%)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-0.06, 0.34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 (3.4%)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 (3.1%)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(3.8%)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-0.09, 0.17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fr-FR" w:eastAsia="fr-FR" w:bidi="ar-SA"/>
              </w:rPr>
              <w:t>Peripheral arterial disease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 (9.3%)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 (9.1%)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 (9.8%)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-0.18, 0.23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 (9.3%)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 (8.7%)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 (9.8%)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-0.09, 0.17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Stroke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 (5.8%)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 (5.9%)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(5.3%)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-0.18, 0.23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 (5.4%)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 (5.8%)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 (5.0%)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-0.09, 0.17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Diabetes mellitus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 (19%)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 (19%)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 (20%)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-0.18, 0.23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168 (19%)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 (18%)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 (19%)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-0.11, 0.16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Chronic kidney disease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 (4.2%)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 (4.4%)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 (3.8%)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-0.17, 0.23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 (5.8%)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 (4.2%)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 (7.4%)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0.03, 0.29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Cirrhosis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(3.3%)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 (3.1%)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 (3.8%)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-0.17, 0.24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 (3.4%)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 (3.5%)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(3.2%)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-0.12, 0.15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COPD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 (11%)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 (10%)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(13%)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-0.11, 0.29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128 (14%)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 (9.7%)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 (19%)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0.15, 0.42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Dementia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 (0.9%)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 (0.9%)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(0.8%)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-0.18, 0.22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 (0.9%)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 (1.1%)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 (0.7%)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-0.09, 0.17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Gastroduodenal ulcer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 (13%)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 (13%)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 (12%)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-0.18, 0.22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113 (12%)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 (14%)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 (11%)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-0.06, 0.20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Connectivitis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 (4.0%)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(4.7%)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 (2.3%)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-0.07, 0.33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 (4.7%)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 (5.6%)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 (3.9%)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-0.04, 0.22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Cancer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 (39%)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121 (38%)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 (41%)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-0.14, 0.26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345 (38%)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178 (39%)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167 (37%)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-0.08, 0.18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Charlson comorbidity score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3.00 (1.00, 5.00)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3.00 (1.00, 5.00)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3.00 (1.00, 5.00)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-0.26, 0.14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3.00 (1.00, 5.00)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3.00 (1.00, 5.00)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3.00 (1.00, 5.00)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-0.10, 0.16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en-US" w:eastAsia="fr-FR" w:bidi="ar-SA"/>
              </w:rPr>
              <w:t>Duration of antimicrobial treatment before source control (days)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 (1.0, 5.0)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3.0 (1.0, 6.0)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1.0 (1.0, 4.0)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0.43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0.21, 0.65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2.0 (1.0, 5.0)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3.0 (1.0, 6.0)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2.0 (1.0, 5.0)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0.16, 0.45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en-US" w:eastAsia="fr-FR" w:bidi="ar-SA"/>
              </w:rPr>
              <w:t>Broad spectrum antibiotics before hcIAI</w:t>
            </w:r>
          </w:p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264 (58%)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195 (61%)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 (52%)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-0.02, 0.38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526 (58%)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278 (61%)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249 (55%)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0.00, 0.26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Vasoactive drug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302 (67%)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207 (64%)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 (71%)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-0.05, 0.35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 (66%)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304 (67%)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294 (65%)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-0.08, 0.18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Bacteremia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 (19%)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 (18%)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 (21%)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-0.13, 0.28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181 (20%)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 (19%)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 (21%)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-0.06, 0.20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en-US" w:eastAsia="fr-FR" w:bidi="ar-SA"/>
              </w:rPr>
              <w:t>Time from initial surgery to ICU admission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(4, 12)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(4, 13)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(4, 11)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-0.11, 0.30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(4, 12)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(4, 13)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(4, 11)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-0.06, 0.20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fr-FR" w:eastAsia="fr-FR" w:bidi="ar-SA"/>
              </w:rPr>
              <w:t>Adequate empirical treatment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273 (60%)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 (56%)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 (70%)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0.09, 0.49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559 (61%)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253 (56%)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306 (67%)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0.11, 0.37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Combination therapy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305 (67%)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222 (69%)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 (62%)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-0.06, 0.35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601 (66%)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315 (69%)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286 (63%)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0.01, 0.27</w:t>
            </w:r>
          </w:p>
        </w:tc>
      </w:tr>
      <w:tr>
        <w:trPr>
          <w:cantSplit w:val="true"/>
        </w:trPr>
        <w:tc>
          <w:tcPr>
            <w:tcW w:w="1354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Aptos" w:cs="Arial" w:ascii="Arial" w:hAnsi="Arial"/>
                <w:b/>
                <w:bCs/>
                <w:kern w:val="0"/>
                <w:sz w:val="16"/>
                <w:szCs w:val="16"/>
                <w:lang w:val="en-US" w:eastAsia="fr-FR" w:bidi="ar-SA"/>
              </w:rPr>
              <w:t>Characteristics of initial surgery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Type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</w:rPr>
              <w:t>Bariatric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 (18%)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 (18%)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 (17%)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-0.17, 0.23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164 (18%)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 (17%)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 (19%)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-0.08, 0.18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Timing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   </w:t>
            </w:r>
            <w:r>
              <w:rPr>
                <w:rFonts w:ascii="Arial" w:hAnsi="Arial"/>
                <w:sz w:val="16"/>
                <w:szCs w:val="16"/>
              </w:rPr>
              <w:t>Emergency procedure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184 (41%)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134 (42%)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 (38%)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-0.12, 0.29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380 (42%)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183 (40%)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196 (43%)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-0.08, 0.18</w:t>
            </w:r>
          </w:p>
        </w:tc>
      </w:tr>
      <w:tr>
        <w:trPr>
          <w:cantSplit w:val="true"/>
        </w:trPr>
        <w:tc>
          <w:tcPr>
            <w:tcW w:w="1354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Operative findings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-0.01, 0.40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0.14, 0.40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   </w:t>
            </w:r>
            <w:r>
              <w:rPr>
                <w:rFonts w:ascii="Arial" w:hAnsi="Arial"/>
                <w:sz w:val="16"/>
                <w:szCs w:val="16"/>
              </w:rPr>
              <w:t>Below transverse mesocolon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199 (44%)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134 (42%)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 (49%)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412 (45%)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186 (41%)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226 (49%)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   </w:t>
            </w:r>
            <w:r>
              <w:rPr>
                <w:rFonts w:ascii="Arial" w:hAnsi="Arial"/>
                <w:sz w:val="16"/>
                <w:szCs w:val="16"/>
              </w:rPr>
              <w:t>Above transverse mesocolon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122 (27%)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 (26%)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 (28%)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 (27%)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117 (26%)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133 (29%)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   </w:t>
            </w:r>
            <w:r>
              <w:rPr>
                <w:rFonts w:ascii="Arial" w:hAnsi="Arial"/>
                <w:sz w:val="16"/>
                <w:szCs w:val="16"/>
              </w:rPr>
              <w:t>Both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133 (29%)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 (32%)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 (23%)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248 (27%)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151 (33%)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 (21%)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Generalized peritonitis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 (24%)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 (25%)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 (20%)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-0.09, 0.31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215 (24%)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116 (26%)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99 (22%)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-0.04, 0.22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en-US" w:eastAsia="fr-FR" w:bidi="ar-SA"/>
              </w:rPr>
              <w:t>Anastomotic leakage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162 (36%)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103 (32%)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 (44%)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0.05, 0.46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326 (36%)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146 (32%)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181 (40%)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0.03, 0.29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Perforation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133 (29%)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 (27%)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 (35%)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-0.02, 0.39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288 (32%)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123 (27%)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165 (36%)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0.07, 0.33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Abscess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87 (19%)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 (22%)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 (12%)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0.07, 0.47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145 (16%)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 (21%)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 (11%)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0.13, 0.39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Unknown cause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 (16%)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 (19%)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 (9.8%)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0.06, 0.47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145 (16%)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 (20%)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 (12%)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0.11, 0.37</w:t>
            </w:r>
          </w:p>
        </w:tc>
      </w:tr>
      <w:tr>
        <w:trPr>
          <w:cantSplit w:val="true"/>
        </w:trPr>
        <w:tc>
          <w:tcPr>
            <w:tcW w:w="1354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Aptos" w:cs="Arial" w:ascii="Arial" w:hAnsi="Arial"/>
                <w:b/>
                <w:bCs/>
                <w:kern w:val="0"/>
                <w:sz w:val="16"/>
                <w:szCs w:val="16"/>
                <w:lang w:val="en-US" w:eastAsia="fr-FR" w:bidi="ar-SA"/>
              </w:rPr>
              <w:t>Severity scores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SAPS II score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 (34, 57)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 (33, 54)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 (39, 60)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-0.36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-0.57, -0.16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 (33, 57)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 (34, 56)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 (32, 58)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-0.10, 0.16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en-US" w:eastAsia="fr-FR" w:bidi="ar-SA"/>
              </w:rPr>
              <w:t>Day 0 (D0) total SOFA score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 (5.0, 10.0)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7.0 (4.0, 10.0)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 (5.0, 11.0)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-0.36, 0.04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7.0 (4.0, 10.0)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 (5.0, 10.0)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7.0 (3.0, 10.0)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-0.02, 0.24</w:t>
            </w:r>
          </w:p>
        </w:tc>
      </w:tr>
      <w:tr>
        <w:trPr>
          <w:cantSplit w:val="true"/>
        </w:trPr>
        <w:tc>
          <w:tcPr>
            <w:tcW w:w="1354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Organ failure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Respiratory failure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191 (42%)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 (41%)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 (44%)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-0.14, 0.27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378 (42%)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198 (43%)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181 (40%)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-0.05, 0.21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Hepatic failure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 (2.9%)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 (2.5%)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 (3.8%)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-0.13, 0.28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 (3.2%)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 (3.1%)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(3.3%)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-0.12, 0.14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Coagulopathy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 (5.7%)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 (5.0%)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 (7.5%)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-0.10, 0.31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 (5.9%)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 (6.3%)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 (5.4%)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-0.09, 0.17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Circulatory failure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298 (66%)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204 (64%)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 (71%)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-0.05, 0.35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588 (65%)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296 (65%)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292 (64%)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-0.10, 0.16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Neurological failure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 (1.3%)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 (0.9%)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 (2.3%)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-0.10, 0.31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 (1.2%)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 (1.1%)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 (1.3%)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-0.11, 0.15</w:t>
            </w:r>
          </w:p>
        </w:tc>
      </w:tr>
      <w:tr>
        <w:trPr>
          <w:cantSplit w:val="true"/>
        </w:trPr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Renal failure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 (24%)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 (23%)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 (29%)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-0.07, 0.34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221 (24%)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 (22%)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119 (26%)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-0.05, 0.21</w:t>
            </w:r>
          </w:p>
        </w:tc>
      </w:tr>
      <w:tr>
        <w:trPr>
          <w:cantSplit w:val="true"/>
        </w:trPr>
        <w:tc>
          <w:tcPr>
            <w:tcW w:w="1354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Median (Q1, Q3); n (%)</w:t>
            </w:r>
          </w:p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Standardized Mean Difference</w:t>
            </w:r>
          </w:p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Abbreviation: CI = Confidence Interval</w:t>
            </w:r>
          </w:p>
        </w:tc>
      </w:tr>
    </w:tbl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jc w:val="center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eTable 3 :</w:t>
      </w:r>
      <w:r>
        <w:rPr>
          <w:rFonts w:ascii="Arial" w:hAnsi="Arial"/>
        </w:rPr>
        <w:t xml:space="preserve"> Patients clinical characteristics before (in the baseline cohort) and after inverse probability of treatment weighting (IPTW)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037" w:type="dxa"/>
        <w:jc w:val="left"/>
        <w:tblInd w:w="-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55"/>
        <w:gridCol w:w="822"/>
        <w:gridCol w:w="819"/>
        <w:gridCol w:w="819"/>
        <w:gridCol w:w="484"/>
        <w:gridCol w:w="850"/>
        <w:gridCol w:w="819"/>
        <w:gridCol w:w="820"/>
        <w:gridCol w:w="821"/>
        <w:gridCol w:w="484"/>
        <w:gridCol w:w="842"/>
      </w:tblGrid>
      <w:tr>
        <w:trPr>
          <w:tblHeader w:val="true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Before IPTW (baseline cohort)</w:t>
            </w:r>
          </w:p>
        </w:tc>
        <w:tc>
          <w:tcPr>
            <w:tcW w:w="3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IPTW pseudo-population</w:t>
            </w:r>
          </w:p>
        </w:tc>
      </w:tr>
      <w:tr>
        <w:trPr>
          <w:tblHeader w:val="true"/>
        </w:trPr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Microbiological data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Overall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= 454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 TZP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= 321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TZP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= 133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i w:val="false"/>
                <w:iCs w:val="false"/>
                <w:position w:val="0"/>
                <w:sz w:val="16"/>
                <w:sz w:val="16"/>
                <w:szCs w:val="16"/>
                <w:vertAlign w:val="baseline"/>
              </w:rPr>
              <w:t>SMD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95% CI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Overall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= 910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 TZP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= 454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TZP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 = 456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i w:val="false"/>
                <w:iCs w:val="false"/>
                <w:position w:val="0"/>
                <w:sz w:val="16"/>
                <w:sz w:val="16"/>
                <w:szCs w:val="16"/>
                <w:vertAlign w:val="baseline"/>
              </w:rPr>
              <w:t>SMD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95% CI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2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Monomicrobial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 (17%)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 (21%)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 (9.8%)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0.10, 0.51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147 (16%)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 (20%)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 (12%)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0.11, 0.37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organisms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182 (40%)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 (41%)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 (38%)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-0.13, 0.27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350 (38%)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192 (42%)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159 (35%)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0.15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0.02, 0.28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Gram negative bacteria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330 (73%)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218 (68%)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 (84%)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0.19, 0.59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691 (76%)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313 (69%)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378 (83%)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0.33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0.20, 0.46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Gram negative bacteria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161 (35%)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121 (38%)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 (30%)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-0.04, 0.36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 (33%)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176 (39%)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124 (27%)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0.25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0.12, 0.38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Enterobacteriaceae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303 (67%)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198 (62%)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 (79%)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0.18, 0.59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645 (71%)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283 (62%)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362 (79%)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0.38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0.25, 0.51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</w:rPr>
              <w:t>Including AmpC producers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113 (25%)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 (23%)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 (30%)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-0.04, 0.37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256 (28%)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 (23%)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 (33%)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0.08, 0.34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Enterobacteriaceae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144 (32%)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106 (33%)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 (29%)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-0.11, 0.30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268 (29%)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 (33%)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117 (26%)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0.16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0.03, 0.29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Escherichia coli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 (42%)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115 (36%)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 (56%)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0.42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0.22, 0.63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404 (44%)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165 (36%)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239 (52%)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0.33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0.20, 0.46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Escherichia coli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 (19%)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 (17%)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 (26%)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0.04, 0.44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181 (20%)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 (17%)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 (23%)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0.15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0.02, 0.28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Klebsiella spp.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 (13%)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 (12%)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(15%)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-0.10, 0.31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134 (15%)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 (12%)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 (17%)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0.15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0.02, 0.28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MDR Klebsiella spp.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 (4.0%)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 (5.0%)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(1.5%)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-0.01, 0.40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 (3.0%)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 (4.7%)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 (1.2%)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0.07, 0.33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Enterobacter spp.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 (17%)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 (16%)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 (19%)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-0.13, 0.28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 (21%)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 (17%)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 (24%)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0.08, 0.34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Enterobacter spp.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 (9.0%)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 (12%)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 (2.3%)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0.18, 0.58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 (7.3%)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 (12%)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 (2.6%)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0.37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0.24, 0.50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NF-GNB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 (17%)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 (14%)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 (23%)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0.05, 0.45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189 (21%)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 (15%)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121 (27%)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0.17, 0.44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NF-GNB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 (6.4%)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 (7.8%)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 (3.0%)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0.01, 0.42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 (5.8%)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 (8.7%)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 (2.9%)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0.26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0.13, 0.39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Enterococcus spp.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217 (48%)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 (43%)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 (59%)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0.11, 0.51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469 (52%)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192 (42%)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277 (61%)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0.37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0.24, 0.51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Enterococcus spp.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 (6.6%)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 (5.9%)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 (8.3%)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-0.11, 0.29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 (7.1%)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 (5.8%)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 (8.4%)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-0.03, 0.23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MRSA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 (2.6%)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 (2.5%)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 (3.0%)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-0.17, 0.23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 (2.9%)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 (2.7%)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 (3.0%)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0.01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-0.12, 0.14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ESBL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 (5.5%)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 (7.8%)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 (0%)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0.41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0.21, 0.61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 (3.6%)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 (7.2%)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 (0%)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0.38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0.25, 0.51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Total number of MDR organisms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0.03, 0.44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0.28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0.15, 0.41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272 (60%)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189 (59%)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 (62%)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560 (62%)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263 (58%)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298 (65%)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 (31%)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 (31%)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 (29%)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271 (30%)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147 (32%)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124 (27%)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 (7.7%)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 (7.5%)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 (8.3%)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 (7.4%)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 (7.2%)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 (7.6%)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(1.5%)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(2.2%)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 (0%)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 (1.1%)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 (2.2%)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 (0%)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(0.2%)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(0.3%)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 (0%)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(0.2%)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(0.4%)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 (0%)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Anaerobes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 (20%)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 (18%)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 (26%)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-0.03, 0.38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 (21%)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87 (19%)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 (22%)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0.07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-0.06, 0.20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Including Bacteroides spp.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 (16%)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 (13%)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 (23%)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0.05, 0.45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141 (16%)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 (14%)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 (17%)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0.08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-0.05, 0.21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Yeasts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181 (40%)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141 (44%)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 (30%)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0.09, 0.49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348 (38%)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199 (44%)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148 (33%)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0.11, 0.37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Candida albicans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 (29%)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 (32%)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 (21%)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0.04, 0.45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245 (27%)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141 (31%)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103 (23%)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0.19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0.06, 0.32</w:t>
            </w:r>
          </w:p>
        </w:tc>
      </w:tr>
      <w:tr>
        <w:trPr/>
        <w:tc>
          <w:tcPr>
            <w:tcW w:w="24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Candida species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 (14%)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 (16%)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 (9.8%)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-0.01, 0.39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128 (14%)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 (16%)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 (12%)</w:t>
            </w:r>
          </w:p>
        </w:tc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0.13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tenudetableau"/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0.00, 0.26</w:t>
            </w:r>
          </w:p>
        </w:tc>
      </w:tr>
      <w:tr>
        <w:trPr/>
        <w:tc>
          <w:tcPr>
            <w:tcW w:w="1003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  <w:vertAlign w:val="superscript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Median (Q1, Q3); n (%)</w:t>
              <w:br/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Standardized Mean Difference</w:t>
              <w:br/>
              <w:t>Abbreviation: CI = Confidence Interval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jc w:val="center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eTable 4 :</w:t>
      </w:r>
      <w:r>
        <w:rPr>
          <w:rFonts w:ascii="Arial" w:hAnsi="Arial"/>
        </w:rPr>
        <w:t xml:space="preserve"> Microbiological data among patients before (in the baseline cohort) and after inverse probability of treatment weighting (IPTW)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180" w:after="18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swiss"/>
    <w:pitch w:val="default"/>
  </w:font>
  <w:font w:name="Aptos Display">
    <w:charset w:val="01"/>
    <w:family w:val="swiss"/>
    <w:pitch w:val="default"/>
  </w:font>
  <w:font w:name="Consolas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85"/>
  <w:embedSystemFonts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Caractresdenotedebasdepage">
    <w:name w:val="Caractères de note de bas de page"/>
    <w:qFormat/>
    <w:rPr>
      <w:vertAlign w:val="superscript"/>
    </w:rPr>
  </w:style>
  <w:style w:type="character" w:styleId="Caractresdenotedebasdepageuser">
    <w:name w:val="Caractères de note de bas de page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ascii="Arial" w:hAnsi="Arial" w:cs="Noto Sans Devanagari"/>
      <w:sz w:val="24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 Devanagari"/>
      <w:sz w:val="24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 Devanagari"/>
      <w:sz w:val="28"/>
      <w:szCs w:val="28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Titreuser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LibreOffice/25.2.4.3$Linux_X86_64 LibreOffice_project/33e196637044ead23f5c3226cde09b47731f7e27</Application>
  <AppVersion>15.0000</AppVersion>
  <Pages>6</Pages>
  <Words>1560</Words>
  <Characters>6889</Characters>
  <CharactersWithSpaces>7685</CharactersWithSpaces>
  <Paragraphs>787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2025-06-27T14:14:27Z</dcterms:created>
  <dc:creator/>
  <dc:description/>
  <dc:language>fr-FR</dc:language>
  <cp:lastModifiedBy>Charles Baulier</cp:lastModifiedBy>
  <dcterms:modified xsi:type="dcterms:W3CDTF">2025-09-09T11:16:47Z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