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16"/>
          <w:szCs w:val="16"/>
          <w:lang w:val="en-US"/>
        </w:rPr>
      </w:pPr>
      <w:r>
        <w:rPr/>
        <w:t xml:space="preserve"> </w:t>
      </w:r>
    </w:p>
    <w:tbl>
      <w:tblPr>
        <w:tblStyle w:val="Table"/>
        <w:tblW w:w="7626" w:type="dxa"/>
        <w:jc w:val="center"/>
        <w:tblInd w:w="0" w:type="dxa"/>
        <w:tblLayout w:type="fixed"/>
        <w:tblCellMar>
          <w:top w:w="0" w:type="dxa"/>
          <w:start w:w="60" w:type="dxa"/>
          <w:bottom w:w="0" w:type="dxa"/>
          <w:end w:w="60" w:type="dxa"/>
        </w:tblCellMar>
        <w:tblLook w:val="0000" w:noHBand="0" w:noVBand="0" w:firstColumn="0" w:lastRow="0" w:lastColumn="0" w:firstRow="0"/>
      </w:tblPr>
      <w:tblGrid>
        <w:gridCol w:w="2248"/>
        <w:gridCol w:w="724"/>
        <w:gridCol w:w="553"/>
        <w:gridCol w:w="1541"/>
        <w:gridCol w:w="1563"/>
        <w:gridCol w:w="997"/>
      </w:tblGrid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Subgroups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p.value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OR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95%CI lower limit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95%CI upper limit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Significant</w:t>
            </w:r>
          </w:p>
        </w:tc>
      </w:tr>
      <w:tr>
        <w:trPr>
          <w:cantSplit w:val="true"/>
        </w:trPr>
        <w:tc>
          <w:tcPr>
            <w:tcW w:w="7626" w:type="dxa"/>
            <w:gridSpan w:val="6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Surgical findings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Abscess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0.465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1.574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0.436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5.210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Anastomotic leakage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0.000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3.762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1.862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7.759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TRUE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Perforation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0.001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3.714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1.698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8.318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TRUE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Unknown Cause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0.315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0.439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0.063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1.863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Non-fermenting GNB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0.245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1.750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0.683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4.549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7626" w:type="dxa"/>
            <w:gridSpan w:val="6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Microbiological data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Enterococcus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0.000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3.219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1.767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5.933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TRUE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Fungi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0.188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1.661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0.771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3.519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MDR GNB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0.034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2.272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1.057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4.868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Group 3 Enterobacteriaceae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0.514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1.326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0.561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3.083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Anaerobes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0.000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6.723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2.448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20.200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TRUE</w:t>
            </w:r>
          </w:p>
        </w:tc>
      </w:tr>
      <w:tr>
        <w:trPr>
          <w:cantSplit w:val="true"/>
        </w:trPr>
        <w:tc>
          <w:tcPr>
            <w:tcW w:w="7626" w:type="dxa"/>
            <w:gridSpan w:val="6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Initial surgery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Bariatric Surgery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0.029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3.571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1.130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11.475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Supra-mesocolic Surgery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0.024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2.153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1.103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4.195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Infra-mesocolic Surgery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0.001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2.614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1.454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4.722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TRUE</w:t>
            </w:r>
          </w:p>
        </w:tc>
      </w:tr>
      <w:tr>
        <w:trPr>
          <w:cantSplit w:val="true"/>
        </w:trPr>
        <w:tc>
          <w:tcPr>
            <w:tcW w:w="7626" w:type="dxa"/>
            <w:gridSpan w:val="6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Site of infection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Colorectal location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0.020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2.642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1.164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6.052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Gastro duodenal location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0.053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2.229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0.990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5.054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Ileo-jejunal location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0.001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3.936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1.800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8.837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TRUE</w:t>
            </w:r>
          </w:p>
        </w:tc>
      </w:tr>
      <w:tr>
        <w:trPr>
          <w:cantSplit w:val="true"/>
        </w:trPr>
        <w:tc>
          <w:tcPr>
            <w:tcW w:w="7626" w:type="dxa"/>
            <w:gridSpan w:val="6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Documented a</w:t>
            </w: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ntimicrobial treatment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Aminoglycosides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0.024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3.545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1.201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11.052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Vancomycin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0.090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1.990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0.895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4.433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Caspofungin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0.677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0.667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0.079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4.249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Fluconazole</w:t>
            </w:r>
          </w:p>
        </w:tc>
        <w:tc>
          <w:tcPr>
            <w:tcW w:w="724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0.047</w:t>
            </w:r>
          </w:p>
        </w:tc>
        <w:tc>
          <w:tcPr>
            <w:tcW w:w="55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2.167</w:t>
            </w:r>
          </w:p>
        </w:tc>
        <w:tc>
          <w:tcPr>
            <w:tcW w:w="1541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1.008</w:t>
            </w:r>
          </w:p>
        </w:tc>
        <w:tc>
          <w:tcPr>
            <w:tcW w:w="156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4.679</w:t>
            </w:r>
          </w:p>
        </w:tc>
        <w:tc>
          <w:tcPr>
            <w:tcW w:w="99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</w:tbl>
    <w:p>
      <w:pPr>
        <w:pStyle w:val="Normal"/>
        <w:bidi w:val="0"/>
        <w:jc w:val="star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>
          <w:b/>
          <w:bCs/>
          <w:sz w:val="16"/>
          <w:szCs w:val="16"/>
          <w:u w:val="single"/>
          <w:lang w:val="en-US"/>
        </w:rPr>
        <w:t>e</w:t>
      </w:r>
      <w:r>
        <w:rPr>
          <w:b/>
          <w:bCs/>
          <w:sz w:val="16"/>
          <w:szCs w:val="16"/>
          <w:u w:val="single"/>
          <w:lang w:val="en-US"/>
        </w:rPr>
        <w:t xml:space="preserve">Table </w:t>
      </w:r>
      <w:r>
        <w:rPr>
          <w:b/>
          <w:bCs/>
          <w:sz w:val="16"/>
          <w:szCs w:val="16"/>
          <w:u w:val="single"/>
          <w:lang w:val="en-US"/>
        </w:rPr>
        <w:t xml:space="preserve">6 </w:t>
      </w:r>
      <w:r>
        <w:rPr>
          <w:sz w:val="16"/>
          <w:szCs w:val="16"/>
          <w:lang w:val="en-US"/>
        </w:rPr>
        <w:t>: Unadjusted Odds-Ratio (OR) for documented TZP use (independent variable) and 1-month mortality (dependent variable) according to specific subgroups. Threshold for statistical significance was set at 0.002</w:t>
      </w:r>
      <w:r>
        <w:rPr>
          <w:sz w:val="16"/>
          <w:szCs w:val="16"/>
          <w:lang w:val="en-US"/>
        </w:rPr>
        <w:t>5</w:t>
      </w:r>
      <w:r>
        <w:rPr>
          <w:sz w:val="16"/>
          <w:szCs w:val="16"/>
          <w:lang w:val="en-US"/>
        </w:rPr>
        <w:t xml:space="preserve"> (Bonferroni correction)</w:t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/>
      </w:r>
    </w:p>
    <w:p>
      <w:pPr>
        <w:pStyle w:val="Normal"/>
        <w:bidi w:val="0"/>
        <w:jc w:val="star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</w:p>
    <w:tbl>
      <w:tblPr>
        <w:tblStyle w:val="Table"/>
        <w:tblW w:w="7625" w:type="dxa"/>
        <w:jc w:val="center"/>
        <w:tblInd w:w="0" w:type="dxa"/>
        <w:tblLayout w:type="fixed"/>
        <w:tblCellMar>
          <w:top w:w="0" w:type="dxa"/>
          <w:start w:w="60" w:type="dxa"/>
          <w:bottom w:w="0" w:type="dxa"/>
          <w:end w:w="60" w:type="dxa"/>
        </w:tblCellMar>
        <w:tblLook w:val="0000" w:noHBand="0" w:noVBand="0" w:firstColumn="0" w:lastRow="0" w:lastColumn="0" w:firstRow="0"/>
      </w:tblPr>
      <w:tblGrid>
        <w:gridCol w:w="2248"/>
        <w:gridCol w:w="724"/>
        <w:gridCol w:w="553"/>
        <w:gridCol w:w="1488"/>
        <w:gridCol w:w="52"/>
        <w:gridCol w:w="1563"/>
        <w:gridCol w:w="997"/>
      </w:tblGrid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Subgroups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p.value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OR</w:t>
            </w:r>
          </w:p>
        </w:tc>
        <w:tc>
          <w:tcPr>
            <w:tcW w:w="1540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95%CI lower limit</w:t>
            </w:r>
          </w:p>
        </w:tc>
        <w:tc>
          <w:tcPr>
            <w:tcW w:w="156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95%CI upper limit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Significant</w:t>
            </w:r>
          </w:p>
        </w:tc>
      </w:tr>
      <w:tr>
        <w:trPr>
          <w:cantSplit w:val="true"/>
        </w:trPr>
        <w:tc>
          <w:tcPr>
            <w:tcW w:w="7625" w:type="dxa"/>
            <w:gridSpan w:val="7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Surgical findings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Abscess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0.715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0.758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0.161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3.265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Anastomotic leakage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0.016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2.924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1.236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7.106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Perforation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0.074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2.356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0.914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6.094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Unknown Cause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0.313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0.392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0.048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2.111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7625" w:type="dxa"/>
            <w:gridSpan w:val="7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Microbiological data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Non-fermenting GNB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0.782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1.185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0.347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3.958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Enterococcus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0.027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2.312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1.102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4.896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Fungi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0.532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1.305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0.560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2.998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MDR GNB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0.230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1.729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0.703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4.260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Group 3 Enterobacteriaceae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0.929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0.953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0.318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2.747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Anaerobes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0.025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4.122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1.219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15.018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7625" w:type="dxa"/>
            <w:gridSpan w:val="7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Initial surgery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Bariatric Surgery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0.125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2.854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0.748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11.396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Supra-mesocolic Surgery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0.177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1.711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0.781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3.737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Infra-mesocolic Surgery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0.094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1.816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0.900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3.659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7625" w:type="dxa"/>
            <w:gridSpan w:val="7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Site of infection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Colorectal location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0.386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1.592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0.551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4.591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Gastro duodenal location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0.941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1.038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0.378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2.759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Ileo-jejunal location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0.025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2.912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1.147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7.541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7625" w:type="dxa"/>
            <w:gridSpan w:val="7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Documented a</w:t>
            </w: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ntimicrobial treatment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Aminoglycosides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0.112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3.800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0.789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23.137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Vancomycin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0.477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1.415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0.537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3.687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Caspofungin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0.695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1.774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0.079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38.102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  <w:tr>
        <w:trPr>
          <w:cantSplit w:val="true"/>
        </w:trPr>
        <w:tc>
          <w:tcPr>
            <w:tcW w:w="224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start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Fluconazole</w:t>
            </w:r>
          </w:p>
        </w:tc>
        <w:tc>
          <w:tcPr>
            <w:tcW w:w="724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0.334</w:t>
            </w:r>
          </w:p>
        </w:tc>
        <w:tc>
          <w:tcPr>
            <w:tcW w:w="553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1.531</w:t>
            </w:r>
          </w:p>
        </w:tc>
        <w:tc>
          <w:tcPr>
            <w:tcW w:w="1488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0.642</w:t>
            </w:r>
          </w:p>
        </w:tc>
        <w:tc>
          <w:tcPr>
            <w:tcW w:w="1615" w:type="dxa"/>
            <w:gridSpan w:val="2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end"/>
              <w:rPr>
                <w:sz w:val="16"/>
                <w:szCs w:val="16"/>
              </w:rPr>
            </w:pPr>
            <w:r>
              <w:rPr>
                <w:rFonts w:eastAsia="Aptos" w:cs="" w:ascii="Calibri" w:hAnsi="Calibri"/>
                <w:kern w:val="0"/>
                <w:sz w:val="16"/>
                <w:szCs w:val="16"/>
                <w:lang w:val="en-US" w:eastAsia="fr-FR" w:bidi="ar-SA"/>
              </w:rPr>
              <w:t>3.650</w:t>
            </w:r>
          </w:p>
        </w:tc>
        <w:tc>
          <w:tcPr>
            <w:tcW w:w="997" w:type="dxa"/>
            <w:tcBorders>
              <w:top w:val="single" w:sz="4" w:space="0" w:color="A6A6A6"/>
              <w:start w:val="single" w:sz="4" w:space="0" w:color="A6A6A6"/>
              <w:bottom w:val="single" w:sz="4" w:space="0" w:color="A6A6A6"/>
              <w:end w:val="single" w:sz="4" w:space="0" w:color="A6A6A6"/>
            </w:tcBorders>
          </w:tcPr>
          <w:p>
            <w:pPr>
              <w:pStyle w:val="Normal"/>
              <w:keepNext w:val="true"/>
              <w:widowControl/>
              <w:suppressAutoHyphens w:val="true"/>
              <w:bidi w:val="0"/>
              <w:spacing w:lineRule="auto" w:line="240" w:before="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16"/>
                <w:szCs w:val="16"/>
                <w:lang w:val="en-US" w:eastAsia="fr-FR" w:bidi="ar-SA"/>
              </w:rPr>
              <w:t>FALSE</w:t>
            </w:r>
          </w:p>
        </w:tc>
      </w:tr>
    </w:tbl>
    <w:p>
      <w:pPr>
        <w:pStyle w:val="Normal"/>
        <w:bidi w:val="0"/>
        <w:jc w:val="star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>
          <w:b/>
          <w:bCs/>
          <w:sz w:val="16"/>
          <w:szCs w:val="16"/>
          <w:u w:val="single"/>
          <w:lang w:val="en-US"/>
        </w:rPr>
        <w:t>e</w:t>
      </w:r>
      <w:r>
        <w:rPr>
          <w:b/>
          <w:bCs/>
          <w:sz w:val="16"/>
          <w:szCs w:val="16"/>
          <w:u w:val="single"/>
          <w:lang w:val="en-US"/>
        </w:rPr>
        <w:t xml:space="preserve">Table </w:t>
      </w:r>
      <w:r>
        <w:rPr>
          <w:b/>
          <w:bCs/>
          <w:sz w:val="16"/>
          <w:szCs w:val="16"/>
          <w:u w:val="single"/>
          <w:lang w:val="en-US"/>
        </w:rPr>
        <w:t>7</w:t>
      </w:r>
      <w:r>
        <w:rPr>
          <w:sz w:val="16"/>
          <w:szCs w:val="16"/>
          <w:lang w:val="en-US"/>
        </w:rPr>
        <w:t xml:space="preserve"> : Adjusted Odds-Ratio (OR) for documented TZP use (independent variable) and 1-month mortality (dependent variable) according to specific subgroups. Threshold for statistical significance was set at 0.002</w:t>
      </w:r>
      <w:r>
        <w:rPr>
          <w:sz w:val="16"/>
          <w:szCs w:val="16"/>
          <w:lang w:val="en-US"/>
        </w:rPr>
        <w:t>5</w:t>
      </w:r>
      <w:r>
        <w:rPr>
          <w:sz w:val="16"/>
          <w:szCs w:val="16"/>
          <w:lang w:val="en-US"/>
        </w:rPr>
        <w:t xml:space="preserve"> (Bonferroni correction)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 Devanagari"/>
        <w:kern w:val="2"/>
        <w:sz w:val="22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oto Serif CJK SC" w:cs="Noto Sans Devanagari"/>
      <w:color w:val="auto"/>
      <w:kern w:val="2"/>
      <w:sz w:val="22"/>
      <w:szCs w:val="24"/>
      <w:lang w:val="fr-FR" w:eastAsia="zh-CN" w:bidi="hi-IN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 Devanagari"/>
      <w:sz w:val="24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umrotation123">
    <w:name w:val="Numérotation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LibreOffice/24.8.7.2$Linux_X86_64 LibreOffice_project/f4f281f562fb585d46b0af5755dfe1eb6adc047f</Application>
  <AppVersion>15.0000</AppVersion>
  <Pages>2</Pages>
  <Words>372</Words>
  <Characters>2305</Characters>
  <CharactersWithSpaces>2414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2025-07-04T14:46:13Z</dcterms:created>
  <dc:creator>Charles Baulier</dc:creator>
  <dc:description/>
  <dc:language>fr-FR</dc:language>
  <cp:lastModifiedBy>Charles Baulier</cp:lastModifiedBy>
  <dcterms:modified xsi:type="dcterms:W3CDTF">2025-07-04T15:05:48Z</dcterms:modified>
  <cp:revision>4</cp:revision>
  <dc:subject/>
  <dc:title/>
</cp:coreProperties>
</file>