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657" w:type="dxa"/>
        <w:jc w:val="center"/>
        <w:tblInd w:w="0" w:type="dxa"/>
        <w:tblLayout w:type="fixed"/>
        <w:tblCellMar>
          <w:top w:w="0" w:type="dxa"/>
          <w:left w:w="60" w:type="dxa"/>
          <w:bottom w:w="0" w:type="dxa"/>
          <w:right w:w="60" w:type="dxa"/>
        </w:tblCellMar>
      </w:tblPr>
      <w:tblGrid>
        <w:gridCol w:w="4623"/>
        <w:gridCol w:w="1449"/>
        <w:gridCol w:w="1446"/>
        <w:gridCol w:w="1448"/>
        <w:gridCol w:w="1691"/>
      </w:tblGrid>
      <w:tr>
        <w:trPr>
          <w:tblHeader w:val="true"/>
          <w:cantSplit w:val="true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Baseline characteristics of patients</w:t>
            </w:r>
          </w:p>
        </w:tc>
      </w:tr>
      <w:tr>
        <w:trPr>
          <w:tblHeader w:val="true"/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Variables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Overall</w:t>
            </w:r>
          </w:p>
          <w:p>
            <w:pPr>
              <w:pStyle w:val="Normal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N = 454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 TZP</w:t>
            </w:r>
          </w:p>
          <w:p>
            <w:pPr>
              <w:pStyle w:val="Normal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N = 321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TZP</w:t>
            </w:r>
          </w:p>
          <w:p>
            <w:pPr>
              <w:pStyle w:val="Normal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N = 133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b/>
                <w:bCs/>
                <w:i w:val="false"/>
                <w:i w:val="false"/>
                <w:iCs w:val="false"/>
                <w:position w:val="0"/>
                <w:sz w:val="24"/>
                <w:sz w:val="24"/>
                <w:vertAlign w:val="baseli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position w:val="0"/>
                <w:sz w:val="16"/>
                <w:sz w:val="16"/>
                <w:szCs w:val="16"/>
                <w:vertAlign w:val="baseline"/>
              </w:rPr>
              <w:t>p-value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Age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61 (49, 72)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61 (49, 72)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62 (50, 73)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0.33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Sex (male)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236 (52%)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175 (55%)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61 (46%)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0.11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60"/>
              <w:jc w:val="left"/>
              <w:rPr>
                <w:rFonts w:ascii="Arial" w:hAnsi="Arial"/>
              </w:rPr>
            </w:pPr>
            <w:r>
              <w:rPr>
                <w:rFonts w:eastAsia="Aptos" w:cs="Arial" w:ascii="Arial" w:hAnsi="Arial"/>
                <w:kern w:val="0"/>
                <w:sz w:val="16"/>
                <w:szCs w:val="16"/>
                <w:lang w:val="en-US" w:eastAsia="fr-FR" w:bidi="ar-SA"/>
              </w:rPr>
              <w:t>Year of diagnosis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2005 (2001, 2012)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2006 (2002, 2013)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2003 (2000, 2006)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&lt;0.001</w:t>
            </w:r>
            <w:r>
              <w:rPr>
                <w:rFonts w:ascii="Arial" w:hAnsi="Arial"/>
                <w:b w:val="false"/>
                <w:i/>
                <w:position w:val="5"/>
                <w:sz w:val="16"/>
                <w:szCs w:val="16"/>
              </w:rPr>
              <w:t>2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60"/>
              <w:jc w:val="left"/>
              <w:rPr>
                <w:rFonts w:ascii="Arial" w:hAnsi="Arial"/>
              </w:rPr>
            </w:pPr>
            <w:r>
              <w:rPr>
                <w:rFonts w:eastAsia="Aptos" w:cs="Arial" w:ascii="Arial" w:hAnsi="Arial"/>
                <w:color w:themeColor="dark1" w:val="000000"/>
                <w:kern w:val="0"/>
                <w:sz w:val="16"/>
                <w:szCs w:val="16"/>
                <w:lang w:val="en-US" w:eastAsia="fr-FR" w:bidi="ar-SA"/>
              </w:rPr>
              <w:t>Chronic heart failure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18 (4.0%)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 (3.1%)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 (6.1%)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0.24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60"/>
              <w:jc w:val="left"/>
              <w:rPr>
                <w:rFonts w:ascii="Arial" w:hAnsi="Arial"/>
              </w:rPr>
            </w:pPr>
            <w:r>
              <w:rPr>
                <w:rFonts w:eastAsia="Aptos" w:cs="Arial" w:ascii="Arial" w:hAnsi="Arial"/>
                <w:kern w:val="0"/>
                <w:sz w:val="16"/>
                <w:szCs w:val="16"/>
                <w:lang w:val="fr-FR" w:eastAsia="fr-FR" w:bidi="ar-SA"/>
              </w:rPr>
              <w:t>Peripheral arterial disease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42 (9.3%)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29 (9.1%)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13 (9.8%)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0.93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Stroke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26 (5.8%)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19 (5.9%)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7 (5.3%)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0.97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Diabetes mellitus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86 (19%)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60 (19%)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26 (20%)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0.92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Chronic kidney disease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19 (4.2%)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14 (4.4%)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 (3.8%)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0.98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Cirrhosis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15 (3.3%)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 (3.1%)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 (3.8%)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0.77</w:t>
            </w:r>
            <w:r>
              <w:rPr>
                <w:rFonts w:ascii="Arial" w:hAnsi="Arial"/>
                <w:b w:val="false"/>
                <w:i/>
                <w:position w:val="5"/>
                <w:sz w:val="16"/>
                <w:szCs w:val="16"/>
              </w:rPr>
              <w:t>2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COPD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49 (11%)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32 (10%)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17 (13%)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0.47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Dementia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 (0.9%)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3 (0.9%)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 (0.8%)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&gt;0.99</w:t>
            </w:r>
            <w:r>
              <w:rPr>
                <w:rFonts w:ascii="Arial" w:hAnsi="Arial"/>
                <w:b w:val="false"/>
                <w:i/>
                <w:position w:val="5"/>
                <w:sz w:val="16"/>
                <w:szCs w:val="16"/>
              </w:rPr>
              <w:t>2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Gastroduodenal ulcer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57 (13%)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41 (13%)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16 (12%)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0.96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Connectivitis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18 (4.0%)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15 (4.7%)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3 (2.3%)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0.35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Cancer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175 (39%)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121 (38%)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54 (41%)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0.64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Charlson comorbidity score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3.00 (1.00, 5.00)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3.00 (1.00, 5.00)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3.00 (1.00, 5.00)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0.57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60"/>
              <w:jc w:val="left"/>
              <w:rPr>
                <w:rFonts w:ascii="Arial" w:hAnsi="Arial"/>
              </w:rPr>
            </w:pPr>
            <w:r>
              <w:rPr>
                <w:rFonts w:eastAsia="Aptos" w:cs="Arial" w:ascii="Arial" w:hAnsi="Arial"/>
                <w:kern w:val="0"/>
                <w:sz w:val="16"/>
                <w:szCs w:val="16"/>
                <w:lang w:val="en-US" w:eastAsia="fr-FR" w:bidi="ar-SA"/>
              </w:rPr>
              <w:t>Duration of antimicrobial treatment before source control (days)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2.5 (1.0, 5.0)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3.0 (1.0, 6.0)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1.0 (1.0, 4.0)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&lt;0.001</w:t>
            </w:r>
            <w:r>
              <w:rPr>
                <w:rFonts w:ascii="Arial" w:hAnsi="Arial"/>
                <w:b w:val="false"/>
                <w:i/>
                <w:position w:val="5"/>
                <w:sz w:val="16"/>
                <w:szCs w:val="16"/>
              </w:rPr>
              <w:t>2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60"/>
              <w:jc w:val="left"/>
              <w:rPr>
                <w:rFonts w:ascii="Arial" w:hAnsi="Arial"/>
              </w:rPr>
            </w:pPr>
            <w:r>
              <w:rPr>
                <w:rFonts w:eastAsia="Aptos" w:cs="Arial" w:ascii="Arial" w:hAnsi="Arial"/>
                <w:kern w:val="0"/>
                <w:sz w:val="16"/>
                <w:szCs w:val="16"/>
                <w:lang w:val="en-US" w:eastAsia="fr-FR" w:bidi="ar-SA"/>
              </w:rPr>
              <w:t>Broad spectrum antibiotics before hcIAI</w:t>
            </w:r>
          </w:p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264 (58%)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195 (61%)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69 (52%)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0.10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Vasoactive drug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302 (67%)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207 (64%)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95 (71%)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0.19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Bacteremia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86 (19%)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58 (18%)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28 (21%)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0.54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60"/>
              <w:jc w:val="left"/>
              <w:rPr>
                <w:rFonts w:ascii="Arial" w:hAnsi="Arial"/>
              </w:rPr>
            </w:pPr>
            <w:r>
              <w:rPr>
                <w:rFonts w:eastAsia="Aptos" w:cs="Arial" w:ascii="Arial" w:hAnsi="Arial"/>
                <w:kern w:val="0"/>
                <w:sz w:val="16"/>
                <w:szCs w:val="16"/>
                <w:lang w:val="en-US" w:eastAsia="fr-FR" w:bidi="ar-SA"/>
              </w:rPr>
              <w:t>Time from initial surgery to ICU admission (days)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7 (4, 12)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7 (4, 13)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7 (4, 11)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0.29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60"/>
              <w:jc w:val="left"/>
              <w:rPr>
                <w:rFonts w:ascii="Arial" w:hAnsi="Arial"/>
              </w:rPr>
            </w:pPr>
            <w:r>
              <w:rPr>
                <w:rFonts w:eastAsia="Aptos" w:cs="Arial" w:ascii="Arial" w:hAnsi="Arial"/>
                <w:kern w:val="0"/>
                <w:sz w:val="16"/>
                <w:szCs w:val="16"/>
                <w:lang w:val="fr-FR" w:eastAsia="fr-FR" w:bidi="ar-SA"/>
              </w:rPr>
              <w:t>Adequate empirical treatment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273 (60%)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180 (56%)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93 (70%)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0.008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Combination therapy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305 (67%)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222 (69%)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83 (62%)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0.20</w:t>
            </w:r>
          </w:p>
        </w:tc>
      </w:tr>
      <w:tr>
        <w:trPr>
          <w:cantSplit w:val="true"/>
        </w:trPr>
        <w:tc>
          <w:tcPr>
            <w:tcW w:w="106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60"/>
              <w:jc w:val="left"/>
              <w:rPr>
                <w:rFonts w:ascii="Arial" w:hAnsi="Arial"/>
              </w:rPr>
            </w:pPr>
            <w:r>
              <w:rPr>
                <w:rFonts w:eastAsia="Aptos" w:cs="Arial" w:ascii="Arial" w:hAnsi="Arial"/>
                <w:b/>
                <w:bCs/>
                <w:kern w:val="0"/>
                <w:sz w:val="16"/>
                <w:szCs w:val="16"/>
                <w:lang w:val="en-US" w:eastAsia="fr-FR" w:bidi="ar-SA"/>
              </w:rPr>
              <w:t>Characteristics of initial surgery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Type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0.89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</w:rPr>
              <w:t>Bariatric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82 (18%)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59 (18%)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23 (17%)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Timing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0.47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    </w:t>
            </w:r>
            <w:r>
              <w:rPr>
                <w:rFonts w:ascii="Arial" w:hAnsi="Arial"/>
                <w:sz w:val="16"/>
                <w:szCs w:val="16"/>
              </w:rPr>
              <w:t>Emergency procedure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184 (41%)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134 (42%)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50 (38%)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cantSplit w:val="true"/>
        </w:trPr>
        <w:tc>
          <w:tcPr>
            <w:tcW w:w="106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Operative findings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Location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0.18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    </w:t>
            </w:r>
            <w:r>
              <w:rPr>
                <w:rFonts w:ascii="Arial" w:hAnsi="Arial"/>
                <w:sz w:val="16"/>
                <w:szCs w:val="16"/>
              </w:rPr>
              <w:t>Below transverse mesocolon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199 (44%)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134 (42%)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65 (49%)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    </w:t>
            </w:r>
            <w:r>
              <w:rPr>
                <w:rFonts w:ascii="Arial" w:hAnsi="Arial"/>
                <w:sz w:val="16"/>
                <w:szCs w:val="16"/>
              </w:rPr>
              <w:t>Above transverse mesocolon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122 (27%)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85 (26%)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37 (28%)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    </w:t>
            </w:r>
            <w:r>
              <w:rPr>
                <w:rFonts w:ascii="Arial" w:hAnsi="Arial"/>
                <w:sz w:val="16"/>
                <w:szCs w:val="16"/>
              </w:rPr>
              <w:t>Both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133 (29%)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102 (32%)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31 (23%)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Generalized peritonitis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107 (24%)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80 (25%)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27 (20%)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0.35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60"/>
              <w:jc w:val="left"/>
              <w:rPr>
                <w:rFonts w:ascii="Arial" w:hAnsi="Arial"/>
              </w:rPr>
            </w:pPr>
            <w:r>
              <w:rPr>
                <w:rFonts w:eastAsia="Aptos" w:cs="Arial" w:ascii="Arial" w:hAnsi="Arial"/>
                <w:kern w:val="0"/>
                <w:sz w:val="16"/>
                <w:szCs w:val="16"/>
                <w:lang w:val="en-US" w:eastAsia="fr-FR" w:bidi="ar-SA"/>
              </w:rPr>
              <w:t>Anastomotic leakage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162 (36%)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103 (32%)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59 (44%)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0.017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Perforation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133 (29%)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86 (27%)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47 (35%)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0.088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Abscess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87 (19%)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71 (22%)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16 (12%)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0.019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Unknown cause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74 (16%)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61 (19%)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13 (9.8%)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0.022</w:t>
            </w:r>
          </w:p>
        </w:tc>
      </w:tr>
      <w:tr>
        <w:trPr>
          <w:cantSplit w:val="true"/>
        </w:trPr>
        <w:tc>
          <w:tcPr>
            <w:tcW w:w="106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60"/>
              <w:jc w:val="left"/>
              <w:rPr>
                <w:rFonts w:ascii="Arial" w:hAnsi="Arial"/>
              </w:rPr>
            </w:pPr>
            <w:r>
              <w:rPr>
                <w:rFonts w:eastAsia="Aptos" w:cs="Arial" w:ascii="Arial" w:hAnsi="Arial"/>
                <w:b/>
                <w:bCs/>
                <w:kern w:val="0"/>
                <w:sz w:val="16"/>
                <w:szCs w:val="16"/>
                <w:lang w:val="en-US" w:eastAsia="fr-FR" w:bidi="ar-SA"/>
              </w:rPr>
              <w:t>Severity scores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SAPS II score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46 (34, 57)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44 (33, 54)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50 (39, 60)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&lt;0.001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lineRule="auto" w:line="240" w:before="0" w:after="60"/>
              <w:jc w:val="left"/>
              <w:rPr>
                <w:rFonts w:ascii="Arial" w:hAnsi="Arial"/>
              </w:rPr>
            </w:pPr>
            <w:r>
              <w:rPr>
                <w:rFonts w:eastAsia="Aptos" w:cs="Arial" w:ascii="Arial" w:hAnsi="Arial"/>
                <w:kern w:val="0"/>
                <w:sz w:val="16"/>
                <w:szCs w:val="16"/>
                <w:lang w:val="en-US" w:eastAsia="fr-FR" w:bidi="ar-SA"/>
              </w:rPr>
              <w:t>Day 0 (D0) total SOFA score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8.0 (5.0, 10.0)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7.0 (4.0, 10.0)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8.0 (5.0, 11.0)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user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0.13</w:t>
            </w:r>
          </w:p>
        </w:tc>
      </w:tr>
      <w:tr>
        <w:trPr>
          <w:cantSplit w:val="true"/>
        </w:trPr>
        <w:tc>
          <w:tcPr>
            <w:tcW w:w="106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Organ failure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Respiratory failure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191 (42%)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132 (41%)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59 (44%)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0.59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Hepatic failure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13 (2.9%)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 (2.5%)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 (3.8%)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0.54</w:t>
            </w:r>
            <w:r>
              <w:rPr>
                <w:rFonts w:ascii="Arial" w:hAnsi="Arial"/>
                <w:b w:val="false"/>
                <w:i/>
                <w:position w:val="5"/>
                <w:sz w:val="16"/>
                <w:szCs w:val="16"/>
              </w:rPr>
              <w:t>2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Coagulopathy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26 (5.7%)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16 (5.0%)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 (7.5%)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0.40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Circulatory failure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298 (66%)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204 (64%)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94 (71%)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0.18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Neurological failure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 (1.3%)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3 (0.9%)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3 (2.3%)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0.36</w:t>
            </w:r>
            <w:r>
              <w:rPr>
                <w:rFonts w:ascii="Arial" w:hAnsi="Arial"/>
                <w:b w:val="false"/>
                <w:i/>
                <w:position w:val="5"/>
                <w:sz w:val="16"/>
                <w:szCs w:val="16"/>
              </w:rPr>
              <w:t>2</w:t>
            </w:r>
          </w:p>
        </w:tc>
      </w:tr>
      <w:tr>
        <w:trPr>
          <w:cantSplit w:val="true"/>
        </w:trPr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Renal failure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111 (24%)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73 (23%)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38 (29%)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0.23</w:t>
            </w:r>
          </w:p>
        </w:tc>
      </w:tr>
      <w:tr>
        <w:trPr>
          <w:cantSplit w:val="true"/>
        </w:trPr>
        <w:tc>
          <w:tcPr>
            <w:tcW w:w="106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spacing w:lineRule="auto" w:line="240" w:before="0" w:after="200"/>
              <w:jc w:val="left"/>
              <w:rPr/>
            </w:pPr>
            <w:r>
              <w:rPr>
                <w:rFonts w:ascii="Arial" w:hAnsi="Arial"/>
                <w:b w:val="false"/>
                <w:i/>
                <w:position w:val="5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 Median (Q1, Q3); n (%)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0" w:after="200"/>
              <w:jc w:val="left"/>
              <w:rPr/>
            </w:pPr>
            <w:r>
              <w:rPr>
                <w:rFonts w:ascii="Arial" w:hAnsi="Arial"/>
                <w:b w:val="false"/>
                <w:i/>
                <w:position w:val="5"/>
                <w:sz w:val="16"/>
                <w:szCs w:val="16"/>
              </w:rPr>
              <w:t xml:space="preserve">2 </w:t>
            </w:r>
            <w:r>
              <w:rPr>
                <w:rFonts w:ascii="Arial" w:hAnsi="Arial"/>
                <w:b w:val="false"/>
                <w:i/>
                <w:position w:val="0"/>
                <w:sz w:val="16"/>
                <w:sz w:val="16"/>
                <w:szCs w:val="16"/>
                <w:vertAlign w:val="baseline"/>
              </w:rPr>
              <w:t>N</w:t>
            </w:r>
            <w:r>
              <w:rPr>
                <w:rFonts w:ascii="Arial" w:hAnsi="Arial"/>
                <w:sz w:val="16"/>
                <w:szCs w:val="16"/>
              </w:rPr>
              <w:t>on parametric tests : Wilcoxon rank sum test; Fisher’s exact test</w:t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jc w:val="center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eTable 1 :</w:t>
      </w:r>
      <w:r>
        <w:rPr>
          <w:rFonts w:ascii="Arial" w:hAnsi="Arial"/>
        </w:rPr>
        <w:t xml:space="preserve"> Patients clinical characteristics in the baseline cohort</w:t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tbl>
      <w:tblPr>
        <w:tblW w:w="6150" w:type="dxa"/>
        <w:jc w:val="left"/>
        <w:tblInd w:w="-3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91"/>
        <w:gridCol w:w="819"/>
        <w:gridCol w:w="820"/>
        <w:gridCol w:w="818"/>
        <w:gridCol w:w="1302"/>
      </w:tblGrid>
      <w:tr>
        <w:trPr>
          <w:tblHeader w:val="true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Baseline characteristics of patients</w:t>
            </w:r>
          </w:p>
        </w:tc>
      </w:tr>
      <w:tr>
        <w:trPr>
          <w:tblHeader w:val="true"/>
        </w:trPr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spacing w:before="0" w:after="60"/>
              <w:jc w:val="lef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Microbiological data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Overall</w:t>
            </w:r>
          </w:p>
          <w:p>
            <w:pPr>
              <w:pStyle w:val="Normal"/>
              <w:spacing w:before="0" w:after="60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N = 454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 TZP</w:t>
            </w:r>
          </w:p>
          <w:p>
            <w:pPr>
              <w:pStyle w:val="Normal"/>
              <w:spacing w:before="0" w:after="60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N = 321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TZP</w:t>
            </w:r>
          </w:p>
          <w:p>
            <w:pPr>
              <w:pStyle w:val="Normal"/>
              <w:spacing w:before="0" w:after="60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N = 133</w:t>
            </w:r>
            <w:r>
              <w:rPr>
                <w:rFonts w:ascii="Arial" w:hAnsi="Arial"/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true"/>
              <w:spacing w:before="0" w:after="60"/>
              <w:jc w:val="center"/>
              <w:rPr>
                <w:rFonts w:ascii="Arial" w:hAnsi="Arial"/>
                <w:b/>
                <w:i w:val="false"/>
                <w:i w:val="false"/>
                <w:iCs w:val="false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ascii="Arial" w:hAnsi="Arial"/>
                <w:b/>
                <w:i w:val="false"/>
                <w:iCs w:val="false"/>
                <w:position w:val="0"/>
                <w:sz w:val="16"/>
                <w:sz w:val="16"/>
                <w:szCs w:val="16"/>
                <w:vertAlign w:val="baseline"/>
              </w:rPr>
              <w:t>p-value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Monomicrobial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 (17%)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66 (21%)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 (9.8%)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0.009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MDR organisms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182 (40%)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132 (41%)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 (38%)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0.49</w:t>
            </w:r>
            <w:r>
              <w:rPr>
                <w:rFonts w:ascii="Arial" w:hAnsi="Arial"/>
                <w:b w:val="false"/>
                <w:i/>
                <w:position w:val="5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Gram negative bacteria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330 (73%)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218 (68%)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 (84%)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&lt;0.001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MDR Gram negative bacteria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161 (35%)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121 (38%)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 (30%)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0.15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i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Enterobacteriaceae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303 (67%)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198 (62%)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 (79%)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&lt;0.001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</w:rPr>
              <w:t>Including AmpC producers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113 (25%)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 (23%)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 (30%)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0.13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MDR Enterobacteriaceae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144 (32%)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106 (33%)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 (29%)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0.41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i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Escherichia coli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 (42%)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115 (36%)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75 (56%)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&lt;0.001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MDR Escherichia coli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 (19%)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 (17%)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 (26%)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0.023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i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Klebsiella spp.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57 (13%)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 (12%)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(15%)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0.38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i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MDR Klebsiella spp.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 (4.0%)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 (5.0%)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 (1.5%)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0.14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i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Enterobacter spp.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76 (17%)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 (16%)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 (19%)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0.54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MDR Enterobacter spp.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 (9.0%)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 (12%)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 (2.3%)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0.002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NF-GNB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75 (17%)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 (14%)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 (23%)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0.018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MDR NF-GNB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 (6.4%)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 (7.8%)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 (3.0%)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0.092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i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Pseudomonas spp.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67 (15%)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 (12%)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 (23%)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0.004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i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Enterococcus spp.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217 (48%)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139 (43%)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 (59%)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0.004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MDR Enterococcus spp.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 (6.6%)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 (5.9%)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 (8.3%)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0.48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MRSA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 (2.6%)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 (2.5%)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 (3.0%)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0.75</w:t>
            </w:r>
            <w:r>
              <w:rPr>
                <w:rFonts w:ascii="Arial" w:hAnsi="Arial"/>
                <w:b w:val="false"/>
                <w:i/>
                <w:position w:val="5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ESBL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 (5.5%)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 (7.8%)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 (0%)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0.002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Total number of MDR organisms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0.49</w:t>
            </w:r>
            <w:r>
              <w:rPr>
                <w:rFonts w:ascii="Arial" w:hAnsi="Arial"/>
                <w:b w:val="false"/>
                <w:i/>
                <w:position w:val="5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272 (60%)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189 (59%)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 (62%)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139 (31%)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 (31%)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 (29%)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 (7.7%)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 (7.5%)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 (8.3%)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 (1.5%)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 (2.2%)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 (0%)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 (0.2%)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 (0.3%)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 (0%)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Anaerobes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93 (20%)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 (18%)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 (26%)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0.11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Including Bacteroides spp.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 (16%)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 (13%)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 (23%)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0.018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Yeasts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181 (40%)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141 (44%)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 (30%)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0.008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i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Candida albicans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130 (29%)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 (32%)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 (21%)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0.029</w:t>
            </w:r>
          </w:p>
        </w:tc>
      </w:tr>
      <w:tr>
        <w:trPr/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Other Candida species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65 (14%)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 (16%)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 (9.8%)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0.10</w:t>
            </w:r>
          </w:p>
        </w:tc>
      </w:tr>
      <w:tr>
        <w:trPr/>
        <w:tc>
          <w:tcPr>
            <w:tcW w:w="61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spacing w:lineRule="auto" w:line="240" w:before="0" w:after="200"/>
              <w:jc w:val="left"/>
              <w:rPr/>
            </w:pPr>
            <w:r>
              <w:rPr>
                <w:rFonts w:ascii="Arial" w:hAnsi="Arial"/>
                <w:b w:val="false"/>
                <w:i/>
                <w:position w:val="5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 Median (Q1, Q3); n (%)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0" w:after="200"/>
              <w:jc w:val="left"/>
              <w:rPr/>
            </w:pPr>
            <w:r>
              <w:rPr>
                <w:rFonts w:ascii="Arial" w:hAnsi="Arial"/>
                <w:b w:val="false"/>
                <w:i/>
                <w:position w:val="5"/>
                <w:sz w:val="16"/>
                <w:szCs w:val="16"/>
              </w:rPr>
              <w:t xml:space="preserve">2 </w:t>
            </w:r>
            <w:r>
              <w:rPr>
                <w:rFonts w:ascii="Arial" w:hAnsi="Arial"/>
                <w:b w:val="false"/>
                <w:i/>
                <w:position w:val="0"/>
                <w:sz w:val="16"/>
                <w:sz w:val="16"/>
                <w:szCs w:val="16"/>
                <w:vertAlign w:val="baseline"/>
              </w:rPr>
              <w:t>N</w:t>
            </w:r>
            <w:r>
              <w:rPr>
                <w:rFonts w:ascii="Arial" w:hAnsi="Arial"/>
                <w:sz w:val="16"/>
                <w:szCs w:val="16"/>
              </w:rPr>
              <w:t>on parametric tests : Wilcoxon rank sum test; Fisher’s exact test</w:t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jc w:val="center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eTable 2 :</w:t>
      </w:r>
      <w:r>
        <w:rPr>
          <w:rFonts w:ascii="Arial" w:hAnsi="Arial"/>
        </w:rPr>
        <w:t xml:space="preserve"> Microbiological data among patients in the baseline cohort</w:t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before="180" w:after="180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swiss"/>
    <w:pitch w:val="default"/>
  </w:font>
  <w:font w:name="Aptos Display">
    <w:charset w:val="01"/>
    <w:family w:val="swiss"/>
    <w:pitch w:val="default"/>
  </w:font>
  <w:font w:name="Consolas"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Noto Sans Arabic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200"/>
      <w:jc w:val="left"/>
    </w:pPr>
    <w:rPr>
      <w:rFonts w:ascii="Aptos" w:hAnsi="Aptos" w:eastAsia="Aptos" w:cs="Noto Sans Arabic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BodyText"/>
    <w:link w:val="Heading1Char"/>
    <w:qFormat/>
    <w:pPr>
      <w:keepNext w:val="true"/>
      <w:keepLines/>
      <w:spacing w:before="360" w:after="80"/>
      <w:outlineLvl w:val="0"/>
    </w:pPr>
    <w:rPr>
      <w:rFonts w:ascii="Aptos Display" w:hAnsi="Aptos Display" w:eastAsia="Aptos" w:cs="Noto Sans Arabic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BodyText"/>
    <w:link w:val="Heading2Char"/>
    <w:qFormat/>
    <w:pPr>
      <w:keepNext w:val="true"/>
      <w:keepLines/>
      <w:spacing w:before="160" w:after="80"/>
      <w:outlineLvl w:val="1"/>
    </w:pPr>
    <w:rPr>
      <w:rFonts w:ascii="Aptos Display" w:hAnsi="Aptos Display" w:eastAsia="Aptos" w:cs="Noto Sans Arabic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BodyText"/>
    <w:link w:val="Heading3Char"/>
    <w:qFormat/>
    <w:pPr>
      <w:keepNext w:val="true"/>
      <w:keepLines/>
      <w:spacing w:before="160" w:after="80"/>
      <w:outlineLvl w:val="2"/>
    </w:pPr>
    <w:rPr>
      <w:rFonts w:eastAsia="Aptos" w:cs="Noto Sans Arabic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BodyText"/>
    <w:link w:val="Heading4Char"/>
    <w:qFormat/>
    <w:pPr>
      <w:keepNext w:val="true"/>
      <w:keepLines/>
      <w:spacing w:before="80" w:after="40"/>
      <w:outlineLvl w:val="3"/>
    </w:pPr>
    <w:rPr>
      <w:rFonts w:eastAsia="Aptos" w:cs="Noto Sans Arabic"/>
      <w:i/>
      <w:iCs/>
      <w:color w:themeColor="accent1" w:themeShade="bf" w:val="0F4761"/>
    </w:rPr>
  </w:style>
  <w:style w:type="paragraph" w:styleId="Heading5">
    <w:name w:val="heading 5"/>
    <w:basedOn w:val="Normal"/>
    <w:next w:val="BodyText"/>
    <w:link w:val="Heading5Char"/>
    <w:qFormat/>
    <w:pPr>
      <w:keepNext w:val="true"/>
      <w:keepLines/>
      <w:spacing w:before="80" w:after="40"/>
      <w:outlineLvl w:val="4"/>
    </w:pPr>
    <w:rPr>
      <w:rFonts w:eastAsia="Aptos" w:cs="Noto Sans Arabic"/>
      <w:color w:themeColor="accent1" w:themeShade="bf" w:val="0F4761"/>
    </w:rPr>
  </w:style>
  <w:style w:type="paragraph" w:styleId="Heading6">
    <w:name w:val="heading 6"/>
    <w:basedOn w:val="Normal"/>
    <w:next w:val="BodyText"/>
    <w:link w:val="Heading6Char"/>
    <w:qFormat/>
    <w:pPr>
      <w:keepNext w:val="true"/>
      <w:keepLines/>
      <w:spacing w:before="40" w:after="0"/>
      <w:outlineLvl w:val="5"/>
    </w:pPr>
    <w:rPr>
      <w:rFonts w:eastAsia="Aptos" w:cs="Noto Sans Arabic"/>
      <w:i/>
      <w:iCs/>
      <w:color w:themeColor="dark1" w:themeTint="a6" w:val="595959"/>
    </w:rPr>
  </w:style>
  <w:style w:type="paragraph" w:styleId="Heading7">
    <w:name w:val="heading 7"/>
    <w:basedOn w:val="Normal"/>
    <w:next w:val="BodyText"/>
    <w:link w:val="Heading7Char"/>
    <w:qFormat/>
    <w:pPr>
      <w:keepNext w:val="true"/>
      <w:keepLines/>
      <w:spacing w:before="40" w:after="0"/>
      <w:outlineLvl w:val="6"/>
    </w:pPr>
    <w:rPr>
      <w:rFonts w:eastAsia="Aptos" w:cs="Noto Sans Arabic"/>
      <w:color w:themeColor="dark1" w:themeTint="a6" w:val="595959"/>
    </w:rPr>
  </w:style>
  <w:style w:type="paragraph" w:styleId="Heading8">
    <w:name w:val="heading 8"/>
    <w:basedOn w:val="Normal"/>
    <w:next w:val="BodyText"/>
    <w:link w:val="Heading8Char"/>
    <w:qFormat/>
    <w:pPr>
      <w:keepNext w:val="true"/>
      <w:keepLines/>
      <w:spacing w:before="0" w:after="0"/>
      <w:outlineLvl w:val="7"/>
    </w:pPr>
    <w:rPr>
      <w:rFonts w:eastAsia="Aptos" w:cs="Noto Sans Arabic"/>
      <w:i/>
      <w:iCs/>
      <w:color w:themeColor="dark1" w:themeTint="d8" w:val="272727"/>
    </w:rPr>
  </w:style>
  <w:style w:type="paragraph" w:styleId="Heading9">
    <w:name w:val="heading 9"/>
    <w:basedOn w:val="Normal"/>
    <w:next w:val="BodyText"/>
    <w:link w:val="Heading9Char"/>
    <w:qFormat/>
    <w:pPr>
      <w:keepNext w:val="true"/>
      <w:keepLines/>
      <w:spacing w:before="0" w:after="0"/>
      <w:outlineLvl w:val="8"/>
    </w:pPr>
    <w:rPr>
      <w:rFonts w:eastAsia="Aptos" w:cs="Noto Sans Arabic"/>
      <w:color w:themeColor="dark1" w:themeTint="d8" w:val="272727"/>
    </w:rPr>
  </w:style>
  <w:style w:type="character" w:styleId="TitleChar">
    <w:name w:val="Title Char"/>
    <w:basedOn w:val="DefaultParagraphFont"/>
    <w:qFormat/>
    <w:rPr>
      <w:rFonts w:ascii="Aptos Display" w:hAnsi="Aptos Display" w:eastAsia="Aptos" w:cs="Noto Sans Arabic"/>
      <w:spacing w:val="-10"/>
      <w:kern w:val="2"/>
      <w:sz w:val="56"/>
      <w:szCs w:val="56"/>
    </w:rPr>
  </w:style>
  <w:style w:type="character" w:styleId="SubtitleChar">
    <w:name w:val="Subtitle Char"/>
    <w:basedOn w:val="DefaultParagraphFont"/>
    <w:qFormat/>
    <w:rPr>
      <w:rFonts w:eastAsia="Aptos" w:cs="Noto Sans Arabic"/>
      <w:color w:themeColor="dark1" w:themeTint="a6" w:val="595959"/>
      <w:spacing w:val="15"/>
      <w:sz w:val="28"/>
      <w:szCs w:val="28"/>
    </w:rPr>
  </w:style>
  <w:style w:type="character" w:styleId="Heading1Char">
    <w:name w:val="Heading 1 Char"/>
    <w:basedOn w:val="DefaultParagraphFont"/>
    <w:qFormat/>
    <w:rPr>
      <w:rFonts w:ascii="Aptos Display" w:hAnsi="Aptos Display" w:eastAsia="Aptos" w:cs="Noto Sans Arabic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qFormat/>
    <w:rPr>
      <w:rFonts w:ascii="Aptos Display" w:hAnsi="Aptos Display" w:eastAsia="Aptos" w:cs="Noto Sans Arabic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qFormat/>
    <w:rPr>
      <w:rFonts w:eastAsia="Aptos" w:cs="Noto Sans Arabic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qFormat/>
    <w:rPr>
      <w:rFonts w:eastAsia="Aptos" w:cs="Noto Sans Arabic"/>
      <w:i/>
      <w:iCs/>
      <w:color w:themeColor="accent1" w:themeShade="bf" w:val="0F4761"/>
    </w:rPr>
  </w:style>
  <w:style w:type="character" w:styleId="Heading5Char">
    <w:name w:val="Heading 5 Char"/>
    <w:basedOn w:val="DefaultParagraphFont"/>
    <w:qFormat/>
    <w:rPr>
      <w:rFonts w:eastAsia="Aptos" w:cs="Noto Sans Arabic"/>
      <w:color w:themeColor="accent1" w:themeShade="bf" w:val="0F4761"/>
    </w:rPr>
  </w:style>
  <w:style w:type="character" w:styleId="Heading6Char">
    <w:name w:val="Heading 6 Char"/>
    <w:basedOn w:val="DefaultParagraphFont"/>
    <w:qFormat/>
    <w:rPr>
      <w:rFonts w:eastAsia="Aptos" w:cs="Noto Sans Arabic"/>
      <w:i/>
      <w:iCs/>
      <w:color w:themeColor="dark1" w:themeTint="a6" w:val="595959"/>
    </w:rPr>
  </w:style>
  <w:style w:type="character" w:styleId="Heading7Char">
    <w:name w:val="Heading 7 Char"/>
    <w:basedOn w:val="DefaultParagraphFont"/>
    <w:qFormat/>
    <w:rPr>
      <w:rFonts w:eastAsia="Aptos" w:cs="Noto Sans Arabic"/>
      <w:color w:themeColor="dark1" w:themeTint="a6" w:val="595959"/>
    </w:rPr>
  </w:style>
  <w:style w:type="character" w:styleId="Heading8Char">
    <w:name w:val="Heading 8 Char"/>
    <w:basedOn w:val="DefaultParagraphFont"/>
    <w:qFormat/>
    <w:rPr>
      <w:rFonts w:eastAsia="Aptos" w:cs="Noto Sans Arabic"/>
      <w:i/>
      <w:iCs/>
      <w:color w:themeColor="dark1" w:themeTint="d8" w:val="272727"/>
    </w:rPr>
  </w:style>
  <w:style w:type="character" w:styleId="Heading9Char">
    <w:name w:val="Heading 9 Char"/>
    <w:basedOn w:val="DefaultParagraphFont"/>
    <w:qFormat/>
    <w:rPr>
      <w:rFonts w:eastAsia="Aptos" w:cs="Noto Sans Arabic"/>
      <w:color w:themeColor="dark1" w:themeTint="d8" w:val="272727"/>
    </w:rPr>
  </w:style>
  <w:style w:type="character" w:styleId="DefaultParagraphFont">
    <w:name w:val="Default Paragraph Font"/>
    <w:qFormat/>
    <w:rPr/>
  </w:style>
  <w:style w:type="character" w:styleId="BodyTextChar">
    <w:name w:val="Body Text Char"/>
    <w:basedOn w:val="DefaultParagraphFont"/>
    <w:qFormat/>
    <w:rPr/>
  </w:style>
  <w:style w:type="character" w:styleId="VerbatimChar">
    <w:name w:val="Verbatim Char"/>
    <w:basedOn w:val="BodyTextChar"/>
    <w:qFormat/>
    <w:rPr>
      <w:rFonts w:ascii="Consolas" w:hAnsi="Consolas"/>
      <w:sz w:val="22"/>
    </w:rPr>
  </w:style>
  <w:style w:type="character" w:styleId="SectionNumber">
    <w:name w:val="Section Number"/>
    <w:basedOn w:val="BodyTextChar"/>
    <w:qFormat/>
    <w:rPr/>
  </w:style>
  <w:style w:type="character" w:styleId="Caractresdenotedebasdepageuser">
    <w:name w:val="Caractères de note de bas de page (user)"/>
    <w:qFormat/>
    <w:rPr>
      <w:vertAlign w:val="superscript"/>
    </w:rPr>
  </w:style>
  <w:style w:type="character" w:styleId="Caractresdenotedebasdepage">
    <w:name w:val="Caractères de note de bas de page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BodyTextChar"/>
    <w:rPr>
      <w:color w:themeColor="accent1" w:val="4F81BD"/>
    </w:rPr>
  </w:style>
  <w:style w:type="character" w:styleId="KeywordTok">
    <w:name w:val="KeywordTok"/>
    <w:basedOn w:val="VerbatimChar"/>
    <w:qFormat/>
    <w:rPr>
      <w:b/>
      <w:color w:val="007020"/>
    </w:rPr>
  </w:style>
  <w:style w:type="character" w:styleId="DataTypeTok">
    <w:name w:val="DataTypeTok"/>
    <w:basedOn w:val="VerbatimChar"/>
    <w:qFormat/>
    <w:rPr>
      <w:color w:val="902000"/>
    </w:rPr>
  </w:style>
  <w:style w:type="character" w:styleId="DecValTok">
    <w:name w:val="DecValTok"/>
    <w:basedOn w:val="VerbatimChar"/>
    <w:qFormat/>
    <w:rPr>
      <w:color w:val="40A070"/>
    </w:rPr>
  </w:style>
  <w:style w:type="character" w:styleId="BaseNTok">
    <w:name w:val="BaseNTok"/>
    <w:basedOn w:val="VerbatimChar"/>
    <w:qFormat/>
    <w:rPr>
      <w:color w:val="40A070"/>
    </w:rPr>
  </w:style>
  <w:style w:type="character" w:styleId="FloatTok">
    <w:name w:val="FloatTok"/>
    <w:basedOn w:val="VerbatimChar"/>
    <w:qFormat/>
    <w:rPr>
      <w:color w:val="40A070"/>
    </w:rPr>
  </w:style>
  <w:style w:type="character" w:styleId="ConstantTok">
    <w:name w:val="ConstantTok"/>
    <w:basedOn w:val="VerbatimChar"/>
    <w:qFormat/>
    <w:rPr>
      <w:color w:val="880000"/>
    </w:rPr>
  </w:style>
  <w:style w:type="character" w:styleId="CharTok">
    <w:name w:val="CharTok"/>
    <w:basedOn w:val="VerbatimChar"/>
    <w:qFormat/>
    <w:rPr>
      <w:color w:val="4070A0"/>
    </w:rPr>
  </w:style>
  <w:style w:type="character" w:styleId="SpecialCharTok">
    <w:name w:val="SpecialCharTok"/>
    <w:basedOn w:val="VerbatimChar"/>
    <w:qFormat/>
    <w:rPr>
      <w:color w:val="4070A0"/>
    </w:rPr>
  </w:style>
  <w:style w:type="character" w:styleId="StringTok">
    <w:name w:val="StringTok"/>
    <w:basedOn w:val="VerbatimChar"/>
    <w:qFormat/>
    <w:rPr>
      <w:color w:val="4070A0"/>
    </w:rPr>
  </w:style>
  <w:style w:type="character" w:styleId="VerbatimStringTok">
    <w:name w:val="VerbatimStringTok"/>
    <w:basedOn w:val="VerbatimChar"/>
    <w:qFormat/>
    <w:rPr>
      <w:color w:val="4070A0"/>
    </w:rPr>
  </w:style>
  <w:style w:type="character" w:styleId="SpecialStringTok">
    <w:name w:val="SpecialStringTok"/>
    <w:basedOn w:val="VerbatimChar"/>
    <w:qFormat/>
    <w:rPr>
      <w:color w:val="BB6688"/>
    </w:rPr>
  </w:style>
  <w:style w:type="character" w:styleId="ImportTok">
    <w:name w:val="ImportTok"/>
    <w:basedOn w:val="VerbatimChar"/>
    <w:qFormat/>
    <w:rPr>
      <w:b/>
      <w:color w:val="008000"/>
    </w:rPr>
  </w:style>
  <w:style w:type="character" w:styleId="CommentTok">
    <w:name w:val="CommentTok"/>
    <w:basedOn w:val="VerbatimChar"/>
    <w:qFormat/>
    <w:rPr>
      <w:i/>
      <w:color w:val="60A0B0"/>
    </w:rPr>
  </w:style>
  <w:style w:type="character" w:styleId="DocumentationTok">
    <w:name w:val="DocumentationTok"/>
    <w:basedOn w:val="VerbatimChar"/>
    <w:qFormat/>
    <w:rPr>
      <w:i/>
      <w:color w:val="BA2121"/>
    </w:rPr>
  </w:style>
  <w:style w:type="character" w:styleId="AnnotationTok">
    <w:name w:val="AnnotationTok"/>
    <w:basedOn w:val="VerbatimChar"/>
    <w:qFormat/>
    <w:rPr>
      <w:b/>
      <w:i/>
      <w:color w:val="60A0B0"/>
    </w:rPr>
  </w:style>
  <w:style w:type="character" w:styleId="CommentVarTok">
    <w:name w:val="CommentVarTok"/>
    <w:basedOn w:val="VerbatimChar"/>
    <w:qFormat/>
    <w:rPr>
      <w:b/>
      <w:i/>
      <w:color w:val="60A0B0"/>
    </w:rPr>
  </w:style>
  <w:style w:type="character" w:styleId="OtherTok">
    <w:name w:val="OtherTok"/>
    <w:basedOn w:val="VerbatimChar"/>
    <w:qFormat/>
    <w:rPr>
      <w:color w:val="007020"/>
    </w:rPr>
  </w:style>
  <w:style w:type="character" w:styleId="FunctionTok">
    <w:name w:val="FunctionTok"/>
    <w:basedOn w:val="VerbatimChar"/>
    <w:qFormat/>
    <w:rPr>
      <w:color w:val="06287E"/>
    </w:rPr>
  </w:style>
  <w:style w:type="character" w:styleId="VariableTok">
    <w:name w:val="VariableTok"/>
    <w:basedOn w:val="VerbatimChar"/>
    <w:qFormat/>
    <w:rPr>
      <w:color w:val="19177C"/>
    </w:rPr>
  </w:style>
  <w:style w:type="character" w:styleId="ControlFlowTok">
    <w:name w:val="ControlFlowTok"/>
    <w:basedOn w:val="VerbatimChar"/>
    <w:qFormat/>
    <w:rPr>
      <w:b/>
      <w:color w:val="007020"/>
    </w:rPr>
  </w:style>
  <w:style w:type="character" w:styleId="OperatorTok">
    <w:name w:val="OperatorTok"/>
    <w:basedOn w:val="VerbatimChar"/>
    <w:qFormat/>
    <w:rPr>
      <w:color w:val="666666"/>
    </w:rPr>
  </w:style>
  <w:style w:type="character" w:styleId="BuiltInTok">
    <w:name w:val="BuiltInTok"/>
    <w:basedOn w:val="VerbatimChar"/>
    <w:qFormat/>
    <w:rPr>
      <w:color w:val="008000"/>
    </w:rPr>
  </w:style>
  <w:style w:type="character" w:styleId="ExtensionTok">
    <w:name w:val="ExtensionTok"/>
    <w:basedOn w:val="VerbatimChar"/>
    <w:qFormat/>
    <w:rPr/>
  </w:style>
  <w:style w:type="character" w:styleId="PreprocessorTok">
    <w:name w:val="PreprocessorTok"/>
    <w:basedOn w:val="VerbatimChar"/>
    <w:qFormat/>
    <w:rPr>
      <w:color w:val="BC7A00"/>
    </w:rPr>
  </w:style>
  <w:style w:type="character" w:styleId="AttributeTok">
    <w:name w:val="AttributeTok"/>
    <w:basedOn w:val="VerbatimChar"/>
    <w:qFormat/>
    <w:rPr>
      <w:color w:val="7D9029"/>
    </w:rPr>
  </w:style>
  <w:style w:type="character" w:styleId="RegionMarkerTok">
    <w:name w:val="RegionMarkerTok"/>
    <w:basedOn w:val="VerbatimChar"/>
    <w:qFormat/>
    <w:rPr/>
  </w:style>
  <w:style w:type="character" w:styleId="InformationTok">
    <w:name w:val="InformationTok"/>
    <w:basedOn w:val="VerbatimChar"/>
    <w:qFormat/>
    <w:rPr>
      <w:b/>
      <w:i/>
      <w:color w:val="60A0B0"/>
    </w:rPr>
  </w:style>
  <w:style w:type="character" w:styleId="WarningTok">
    <w:name w:val="WarningTok"/>
    <w:basedOn w:val="VerbatimChar"/>
    <w:qFormat/>
    <w:rPr>
      <w:b/>
      <w:i/>
      <w:color w:val="60A0B0"/>
    </w:rPr>
  </w:style>
  <w:style w:type="character" w:styleId="AlertTok">
    <w:name w:val="AlertTok"/>
    <w:basedOn w:val="VerbatimChar"/>
    <w:qFormat/>
    <w:rPr>
      <w:b/>
      <w:color w:val="FF0000"/>
    </w:rPr>
  </w:style>
  <w:style w:type="character" w:styleId="ErrorTok">
    <w:name w:val="ErrorTok"/>
    <w:basedOn w:val="VerbatimChar"/>
    <w:qFormat/>
    <w:rPr>
      <w:b/>
      <w:color w:val="FF0000"/>
    </w:rPr>
  </w:style>
  <w:style w:type="character" w:styleId="NormalTok">
    <w:name w:val="NormalTok"/>
    <w:basedOn w:val="VerbatimChar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pPr>
      <w:spacing w:before="180" w:after="180"/>
    </w:pPr>
    <w:rPr/>
  </w:style>
  <w:style w:type="paragraph" w:styleId="List">
    <w:name w:val="List"/>
    <w:basedOn w:val="BodyText"/>
    <w:pPr/>
    <w:rPr>
      <w:rFonts w:ascii="Arial" w:hAnsi="Arial" w:cs="Noto Sans Devanagari"/>
      <w:sz w:val="24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 Devanagari"/>
      <w:sz w:val="24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 Devanagari"/>
      <w:sz w:val="28"/>
      <w:szCs w:val="28"/>
    </w:rPr>
  </w:style>
  <w:style w:type="paragraph" w:styleId="FirstParagraph">
    <w:name w:val="First Paragraph"/>
    <w:basedOn w:val="BodyText"/>
    <w:next w:val="BodyText"/>
    <w:qFormat/>
    <w:pPr/>
    <w:rPr/>
  </w:style>
  <w:style w:type="paragraph" w:styleId="Compact">
    <w:name w:val="Compact"/>
    <w:basedOn w:val="BodyText"/>
    <w:qFormat/>
    <w:pPr>
      <w:spacing w:before="36" w:after="36"/>
    </w:pPr>
    <w:rPr/>
  </w:style>
  <w:style w:type="paragraph" w:styleId="Title">
    <w:name w:val="Title"/>
    <w:basedOn w:val="Normal"/>
    <w:next w:val="BodyText"/>
    <w:link w:val="TitleChar"/>
    <w:qFormat/>
    <w:pPr>
      <w:spacing w:lineRule="auto" w:line="240" w:before="0" w:after="80"/>
      <w:contextualSpacing/>
      <w:jc w:val="center"/>
    </w:pPr>
    <w:rPr>
      <w:rFonts w:ascii="Aptos Display" w:hAnsi="Aptos Display" w:eastAsia="Aptos" w:cs="Noto Sans Arabic"/>
      <w:spacing w:val="-10"/>
      <w:kern w:val="2"/>
      <w:sz w:val="56"/>
      <w:szCs w:val="56"/>
    </w:rPr>
  </w:style>
  <w:style w:type="paragraph" w:styleId="Subtitle">
    <w:name w:val="Subtitle"/>
    <w:basedOn w:val="Title"/>
    <w:next w:val="BodyText"/>
    <w:link w:val="SubtitleChar"/>
    <w:qFormat/>
    <w:pPr/>
    <w:rPr>
      <w:rFonts w:eastAsia="Aptos" w:cs="Noto Sans Arabic"/>
      <w:spacing w:val="15"/>
      <w:sz w:val="28"/>
      <w:szCs w:val="28"/>
    </w:rPr>
  </w:style>
  <w:style w:type="paragraph" w:styleId="Author">
    <w:name w:val="Author"/>
    <w:next w:val="BodyText"/>
    <w:qFormat/>
    <w:pPr>
      <w:keepNext w:val="true"/>
      <w:keepLines/>
      <w:widowControl/>
      <w:suppressAutoHyphens w:val="true"/>
      <w:overflowPunct w:val="false"/>
      <w:bidi w:val="0"/>
      <w:spacing w:before="0" w:after="200"/>
      <w:jc w:val="center"/>
    </w:pPr>
    <w:rPr>
      <w:rFonts w:ascii="Aptos" w:hAnsi="Aptos" w:eastAsia="Aptos" w:cs="Noto Sans Arabic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BodyText"/>
    <w:qFormat/>
    <w:pPr>
      <w:keepNext w:val="true"/>
      <w:keepLines/>
      <w:widowControl/>
      <w:suppressAutoHyphens w:val="true"/>
      <w:overflowPunct w:val="false"/>
      <w:bidi w:val="0"/>
      <w:spacing w:before="0" w:after="200"/>
      <w:jc w:val="center"/>
    </w:pPr>
    <w:rPr>
      <w:rFonts w:ascii="Aptos" w:hAnsi="Aptos" w:eastAsia="Aptos" w:cs="Noto Sans Arabic"/>
      <w:color w:val="auto"/>
      <w:kern w:val="0"/>
      <w:sz w:val="24"/>
      <w:szCs w:val="24"/>
      <w:lang w:val="en-US" w:eastAsia="en-US" w:bidi="ar-SA"/>
    </w:rPr>
  </w:style>
  <w:style w:type="paragraph" w:styleId="AbstractTitle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sz w:val="20"/>
      <w:szCs w:val="20"/>
    </w:rPr>
  </w:style>
  <w:style w:type="paragraph" w:styleId="Abstract">
    <w:name w:val="Abstract"/>
    <w:basedOn w:val="Normal"/>
    <w:next w:val="BodyText"/>
    <w:qFormat/>
    <w:pPr>
      <w:keepNext w:val="true"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BodyText"/>
    <w:next w:val="BodyText"/>
    <w:qFormat/>
    <w:pPr>
      <w:spacing w:before="100" w:after="100"/>
      <w:ind w:hanging="0" w:left="480" w:right="480"/>
    </w:pPr>
    <w:rPr/>
  </w:style>
  <w:style w:type="paragraph" w:styleId="FootnoteText">
    <w:name w:val="footnote text"/>
    <w:basedOn w:val="Normal"/>
    <w:pPr/>
    <w:rPr/>
  </w:style>
  <w:style w:type="paragraph" w:styleId="FootnoteBlockText">
    <w:name w:val="Footnote Block Text"/>
    <w:basedOn w:val="FootnoteText"/>
    <w:next w:val="FootnoteText"/>
    <w:qFormat/>
    <w:pPr>
      <w:spacing w:before="100" w:after="100"/>
      <w:ind w:hanging="0" w:left="480" w:right="480"/>
    </w:pPr>
    <w:rPr/>
  </w:style>
  <w:style w:type="paragraph" w:styleId="DefinitionTerm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>
    <w:name w:val="Definition"/>
    <w:basedOn w:val="Normal"/>
    <w:qFormat/>
    <w:pPr/>
    <w:rPr/>
  </w:style>
  <w:style w:type="paragraph" w:styleId="TableCaption">
    <w:name w:val="Table Caption"/>
    <w:basedOn w:val="Caption"/>
    <w:qFormat/>
    <w:pPr>
      <w:keepNext w:val="true"/>
    </w:pPr>
    <w:rPr/>
  </w:style>
  <w:style w:type="paragraph" w:styleId="ImageCaption">
    <w:name w:val="Image Caption"/>
    <w:basedOn w:val="Caption"/>
    <w:qFormat/>
    <w:pPr/>
    <w:rPr/>
  </w:style>
  <w:style w:type="paragraph" w:styleId="Figure">
    <w:name w:val="Figure"/>
    <w:basedOn w:val="Normal"/>
    <w:qFormat/>
    <w:pPr/>
    <w:rPr/>
  </w:style>
  <w:style w:type="paragraph" w:styleId="CaptionedFigure">
    <w:name w:val="Captioned Figure"/>
    <w:basedOn w:val="Figure"/>
    <w:qFormat/>
    <w:pPr>
      <w:keepNext w:val="true"/>
    </w:pPr>
    <w:rPr/>
  </w:style>
  <w:style w:type="paragraph" w:styleId="IndexHeading">
    <w:name w:val="index heading"/>
    <w:basedOn w:val="Titre"/>
    <w:pPr/>
    <w:rPr/>
  </w:style>
  <w:style w:type="paragraph" w:styleId="TOCHeading">
    <w:name w:val="TOC Heading"/>
    <w:basedOn w:val="Heading1"/>
    <w:next w:val="BodyText"/>
    <w:qFormat/>
    <w:pPr>
      <w:spacing w:lineRule="auto" w:line="259" w:before="240" w:after="80"/>
      <w:outlineLvl w:val="9"/>
    </w:pPr>
    <w:rPr>
      <w:rFonts w:ascii="Aptos Display" w:hAnsi="Aptos Display" w:eastAsia="Aptos" w:cs="Noto Sans Arabic"/>
      <w:b w:val="false"/>
      <w:bCs w:val="false"/>
      <w:color w:themeColor="accent1" w:themeShade="bf" w:val="365F91"/>
    </w:rPr>
  </w:style>
  <w:style w:type="paragraph" w:styleId="SourceCode">
    <w:name w:val="Source Code"/>
    <w:basedOn w:val="Normal"/>
    <w:link w:val="VerbatimChar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Application>LibreOffice/25.2.4.3$Linux_X86_64 LibreOffice_project/33e196637044ead23f5c3226cde09b47731f7e27</Application>
  <AppVersion>15.0000</AppVersion>
  <Pages>5</Pages>
  <Words>772</Words>
  <Characters>3550</Characters>
  <CharactersWithSpaces>3969</CharactersWithSpaces>
  <Paragraphs>376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2025-06-27T14:14:27Z</dcterms:created>
  <dc:creator/>
  <dc:description/>
  <dc:language>fr-FR</dc:language>
  <cp:lastModifiedBy>Charles Baulier</cp:lastModifiedBy>
  <dcterms:modified xsi:type="dcterms:W3CDTF">2025-09-09T11:14:34Z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