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0E97" w:rsidRDefault="00B40E97" w:rsidP="00B40E97">
      <w:pPr>
        <w:wordWrap/>
        <w:adjustRightInd w:val="0"/>
        <w:spacing w:after="0" w:line="480" w:lineRule="auto"/>
        <w:jc w:val="left"/>
        <w:rPr>
          <w:rFonts w:ascii="Times New Roman" w:hAnsi="Times New Roman" w:cs="Times New Roman"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>Additional Files</w:t>
      </w:r>
    </w:p>
    <w:p w:rsidR="00B40E97" w:rsidRPr="003519CA" w:rsidRDefault="00B40E97" w:rsidP="00B40E97">
      <w:pPr>
        <w:wordWrap/>
        <w:adjustRightInd w:val="0"/>
        <w:spacing w:after="0"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3519CA">
        <w:rPr>
          <w:rFonts w:ascii="Times New Roman" w:eastAsia="Malgun Gothic" w:hAnsi="Times New Roman" w:cs="Times New Roman"/>
          <w:color w:val="000000"/>
          <w:kern w:val="0"/>
          <w:sz w:val="24"/>
          <w:szCs w:val="24"/>
        </w:rPr>
        <w:t>A</w:t>
      </w:r>
      <w:r>
        <w:rPr>
          <w:rFonts w:ascii="Times New Roman" w:eastAsia="Malgun Gothic" w:hAnsi="Times New Roman" w:cs="Times New Roman"/>
          <w:color w:val="000000"/>
          <w:kern w:val="0"/>
          <w:sz w:val="24"/>
          <w:szCs w:val="24"/>
        </w:rPr>
        <w:t>dditional file</w:t>
      </w:r>
      <w:r w:rsidRPr="003519CA">
        <w:rPr>
          <w:rFonts w:ascii="Times New Roman" w:eastAsia="Malgun Gothic" w:hAnsi="Times New Roman" w:cs="Times New Roman"/>
          <w:color w:val="000000"/>
          <w:kern w:val="0"/>
          <w:sz w:val="24"/>
          <w:szCs w:val="24"/>
        </w:rPr>
        <w:t xml:space="preserve"> 1. Accompanying CT findings.</w:t>
      </w:r>
    </w:p>
    <w:p w:rsidR="00B40E97" w:rsidRPr="003519CA" w:rsidRDefault="00B40E97" w:rsidP="00B40E97">
      <w:pPr>
        <w:wordWrap/>
        <w:adjustRightInd w:val="0"/>
        <w:spacing w:after="0" w:line="480" w:lineRule="auto"/>
        <w:ind w:firstLineChars="50" w:firstLine="120"/>
        <w:jc w:val="left"/>
        <w:rPr>
          <w:rFonts w:ascii="Times New Roman" w:eastAsia="Malgun Gothic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Malgun Gothic" w:hAnsi="Times New Roman" w:cs="Times New Roman"/>
          <w:color w:val="000000"/>
          <w:kern w:val="0"/>
          <w:sz w:val="24"/>
          <w:szCs w:val="24"/>
        </w:rPr>
        <w:t>A s</w:t>
      </w:r>
      <w:r w:rsidRPr="003519CA">
        <w:rPr>
          <w:rFonts w:ascii="Times New Roman" w:hAnsi="Times New Roman" w:cs="Times New Roman"/>
          <w:sz w:val="24"/>
          <w:szCs w:val="24"/>
        </w:rPr>
        <w:t xml:space="preserve">atellite </w:t>
      </w:r>
      <w:proofErr w:type="spellStart"/>
      <w:r w:rsidRPr="003519CA">
        <w:rPr>
          <w:rFonts w:ascii="Times New Roman" w:hAnsi="Times New Roman" w:cs="Times New Roman"/>
          <w:sz w:val="24"/>
          <w:szCs w:val="24"/>
        </w:rPr>
        <w:t>centrilobular</w:t>
      </w:r>
      <w:proofErr w:type="spellEnd"/>
      <w:r w:rsidRPr="003519CA">
        <w:rPr>
          <w:rFonts w:ascii="Times New Roman" w:hAnsi="Times New Roman" w:cs="Times New Roman"/>
          <w:sz w:val="24"/>
          <w:szCs w:val="24"/>
        </w:rPr>
        <w:t xml:space="preserve"> nodule was </w:t>
      </w:r>
      <w:r w:rsidRPr="003519CA">
        <w:rPr>
          <w:rFonts w:ascii="Times New Roman" w:hAnsi="Times New Roman" w:cs="Times New Roman"/>
          <w:bCs/>
          <w:sz w:val="24"/>
          <w:szCs w:val="24"/>
        </w:rPr>
        <w:t xml:space="preserve">defined as </w:t>
      </w:r>
      <w:r>
        <w:rPr>
          <w:rFonts w:ascii="Times New Roman" w:hAnsi="Times New Roman" w:cs="Times New Roman"/>
          <w:bCs/>
          <w:sz w:val="24"/>
          <w:szCs w:val="24"/>
        </w:rPr>
        <w:t xml:space="preserve">a </w:t>
      </w:r>
      <w:r w:rsidRPr="003519CA">
        <w:rPr>
          <w:rFonts w:ascii="Times New Roman" w:hAnsi="Times New Roman" w:cs="Times New Roman"/>
          <w:bCs/>
          <w:sz w:val="24"/>
          <w:szCs w:val="24"/>
        </w:rPr>
        <w:t>well-circumscribed accessory foc</w:t>
      </w:r>
      <w:r>
        <w:rPr>
          <w:rFonts w:ascii="Times New Roman" w:hAnsi="Times New Roman" w:cs="Times New Roman"/>
          <w:bCs/>
          <w:sz w:val="24"/>
          <w:szCs w:val="24"/>
        </w:rPr>
        <w:t xml:space="preserve">us </w:t>
      </w:r>
      <w:r w:rsidRPr="003519CA">
        <w:rPr>
          <w:rFonts w:ascii="Times New Roman" w:hAnsi="Times New Roman" w:cs="Times New Roman"/>
          <w:bCs/>
          <w:sz w:val="24"/>
          <w:szCs w:val="24"/>
        </w:rPr>
        <w:t>clearly separated from the main lesion</w:t>
      </w:r>
      <w:r>
        <w:rPr>
          <w:rFonts w:ascii="Times New Roman" w:hAnsi="Times New Roman" w:cs="Times New Roman"/>
          <w:bCs/>
          <w:sz w:val="24"/>
          <w:szCs w:val="24"/>
        </w:rPr>
        <w:t xml:space="preserve"> [1]</w:t>
      </w:r>
      <w:r w:rsidRPr="003519CA">
        <w:rPr>
          <w:rFonts w:ascii="Times New Roman" w:hAnsi="Times New Roman" w:cs="Times New Roman"/>
          <w:bCs/>
          <w:sz w:val="24"/>
          <w:szCs w:val="24"/>
        </w:rPr>
        <w:t xml:space="preserve">. Bronchiectasis was defined as </w:t>
      </w:r>
      <w:r>
        <w:rPr>
          <w:rFonts w:ascii="Times New Roman" w:hAnsi="Times New Roman" w:cs="Times New Roman"/>
          <w:bCs/>
          <w:sz w:val="24"/>
          <w:szCs w:val="24"/>
        </w:rPr>
        <w:t>a</w:t>
      </w:r>
      <w:r w:rsidRPr="003519CA">
        <w:rPr>
          <w:rFonts w:ascii="Times New Roman" w:hAnsi="Times New Roman" w:cs="Times New Roman"/>
          <w:bCs/>
          <w:sz w:val="24"/>
          <w:szCs w:val="24"/>
        </w:rPr>
        <w:t xml:space="preserve"> visible bronchus in the outer one</w:t>
      </w:r>
      <w:r>
        <w:rPr>
          <w:rFonts w:ascii="Times New Roman" w:hAnsi="Times New Roman" w:cs="Times New Roman"/>
          <w:bCs/>
          <w:sz w:val="24"/>
          <w:szCs w:val="24"/>
        </w:rPr>
        <w:t>-</w:t>
      </w:r>
      <w:r w:rsidRPr="003519CA">
        <w:rPr>
          <w:rFonts w:ascii="Times New Roman" w:hAnsi="Times New Roman" w:cs="Times New Roman"/>
          <w:bCs/>
          <w:sz w:val="24"/>
          <w:szCs w:val="24"/>
        </w:rPr>
        <w:t xml:space="preserve">third </w:t>
      </w:r>
      <w:r w:rsidRPr="003519C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of the lung or a diameter of the inner lumen greater than that of the accompanying pulmonary artery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[2]</w:t>
      </w:r>
      <w:r w:rsidRPr="003519C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  <w:r w:rsidRPr="00661E6C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proofErr w:type="spellStart"/>
      <w:r w:rsidRPr="003519C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Anthracofibrosis</w:t>
      </w:r>
      <w:proofErr w:type="spellEnd"/>
      <w:r w:rsidRPr="003519C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of the airway was defined as smooth luminal narrowing of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a </w:t>
      </w:r>
      <w:r w:rsidRPr="003519C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bronchus, surrounded by calcified or </w:t>
      </w:r>
      <w:proofErr w:type="spellStart"/>
      <w:r w:rsidRPr="003519C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noncalcified</w:t>
      </w:r>
      <w:proofErr w:type="spellEnd"/>
      <w:r w:rsidRPr="003519C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lymph nodes in elderly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patients </w:t>
      </w:r>
      <w:r w:rsidRPr="003519C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without a relevant history of pneumoconiosis or smoking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[3]</w:t>
      </w:r>
      <w:r w:rsidRPr="003519C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  <w:r w:rsidRPr="00661E6C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Pr="003519C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Pulmonary emphysema was defined as a low-attenuation lung area lacking a distinct wall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because of</w:t>
      </w:r>
      <w:r w:rsidRPr="003519C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structural destruction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[4]</w:t>
      </w:r>
      <w:r w:rsidRPr="003519C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  <w:r w:rsidRPr="00661E6C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proofErr w:type="spellStart"/>
      <w:r w:rsidRPr="003519CA">
        <w:rPr>
          <w:rFonts w:ascii="Times New Roman" w:eastAsia="Malgun Gothic" w:hAnsi="Times New Roman" w:cs="Times New Roman"/>
          <w:color w:val="000000" w:themeColor="text1"/>
          <w:kern w:val="0"/>
          <w:sz w:val="24"/>
          <w:szCs w:val="24"/>
        </w:rPr>
        <w:t>Fibrocalcific</w:t>
      </w:r>
      <w:proofErr w:type="spellEnd"/>
      <w:r w:rsidRPr="003519CA">
        <w:rPr>
          <w:rFonts w:ascii="Times New Roman" w:eastAsia="Malgun Gothic" w:hAnsi="Times New Roman" w:cs="Times New Roman"/>
          <w:color w:val="000000" w:themeColor="text1"/>
          <w:kern w:val="0"/>
          <w:sz w:val="24"/>
          <w:szCs w:val="24"/>
        </w:rPr>
        <w:t xml:space="preserve"> parenchymal pulmonary tuberculosis</w:t>
      </w:r>
      <w:r w:rsidRPr="003519C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was defined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as</w:t>
      </w:r>
      <w:r w:rsidRPr="003519C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old </w:t>
      </w:r>
      <w:proofErr w:type="spellStart"/>
      <w:r w:rsidRPr="003519C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fibrocalcific</w:t>
      </w:r>
      <w:proofErr w:type="spellEnd"/>
      <w:r w:rsidRPr="003519C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changes of healed tuberculosis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[5]</w:t>
      </w:r>
      <w:r w:rsidRPr="003519C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3519CA">
        <w:rPr>
          <w:rFonts w:ascii="Times New Roman" w:eastAsia="Malgun Gothic" w:hAnsi="Times New Roman" w:cs="Times New Roman"/>
          <w:color w:val="000000" w:themeColor="text1"/>
          <w:kern w:val="0"/>
          <w:sz w:val="24"/>
          <w:szCs w:val="24"/>
        </w:rPr>
        <w:t xml:space="preserve">Interstitial lung disease was defined </w:t>
      </w:r>
      <w:r w:rsidRPr="003519CA">
        <w:rPr>
          <w:rFonts w:ascii="Times New Roman" w:eastAsia="Malgun Gothic" w:hAnsi="Times New Roman" w:cs="Times New Roman"/>
          <w:color w:val="000000"/>
          <w:kern w:val="0"/>
          <w:sz w:val="24"/>
          <w:szCs w:val="24"/>
        </w:rPr>
        <w:t>as typical imaging findings of reticular opacities, honeycombing, or ground-glass opacity</w:t>
      </w:r>
      <w:r>
        <w:rPr>
          <w:rFonts w:ascii="Times New Roman" w:eastAsia="Malgun Gothic" w:hAnsi="Times New Roman" w:cs="Times New Roman"/>
          <w:color w:val="000000"/>
          <w:kern w:val="0"/>
          <w:sz w:val="24"/>
          <w:szCs w:val="24"/>
        </w:rPr>
        <w:t>,</w:t>
      </w:r>
      <w:r w:rsidRPr="003519CA">
        <w:rPr>
          <w:rFonts w:ascii="Times New Roman" w:eastAsia="Malgun Gothic" w:hAnsi="Times New Roman" w:cs="Times New Roman"/>
          <w:color w:val="000000"/>
          <w:kern w:val="0"/>
          <w:sz w:val="24"/>
          <w:szCs w:val="24"/>
        </w:rPr>
        <w:t xml:space="preserve"> predominantly in the peripheral and basal lung areas</w:t>
      </w:r>
      <w:r>
        <w:rPr>
          <w:rFonts w:ascii="Times New Roman" w:eastAsia="Malgun Gothic" w:hAnsi="Times New Roman" w:cs="Times New Roman"/>
          <w:color w:val="000000"/>
          <w:kern w:val="0"/>
          <w:sz w:val="24"/>
          <w:szCs w:val="24"/>
        </w:rPr>
        <w:t xml:space="preserve"> [6]</w:t>
      </w:r>
      <w:r w:rsidRPr="003519CA">
        <w:rPr>
          <w:rFonts w:ascii="Times New Roman" w:eastAsia="Malgun Gothic" w:hAnsi="Times New Roman" w:cs="Times New Roman"/>
          <w:color w:val="000000"/>
          <w:kern w:val="0"/>
          <w:sz w:val="24"/>
          <w:szCs w:val="24"/>
        </w:rPr>
        <w:t>. Atelectasis was defined as increased attenuation of the affected lung associated with reduced lung volume</w:t>
      </w:r>
      <w:r>
        <w:rPr>
          <w:rFonts w:ascii="Times New Roman" w:eastAsia="Malgun Gothic" w:hAnsi="Times New Roman" w:cs="Times New Roman"/>
          <w:color w:val="000000"/>
          <w:kern w:val="0"/>
          <w:sz w:val="24"/>
          <w:szCs w:val="24"/>
        </w:rPr>
        <w:t xml:space="preserve"> [4]</w:t>
      </w:r>
      <w:r w:rsidRPr="003519CA">
        <w:rPr>
          <w:rFonts w:ascii="Times New Roman" w:eastAsia="Malgun Gothic" w:hAnsi="Times New Roman" w:cs="Times New Roman"/>
          <w:color w:val="000000"/>
          <w:kern w:val="0"/>
          <w:sz w:val="24"/>
          <w:szCs w:val="24"/>
        </w:rPr>
        <w:t xml:space="preserve">. Pleural effusion was defined as </w:t>
      </w:r>
      <w:r>
        <w:rPr>
          <w:rFonts w:ascii="Times New Roman" w:eastAsia="Malgun Gothic" w:hAnsi="Times New Roman" w:cs="Times New Roman"/>
          <w:color w:val="000000"/>
          <w:kern w:val="0"/>
          <w:sz w:val="24"/>
          <w:szCs w:val="24"/>
        </w:rPr>
        <w:t xml:space="preserve">a </w:t>
      </w:r>
      <w:r w:rsidRPr="003519CA">
        <w:rPr>
          <w:rFonts w:ascii="Times New Roman" w:eastAsia="Malgun Gothic" w:hAnsi="Times New Roman" w:cs="Times New Roman"/>
          <w:color w:val="000000"/>
          <w:kern w:val="0"/>
          <w:sz w:val="24"/>
          <w:szCs w:val="24"/>
        </w:rPr>
        <w:t>concave or convex</w:t>
      </w:r>
      <w:r>
        <w:rPr>
          <w:rFonts w:ascii="Times New Roman" w:eastAsia="Malgun Gothic" w:hAnsi="Times New Roman" w:cs="Times New Roman"/>
          <w:color w:val="000000"/>
          <w:kern w:val="0"/>
          <w:sz w:val="24"/>
          <w:szCs w:val="24"/>
        </w:rPr>
        <w:t>-</w:t>
      </w:r>
      <w:r w:rsidRPr="003519CA">
        <w:rPr>
          <w:rFonts w:ascii="Times New Roman" w:eastAsia="Malgun Gothic" w:hAnsi="Times New Roman" w:cs="Times New Roman"/>
          <w:color w:val="000000"/>
          <w:kern w:val="0"/>
          <w:sz w:val="24"/>
          <w:szCs w:val="24"/>
        </w:rPr>
        <w:t>shaped fluid density within the visceral and parietal pleural layers</w:t>
      </w:r>
      <w:r>
        <w:rPr>
          <w:rFonts w:ascii="Times New Roman" w:eastAsia="Malgun Gothic" w:hAnsi="Times New Roman" w:cs="Times New Roman"/>
          <w:color w:val="000000"/>
          <w:kern w:val="0"/>
          <w:sz w:val="24"/>
          <w:szCs w:val="24"/>
        </w:rPr>
        <w:t xml:space="preserve"> [7]</w:t>
      </w:r>
      <w:r w:rsidRPr="003519CA">
        <w:rPr>
          <w:rFonts w:ascii="Times New Roman" w:eastAsia="Malgun Gothic" w:hAnsi="Times New Roman" w:cs="Times New Roman"/>
          <w:color w:val="000000"/>
          <w:kern w:val="0"/>
          <w:sz w:val="24"/>
          <w:szCs w:val="24"/>
        </w:rPr>
        <w:t>.</w:t>
      </w:r>
    </w:p>
    <w:p w:rsidR="00B40E97" w:rsidRPr="00661E6C" w:rsidRDefault="00B40E97" w:rsidP="00B40E97">
      <w:pPr>
        <w:wordWrap/>
        <w:adjustRightInd w:val="0"/>
        <w:spacing w:after="0" w:line="480" w:lineRule="auto"/>
        <w:jc w:val="left"/>
        <w:rPr>
          <w:rFonts w:ascii="Times New Roman" w:eastAsia="Malgun Gothic" w:hAnsi="Times New Roman" w:cs="Times New Roman"/>
          <w:color w:val="000000"/>
          <w:kern w:val="0"/>
          <w:sz w:val="24"/>
          <w:szCs w:val="24"/>
        </w:rPr>
      </w:pPr>
    </w:p>
    <w:p w:rsidR="00B40E97" w:rsidRDefault="00B40E97" w:rsidP="00B40E97">
      <w:pPr>
        <w:wordWrap/>
        <w:adjustRightInd w:val="0"/>
        <w:spacing w:after="0" w:line="480" w:lineRule="auto"/>
        <w:jc w:val="left"/>
        <w:rPr>
          <w:rFonts w:ascii="Times New Roman" w:hAnsi="Times New Roman" w:cs="Times New Roman"/>
          <w:bCs/>
          <w:sz w:val="24"/>
          <w:szCs w:val="28"/>
        </w:rPr>
      </w:pPr>
      <w:bookmarkStart w:id="0" w:name="_GoBack"/>
      <w:bookmarkEnd w:id="0"/>
    </w:p>
    <w:p w:rsidR="00B40E97" w:rsidRPr="003519CA" w:rsidRDefault="00B40E97" w:rsidP="00B40E97">
      <w:pPr>
        <w:wordWrap/>
        <w:adjustRightInd w:val="0"/>
        <w:spacing w:after="0" w:line="480" w:lineRule="auto"/>
        <w:jc w:val="left"/>
        <w:rPr>
          <w:rFonts w:ascii="Times New Roman" w:hAnsi="Times New Roman" w:cs="Times New Roman"/>
          <w:bCs/>
          <w:sz w:val="24"/>
          <w:szCs w:val="28"/>
        </w:rPr>
      </w:pPr>
      <w:r w:rsidRPr="003519CA">
        <w:rPr>
          <w:rFonts w:ascii="Times New Roman" w:hAnsi="Times New Roman" w:cs="Times New Roman"/>
          <w:bCs/>
          <w:sz w:val="24"/>
          <w:szCs w:val="28"/>
        </w:rPr>
        <w:t>A</w:t>
      </w:r>
      <w:r>
        <w:rPr>
          <w:rFonts w:ascii="Times New Roman" w:hAnsi="Times New Roman" w:cs="Times New Roman"/>
          <w:bCs/>
          <w:sz w:val="24"/>
          <w:szCs w:val="28"/>
        </w:rPr>
        <w:t>dditional file</w:t>
      </w:r>
      <w:r w:rsidRPr="003519CA">
        <w:rPr>
          <w:rFonts w:ascii="Times New Roman" w:hAnsi="Times New Roman" w:cs="Times New Roman"/>
          <w:bCs/>
          <w:sz w:val="24"/>
          <w:szCs w:val="28"/>
        </w:rPr>
        <w:t xml:space="preserve"> 2. </w:t>
      </w:r>
      <w:r w:rsidRPr="003519CA">
        <w:rPr>
          <w:rFonts w:ascii="Times New Roman" w:eastAsia="Malgun Gothic" w:hAnsi="Times New Roman" w:cs="Times New Roman"/>
          <w:color w:val="000000"/>
          <w:kern w:val="0"/>
          <w:sz w:val="24"/>
          <w:szCs w:val="24"/>
        </w:rPr>
        <w:t xml:space="preserve">Accompanying </w:t>
      </w:r>
      <w:r w:rsidRPr="003519CA">
        <w:rPr>
          <w:rFonts w:ascii="Times New Roman" w:hAnsi="Times New Roman" w:cs="Times New Roman"/>
          <w:bCs/>
          <w:sz w:val="24"/>
          <w:szCs w:val="28"/>
        </w:rPr>
        <w:t xml:space="preserve">CT findings of </w:t>
      </w:r>
      <w:r>
        <w:rPr>
          <w:rFonts w:ascii="Times New Roman" w:hAnsi="Times New Roman" w:cs="Times New Roman"/>
          <w:bCs/>
          <w:sz w:val="24"/>
          <w:szCs w:val="28"/>
        </w:rPr>
        <w:t xml:space="preserve">the </w:t>
      </w:r>
      <w:r w:rsidRPr="003519CA">
        <w:rPr>
          <w:rFonts w:ascii="Times New Roman" w:hAnsi="Times New Roman" w:cs="Times New Roman"/>
          <w:bCs/>
          <w:sz w:val="24"/>
          <w:szCs w:val="28"/>
        </w:rPr>
        <w:t xml:space="preserve">970 patients who received bronchoscopy using </w:t>
      </w:r>
      <w:r w:rsidRPr="003519CA">
        <w:rPr>
          <w:rFonts w:ascii="Times New Roman" w:hAnsi="Times New Roman" w:cs="Times New Roman"/>
          <w:sz w:val="24"/>
          <w:szCs w:val="24"/>
        </w:rPr>
        <w:t>radial probe</w:t>
      </w:r>
      <w:r w:rsidRPr="003519CA">
        <w:rPr>
          <w:rFonts w:ascii="Times New Roman" w:hAnsi="Times New Roman" w:cs="Times New Roman"/>
          <w:bCs/>
          <w:sz w:val="24"/>
          <w:szCs w:val="28"/>
        </w:rPr>
        <w:t xml:space="preserve"> </w:t>
      </w:r>
      <w:proofErr w:type="spellStart"/>
      <w:r w:rsidRPr="003519CA">
        <w:rPr>
          <w:rFonts w:ascii="Times New Roman" w:hAnsi="Times New Roman" w:cs="Times New Roman"/>
          <w:bCs/>
          <w:sz w:val="24"/>
          <w:szCs w:val="28"/>
        </w:rPr>
        <w:t>endobronchial</w:t>
      </w:r>
      <w:proofErr w:type="spellEnd"/>
      <w:r w:rsidRPr="003519CA">
        <w:rPr>
          <w:rFonts w:ascii="Times New Roman" w:hAnsi="Times New Roman" w:cs="Times New Roman"/>
          <w:bCs/>
          <w:sz w:val="24"/>
          <w:szCs w:val="28"/>
        </w:rPr>
        <w:t xml:space="preserve"> ultrasound.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31"/>
        <w:gridCol w:w="2752"/>
      </w:tblGrid>
      <w:tr w:rsidR="00B40E97" w:rsidRPr="003519CA" w:rsidTr="00547B80">
        <w:trPr>
          <w:trHeight w:val="381"/>
        </w:trPr>
        <w:tc>
          <w:tcPr>
            <w:tcW w:w="4331" w:type="dxa"/>
          </w:tcPr>
          <w:p w:rsidR="00B40E97" w:rsidRPr="003519CA" w:rsidRDefault="00B40E97" w:rsidP="00547B80">
            <w:pPr>
              <w:wordWrap/>
              <w:adjustRightInd w:val="0"/>
              <w:spacing w:line="360" w:lineRule="auto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3519CA">
              <w:rPr>
                <w:rFonts w:ascii="Times New Roman" w:eastAsia="Malgun Gothic" w:hAnsi="Times New Roman" w:cs="Times New Roman"/>
                <w:color w:val="000000"/>
                <w:kern w:val="0"/>
                <w:sz w:val="24"/>
                <w:szCs w:val="24"/>
              </w:rPr>
              <w:t xml:space="preserve">Accompanying </w:t>
            </w:r>
            <w:r w:rsidRPr="003519CA">
              <w:rPr>
                <w:rFonts w:ascii="Times New Roman" w:hAnsi="Times New Roman" w:cs="Times New Roman"/>
                <w:bCs/>
                <w:sz w:val="24"/>
                <w:szCs w:val="28"/>
              </w:rPr>
              <w:t>CT findings</w:t>
            </w:r>
          </w:p>
        </w:tc>
        <w:tc>
          <w:tcPr>
            <w:tcW w:w="2752" w:type="dxa"/>
          </w:tcPr>
          <w:p w:rsidR="00B40E97" w:rsidRPr="003519CA" w:rsidRDefault="00B40E97" w:rsidP="00547B80">
            <w:pPr>
              <w:wordWrap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3519CA">
              <w:rPr>
                <w:rFonts w:ascii="Times New Roman" w:hAnsi="Times New Roman" w:cs="Times New Roman"/>
                <w:bCs/>
                <w:sz w:val="24"/>
                <w:szCs w:val="28"/>
              </w:rPr>
              <w:t>No. (%)</w:t>
            </w:r>
          </w:p>
        </w:tc>
      </w:tr>
      <w:tr w:rsidR="00B40E97" w:rsidRPr="003519CA" w:rsidTr="00547B80">
        <w:trPr>
          <w:trHeight w:val="381"/>
        </w:trPr>
        <w:tc>
          <w:tcPr>
            <w:tcW w:w="4331" w:type="dxa"/>
          </w:tcPr>
          <w:p w:rsidR="00B40E97" w:rsidRPr="003519CA" w:rsidRDefault="00B40E97" w:rsidP="00547B80">
            <w:pPr>
              <w:wordWrap/>
              <w:adjustRightInd w:val="0"/>
              <w:spacing w:line="360" w:lineRule="auto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3519CA">
              <w:rPr>
                <w:rFonts w:ascii="Times New Roman" w:hAnsi="Times New Roman" w:cs="Times New Roman"/>
                <w:bCs/>
                <w:sz w:val="24"/>
                <w:szCs w:val="28"/>
              </w:rPr>
              <w:t xml:space="preserve">Satellite </w:t>
            </w:r>
            <w:proofErr w:type="spellStart"/>
            <w:r w:rsidRPr="003519CA">
              <w:rPr>
                <w:rFonts w:ascii="Times New Roman" w:hAnsi="Times New Roman" w:cs="Times New Roman"/>
                <w:bCs/>
                <w:sz w:val="24"/>
                <w:szCs w:val="28"/>
              </w:rPr>
              <w:t>centrilobular</w:t>
            </w:r>
            <w:proofErr w:type="spellEnd"/>
            <w:r w:rsidRPr="003519CA">
              <w:rPr>
                <w:rFonts w:ascii="Times New Roman" w:hAnsi="Times New Roman" w:cs="Times New Roman"/>
                <w:bCs/>
                <w:sz w:val="24"/>
                <w:szCs w:val="28"/>
              </w:rPr>
              <w:t xml:space="preserve"> nodule</w:t>
            </w:r>
          </w:p>
        </w:tc>
        <w:tc>
          <w:tcPr>
            <w:tcW w:w="2752" w:type="dxa"/>
          </w:tcPr>
          <w:p w:rsidR="00B40E97" w:rsidRPr="003519CA" w:rsidRDefault="00B40E97" w:rsidP="00547B80">
            <w:pPr>
              <w:wordWrap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3519CA">
              <w:rPr>
                <w:rFonts w:ascii="Times New Roman" w:hAnsi="Times New Roman" w:cs="Times New Roman"/>
                <w:bCs/>
                <w:sz w:val="24"/>
                <w:szCs w:val="28"/>
              </w:rPr>
              <w:t>89 (9.2)</w:t>
            </w:r>
          </w:p>
        </w:tc>
      </w:tr>
      <w:tr w:rsidR="00B40E97" w:rsidRPr="003519CA" w:rsidTr="00547B80">
        <w:trPr>
          <w:trHeight w:val="381"/>
        </w:trPr>
        <w:tc>
          <w:tcPr>
            <w:tcW w:w="4331" w:type="dxa"/>
          </w:tcPr>
          <w:p w:rsidR="00B40E97" w:rsidRPr="003519CA" w:rsidRDefault="00B40E97" w:rsidP="00547B80">
            <w:pPr>
              <w:wordWrap/>
              <w:adjustRightInd w:val="0"/>
              <w:spacing w:line="360" w:lineRule="auto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3519CA">
              <w:rPr>
                <w:rFonts w:ascii="Times New Roman" w:hAnsi="Times New Roman" w:cs="Times New Roman"/>
                <w:bCs/>
                <w:sz w:val="24"/>
                <w:szCs w:val="28"/>
              </w:rPr>
              <w:t>Bronchiectasis</w:t>
            </w:r>
          </w:p>
        </w:tc>
        <w:tc>
          <w:tcPr>
            <w:tcW w:w="2752" w:type="dxa"/>
          </w:tcPr>
          <w:p w:rsidR="00B40E97" w:rsidRPr="003519CA" w:rsidRDefault="00B40E97" w:rsidP="00547B80">
            <w:pPr>
              <w:wordWrap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3519CA">
              <w:rPr>
                <w:rFonts w:ascii="Times New Roman" w:hAnsi="Times New Roman" w:cs="Times New Roman"/>
                <w:bCs/>
                <w:sz w:val="24"/>
                <w:szCs w:val="28"/>
              </w:rPr>
              <w:t>37 (3.8)</w:t>
            </w:r>
          </w:p>
        </w:tc>
      </w:tr>
      <w:tr w:rsidR="00B40E97" w:rsidRPr="003519CA" w:rsidTr="00547B80">
        <w:trPr>
          <w:trHeight w:val="381"/>
        </w:trPr>
        <w:tc>
          <w:tcPr>
            <w:tcW w:w="4331" w:type="dxa"/>
          </w:tcPr>
          <w:p w:rsidR="00B40E97" w:rsidRPr="003519CA" w:rsidRDefault="00B40E97" w:rsidP="00547B80">
            <w:pPr>
              <w:wordWrap/>
              <w:adjustRightInd w:val="0"/>
              <w:spacing w:line="360" w:lineRule="auto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proofErr w:type="spellStart"/>
            <w:r w:rsidRPr="003519CA">
              <w:rPr>
                <w:rFonts w:ascii="Times New Roman" w:hAnsi="Times New Roman" w:cs="Times New Roman"/>
                <w:bCs/>
                <w:sz w:val="24"/>
                <w:szCs w:val="28"/>
              </w:rPr>
              <w:t>Anthracofibrosis</w:t>
            </w:r>
            <w:proofErr w:type="spellEnd"/>
          </w:p>
        </w:tc>
        <w:tc>
          <w:tcPr>
            <w:tcW w:w="2752" w:type="dxa"/>
          </w:tcPr>
          <w:p w:rsidR="00B40E97" w:rsidRPr="003519CA" w:rsidRDefault="00B40E97" w:rsidP="00547B80">
            <w:pPr>
              <w:wordWrap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3519CA">
              <w:rPr>
                <w:rFonts w:ascii="Times New Roman" w:hAnsi="Times New Roman" w:cs="Times New Roman"/>
                <w:bCs/>
                <w:sz w:val="24"/>
                <w:szCs w:val="28"/>
              </w:rPr>
              <w:t>154 (15.8)</w:t>
            </w:r>
          </w:p>
        </w:tc>
      </w:tr>
      <w:tr w:rsidR="00B40E97" w:rsidRPr="003519CA" w:rsidTr="00547B80">
        <w:trPr>
          <w:trHeight w:val="381"/>
        </w:trPr>
        <w:tc>
          <w:tcPr>
            <w:tcW w:w="4331" w:type="dxa"/>
          </w:tcPr>
          <w:p w:rsidR="00B40E97" w:rsidRPr="003519CA" w:rsidRDefault="00B40E97" w:rsidP="00547B80">
            <w:pPr>
              <w:wordWrap/>
              <w:adjustRightInd w:val="0"/>
              <w:spacing w:line="360" w:lineRule="auto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3519CA">
              <w:rPr>
                <w:rFonts w:ascii="Times New Roman" w:hAnsi="Times New Roman" w:cs="Times New Roman"/>
                <w:bCs/>
                <w:sz w:val="24"/>
                <w:szCs w:val="28"/>
              </w:rPr>
              <w:t>Pulmonary emphysema</w:t>
            </w:r>
          </w:p>
        </w:tc>
        <w:tc>
          <w:tcPr>
            <w:tcW w:w="2752" w:type="dxa"/>
          </w:tcPr>
          <w:p w:rsidR="00B40E97" w:rsidRPr="003519CA" w:rsidRDefault="00B40E97" w:rsidP="00547B80">
            <w:pPr>
              <w:wordWrap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3519CA">
              <w:rPr>
                <w:rFonts w:ascii="Times New Roman" w:hAnsi="Times New Roman" w:cs="Times New Roman"/>
                <w:bCs/>
                <w:sz w:val="24"/>
                <w:szCs w:val="28"/>
              </w:rPr>
              <w:t>266 (27.4)</w:t>
            </w:r>
          </w:p>
        </w:tc>
      </w:tr>
      <w:tr w:rsidR="00B40E97" w:rsidRPr="003519CA" w:rsidTr="00547B80">
        <w:trPr>
          <w:trHeight w:val="381"/>
        </w:trPr>
        <w:tc>
          <w:tcPr>
            <w:tcW w:w="4331" w:type="dxa"/>
          </w:tcPr>
          <w:p w:rsidR="00B40E97" w:rsidRPr="003519CA" w:rsidRDefault="00B40E97" w:rsidP="00547B80">
            <w:pPr>
              <w:wordWrap/>
              <w:adjustRightInd w:val="0"/>
              <w:spacing w:line="360" w:lineRule="auto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proofErr w:type="spellStart"/>
            <w:r w:rsidRPr="003519CA">
              <w:rPr>
                <w:rFonts w:ascii="Times New Roman" w:hAnsi="Times New Roman" w:cs="Times New Roman"/>
                <w:bCs/>
                <w:sz w:val="24"/>
                <w:szCs w:val="28"/>
              </w:rPr>
              <w:t>Fibrocalcific</w:t>
            </w:r>
            <w:proofErr w:type="spellEnd"/>
            <w:r w:rsidRPr="003519CA">
              <w:rPr>
                <w:rFonts w:ascii="Times New Roman" w:hAnsi="Times New Roman" w:cs="Times New Roman"/>
                <w:bCs/>
                <w:sz w:val="24"/>
                <w:szCs w:val="28"/>
              </w:rPr>
              <w:t xml:space="preserve"> tuberculosis</w:t>
            </w:r>
          </w:p>
        </w:tc>
        <w:tc>
          <w:tcPr>
            <w:tcW w:w="2752" w:type="dxa"/>
          </w:tcPr>
          <w:p w:rsidR="00B40E97" w:rsidRPr="003519CA" w:rsidRDefault="00B40E97" w:rsidP="00547B80">
            <w:pPr>
              <w:wordWrap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3519CA">
              <w:rPr>
                <w:rFonts w:ascii="Times New Roman" w:hAnsi="Times New Roman" w:cs="Times New Roman"/>
                <w:bCs/>
                <w:sz w:val="24"/>
                <w:szCs w:val="28"/>
              </w:rPr>
              <w:t>99 (10.2)</w:t>
            </w:r>
          </w:p>
        </w:tc>
      </w:tr>
      <w:tr w:rsidR="00B40E97" w:rsidRPr="003519CA" w:rsidTr="00547B80">
        <w:trPr>
          <w:trHeight w:val="381"/>
        </w:trPr>
        <w:tc>
          <w:tcPr>
            <w:tcW w:w="4331" w:type="dxa"/>
          </w:tcPr>
          <w:p w:rsidR="00B40E97" w:rsidRPr="003519CA" w:rsidRDefault="00B40E97" w:rsidP="00547B80">
            <w:pPr>
              <w:wordWrap/>
              <w:adjustRightInd w:val="0"/>
              <w:spacing w:line="360" w:lineRule="auto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3519CA">
              <w:rPr>
                <w:rFonts w:ascii="Times New Roman" w:hAnsi="Times New Roman" w:cs="Times New Roman"/>
                <w:bCs/>
                <w:sz w:val="24"/>
                <w:szCs w:val="28"/>
              </w:rPr>
              <w:lastRenderedPageBreak/>
              <w:t>Interstitial lung disease</w:t>
            </w:r>
          </w:p>
        </w:tc>
        <w:tc>
          <w:tcPr>
            <w:tcW w:w="2752" w:type="dxa"/>
          </w:tcPr>
          <w:p w:rsidR="00B40E97" w:rsidRPr="003519CA" w:rsidRDefault="00B40E97" w:rsidP="00547B80">
            <w:pPr>
              <w:wordWrap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3519CA">
              <w:rPr>
                <w:rFonts w:ascii="Times New Roman" w:hAnsi="Times New Roman" w:cs="Times New Roman"/>
                <w:bCs/>
                <w:sz w:val="24"/>
                <w:szCs w:val="28"/>
              </w:rPr>
              <w:t>35 (3.6)</w:t>
            </w:r>
          </w:p>
        </w:tc>
      </w:tr>
      <w:tr w:rsidR="00B40E97" w:rsidRPr="003519CA" w:rsidTr="00547B80">
        <w:trPr>
          <w:trHeight w:val="381"/>
        </w:trPr>
        <w:tc>
          <w:tcPr>
            <w:tcW w:w="4331" w:type="dxa"/>
          </w:tcPr>
          <w:p w:rsidR="00B40E97" w:rsidRPr="003519CA" w:rsidRDefault="00B40E97" w:rsidP="00547B80">
            <w:pPr>
              <w:wordWrap/>
              <w:adjustRightInd w:val="0"/>
              <w:spacing w:line="360" w:lineRule="auto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3519CA">
              <w:rPr>
                <w:rFonts w:ascii="Times New Roman" w:hAnsi="Times New Roman" w:cs="Times New Roman"/>
                <w:bCs/>
                <w:sz w:val="24"/>
                <w:szCs w:val="28"/>
              </w:rPr>
              <w:t>Atelectasis</w:t>
            </w:r>
          </w:p>
        </w:tc>
        <w:tc>
          <w:tcPr>
            <w:tcW w:w="2752" w:type="dxa"/>
          </w:tcPr>
          <w:p w:rsidR="00B40E97" w:rsidRPr="003519CA" w:rsidRDefault="00B40E97" w:rsidP="00547B80">
            <w:pPr>
              <w:wordWrap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3519CA">
              <w:rPr>
                <w:rFonts w:ascii="Times New Roman" w:hAnsi="Times New Roman" w:cs="Times New Roman"/>
                <w:bCs/>
                <w:sz w:val="24"/>
                <w:szCs w:val="28"/>
              </w:rPr>
              <w:t>103 (10.6)</w:t>
            </w:r>
          </w:p>
        </w:tc>
      </w:tr>
      <w:tr w:rsidR="00B40E97" w:rsidRPr="003519CA" w:rsidTr="00547B80">
        <w:trPr>
          <w:trHeight w:val="381"/>
        </w:trPr>
        <w:tc>
          <w:tcPr>
            <w:tcW w:w="4331" w:type="dxa"/>
          </w:tcPr>
          <w:p w:rsidR="00B40E97" w:rsidRPr="003519CA" w:rsidRDefault="00B40E97" w:rsidP="00547B80">
            <w:pPr>
              <w:wordWrap/>
              <w:adjustRightInd w:val="0"/>
              <w:spacing w:line="360" w:lineRule="auto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3519CA">
              <w:rPr>
                <w:rFonts w:ascii="Times New Roman" w:hAnsi="Times New Roman" w:cs="Times New Roman"/>
                <w:bCs/>
                <w:sz w:val="24"/>
                <w:szCs w:val="28"/>
              </w:rPr>
              <w:t>Pleural effusion</w:t>
            </w:r>
          </w:p>
        </w:tc>
        <w:tc>
          <w:tcPr>
            <w:tcW w:w="2752" w:type="dxa"/>
          </w:tcPr>
          <w:p w:rsidR="00B40E97" w:rsidRPr="003519CA" w:rsidRDefault="00B40E97" w:rsidP="00547B80">
            <w:pPr>
              <w:wordWrap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3519CA">
              <w:rPr>
                <w:rFonts w:ascii="Times New Roman" w:hAnsi="Times New Roman" w:cs="Times New Roman"/>
                <w:bCs/>
                <w:sz w:val="24"/>
                <w:szCs w:val="28"/>
              </w:rPr>
              <w:t>83 (8.6)</w:t>
            </w:r>
          </w:p>
        </w:tc>
      </w:tr>
    </w:tbl>
    <w:p w:rsidR="00B40E97" w:rsidRDefault="00B40E97" w:rsidP="00B40E97">
      <w:pPr>
        <w:wordWrap/>
        <w:adjustRightInd w:val="0"/>
        <w:spacing w:after="0" w:line="480" w:lineRule="auto"/>
        <w:jc w:val="left"/>
        <w:rPr>
          <w:rFonts w:ascii="Times New Roman" w:hAnsi="Times New Roman" w:cs="Times New Roman"/>
          <w:bCs/>
          <w:sz w:val="24"/>
          <w:szCs w:val="28"/>
        </w:rPr>
      </w:pPr>
    </w:p>
    <w:p w:rsidR="00C67E63" w:rsidRDefault="00C67E63"/>
    <w:sectPr w:rsidR="00C67E63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0E97"/>
    <w:rsid w:val="00B40E97"/>
    <w:rsid w:val="00C67E63"/>
    <w:rsid w:val="00CF3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F329AFB-686F-4123-BBCC-38AC9F04E4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40E97"/>
    <w:pPr>
      <w:widowControl w:val="0"/>
      <w:wordWrap w:val="0"/>
      <w:autoSpaceDE w:val="0"/>
      <w:autoSpaceDN w:val="0"/>
      <w:jc w:val="both"/>
    </w:pPr>
    <w:rPr>
      <w:rFonts w:eastAsiaTheme="minorEastAsia"/>
      <w:kern w:val="2"/>
      <w:sz w:val="20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">
    <w:name w:val="EndNote Bibliography"/>
    <w:basedOn w:val="Normal"/>
    <w:link w:val="EndNoteBibliographyChar"/>
    <w:rsid w:val="00B40E97"/>
    <w:pPr>
      <w:spacing w:line="240" w:lineRule="auto"/>
      <w:jc w:val="left"/>
    </w:pPr>
    <w:rPr>
      <w:rFonts w:ascii="Malgun Gothic" w:eastAsia="Malgun Gothic" w:hAnsi="Malgun Gothic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B40E97"/>
    <w:rPr>
      <w:rFonts w:ascii="Malgun Gothic" w:eastAsia="Malgun Gothic" w:hAnsi="Malgun Gothic"/>
      <w:noProof/>
      <w:kern w:val="2"/>
      <w:sz w:val="20"/>
      <w:lang w:eastAsia="ko-KR"/>
    </w:rPr>
  </w:style>
  <w:style w:type="table" w:styleId="TableGrid">
    <w:name w:val="Table Grid"/>
    <w:basedOn w:val="TableNormal"/>
    <w:uiPriority w:val="39"/>
    <w:rsid w:val="00B40E97"/>
    <w:pPr>
      <w:spacing w:after="0" w:line="240" w:lineRule="auto"/>
      <w:jc w:val="both"/>
    </w:pPr>
    <w:rPr>
      <w:rFonts w:eastAsiaTheme="minorEastAsia"/>
      <w:kern w:val="2"/>
      <w:sz w:val="20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250</Words>
  <Characters>1431</Characters>
  <Application>Microsoft Office Word</Application>
  <DocSecurity>0</DocSecurity>
  <Lines>11</Lines>
  <Paragraphs>3</Paragraphs>
  <ScaleCrop>false</ScaleCrop>
  <Company>Springer Nature</Company>
  <LinksUpToDate>false</LinksUpToDate>
  <CharactersWithSpaces>1678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2</cp:revision>
  <dcterms:created xsi:type="dcterms:W3CDTF">2020-09-17T13:49:00Z</dcterms:created>
  <dcterms:modified xsi:type="dcterms:W3CDTF">2020-09-17T13:57:00Z</dcterms:modified>
</cp:coreProperties>
</file>