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FE0DF" w14:textId="77777777" w:rsidR="002D6CF5" w:rsidRPr="003926DD" w:rsidRDefault="002D6CF5" w:rsidP="002D6CF5">
      <w:pPr>
        <w:spacing w:line="480" w:lineRule="auto"/>
        <w:jc w:val="center"/>
      </w:pPr>
      <w:r w:rsidRPr="003926DD">
        <w:t>Supplementary Materials for</w:t>
      </w:r>
    </w:p>
    <w:p w14:paraId="334AE1F1" w14:textId="77777777" w:rsidR="00802576" w:rsidRDefault="00C77A55" w:rsidP="002D6CF5">
      <w:pPr>
        <w:spacing w:line="480" w:lineRule="auto"/>
        <w:jc w:val="center"/>
        <w:rPr>
          <w:b/>
          <w:bCs/>
        </w:rPr>
      </w:pPr>
      <w:r w:rsidRPr="00C77A55">
        <w:rPr>
          <w:b/>
          <w:bCs/>
        </w:rPr>
        <w:t xml:space="preserve">Lobe-Switching Avulsions: Delta Geometry Could Determine Locations  </w:t>
      </w:r>
    </w:p>
    <w:p w14:paraId="64151662" w14:textId="5F61501A" w:rsidR="00A45CCD" w:rsidRPr="003926DD" w:rsidRDefault="00A45CCD" w:rsidP="002D6CF5">
      <w:pPr>
        <w:spacing w:line="480" w:lineRule="auto"/>
        <w:jc w:val="center"/>
      </w:pPr>
      <w:proofErr w:type="spellStart"/>
      <w:r w:rsidRPr="00A45CCD">
        <w:t>Ningjie</w:t>
      </w:r>
      <w:proofErr w:type="spellEnd"/>
      <w:r w:rsidRPr="00A45CCD">
        <w:t xml:space="preserve"> Hu</w:t>
      </w:r>
      <w:r w:rsidRPr="00D36B36">
        <w:rPr>
          <w:vertAlign w:val="superscript"/>
        </w:rPr>
        <w:t>1</w:t>
      </w:r>
      <w:r w:rsidRPr="00A45CCD">
        <w:t>, A. Brad Murray</w:t>
      </w:r>
      <w:r w:rsidRPr="00D36B36">
        <w:rPr>
          <w:vertAlign w:val="superscript"/>
        </w:rPr>
        <w:t>1</w:t>
      </w:r>
      <w:r w:rsidRPr="00A45CCD">
        <w:t>, Katherine M. Ratliff</w:t>
      </w:r>
      <w:r w:rsidRPr="00D36B36">
        <w:rPr>
          <w:vertAlign w:val="superscript"/>
        </w:rPr>
        <w:t>1</w:t>
      </w:r>
      <w:r w:rsidRPr="00A45CCD">
        <w:t xml:space="preserve">, </w:t>
      </w:r>
      <w:r w:rsidR="00C77A55" w:rsidRPr="00A45CCD">
        <w:t>Bo Wang</w:t>
      </w:r>
      <w:r w:rsidRPr="00D36B36">
        <w:rPr>
          <w:vertAlign w:val="superscript"/>
        </w:rPr>
        <w:t>2</w:t>
      </w:r>
      <w:r w:rsidRPr="00A45CCD">
        <w:t xml:space="preserve">, and </w:t>
      </w:r>
      <w:r w:rsidR="00C77A55" w:rsidRPr="00A45CCD">
        <w:t>Laurence Smith</w:t>
      </w:r>
      <w:r w:rsidRPr="00D36B36">
        <w:rPr>
          <w:vertAlign w:val="superscript"/>
        </w:rPr>
        <w:t>3</w:t>
      </w:r>
    </w:p>
    <w:p w14:paraId="5BD34406" w14:textId="599B4C72" w:rsidR="002D6CF5" w:rsidRPr="003926DD" w:rsidRDefault="007B2C80" w:rsidP="002D6CF5">
      <w:pPr>
        <w:spacing w:line="480" w:lineRule="auto"/>
        <w:jc w:val="center"/>
      </w:pPr>
      <w:r>
        <w:rPr>
          <w:vertAlign w:val="superscript"/>
        </w:rPr>
        <w:t>*</w:t>
      </w:r>
      <w:r w:rsidR="002D6CF5" w:rsidRPr="003926DD">
        <w:t xml:space="preserve">Corresponding authors. </w:t>
      </w:r>
      <w:hyperlink r:id="rId5" w:history="1">
        <w:r w:rsidR="00A45CCD" w:rsidRPr="00B64A55">
          <w:rPr>
            <w:rStyle w:val="Hyperlink"/>
            <w:lang w:val="en-GB"/>
          </w:rPr>
          <w:t>ningjie.hu@duke.edu</w:t>
        </w:r>
      </w:hyperlink>
      <w:r w:rsidR="002D6CF5" w:rsidRPr="003926DD">
        <w:rPr>
          <w:lang w:val="en-GB"/>
        </w:rPr>
        <w:t xml:space="preserve"> </w:t>
      </w:r>
    </w:p>
    <w:p w14:paraId="6AC07D9D" w14:textId="77777777" w:rsidR="00C26C7F" w:rsidRPr="00021D33" w:rsidRDefault="00C26C7F" w:rsidP="00C26C7F">
      <w:pPr>
        <w:spacing w:line="480" w:lineRule="auto"/>
        <w:rPr>
          <w:i/>
        </w:rPr>
      </w:pPr>
      <w:r w:rsidRPr="00021D33">
        <w:rPr>
          <w:i/>
          <w:vertAlign w:val="superscript"/>
        </w:rPr>
        <w:t>1</w:t>
      </w:r>
      <w:r w:rsidRPr="00545BB8">
        <w:rPr>
          <w:i/>
        </w:rPr>
        <w:t>Division of Earth and Climate Sciences, Nicholas School of the Environment, Duke University, Durham, NC, USA.</w:t>
      </w:r>
      <w:r w:rsidRPr="00021D33">
        <w:rPr>
          <w:i/>
        </w:rPr>
        <w:t xml:space="preserve"> </w:t>
      </w:r>
    </w:p>
    <w:p w14:paraId="759FDD94" w14:textId="70A14034" w:rsidR="00C26C7F" w:rsidRDefault="00C26C7F" w:rsidP="00C26C7F">
      <w:pPr>
        <w:spacing w:line="480" w:lineRule="auto"/>
        <w:rPr>
          <w:i/>
        </w:rPr>
      </w:pPr>
      <w:r w:rsidRPr="00021D33">
        <w:rPr>
          <w:i/>
          <w:vertAlign w:val="superscript"/>
        </w:rPr>
        <w:t>2</w:t>
      </w:r>
      <w:r w:rsidR="00C77A55" w:rsidRPr="00C77A55">
        <w:rPr>
          <w:i/>
        </w:rPr>
        <w:t xml:space="preserve"> </w:t>
      </w:r>
      <w:r w:rsidR="00C77A55">
        <w:rPr>
          <w:i/>
        </w:rPr>
        <w:t>Saint Louis</w:t>
      </w:r>
      <w:r w:rsidR="00C77A55" w:rsidRPr="00545BB8">
        <w:rPr>
          <w:i/>
        </w:rPr>
        <w:t xml:space="preserve"> University, </w:t>
      </w:r>
      <w:r w:rsidR="00C77A55">
        <w:rPr>
          <w:i/>
        </w:rPr>
        <w:t>St. Louis</w:t>
      </w:r>
      <w:r w:rsidR="00C77A55" w:rsidRPr="00545BB8">
        <w:rPr>
          <w:i/>
        </w:rPr>
        <w:t>,</w:t>
      </w:r>
      <w:r w:rsidR="00C77A55">
        <w:rPr>
          <w:i/>
        </w:rPr>
        <w:t xml:space="preserve"> USA</w:t>
      </w:r>
    </w:p>
    <w:p w14:paraId="38DC0966" w14:textId="53401DAC" w:rsidR="003066FE" w:rsidRDefault="00C26C7F" w:rsidP="002D6CF5">
      <w:pPr>
        <w:spacing w:line="480" w:lineRule="auto"/>
        <w:rPr>
          <w:i/>
        </w:rPr>
      </w:pPr>
      <w:r>
        <w:rPr>
          <w:i/>
          <w:vertAlign w:val="superscript"/>
        </w:rPr>
        <w:t>3</w:t>
      </w:r>
      <w:r w:rsidR="00C77A55" w:rsidRPr="00C77A55">
        <w:rPr>
          <w:i/>
        </w:rPr>
        <w:t xml:space="preserve"> </w:t>
      </w:r>
      <w:r w:rsidR="00C77A55" w:rsidRPr="00545BB8">
        <w:rPr>
          <w:i/>
        </w:rPr>
        <w:t>Brown University, Rhode Island, Providence,</w:t>
      </w:r>
      <w:r w:rsidR="00C77A55">
        <w:rPr>
          <w:i/>
        </w:rPr>
        <w:t xml:space="preserve"> USA</w:t>
      </w:r>
    </w:p>
    <w:p w14:paraId="4834025E" w14:textId="77777777" w:rsidR="00C77A55" w:rsidRPr="00C26C7F" w:rsidRDefault="00C77A55" w:rsidP="002D6CF5">
      <w:pPr>
        <w:spacing w:line="480" w:lineRule="auto"/>
        <w:rPr>
          <w:i/>
        </w:rPr>
      </w:pPr>
    </w:p>
    <w:p w14:paraId="52E58819" w14:textId="6F76BA75" w:rsidR="002D6CF5" w:rsidRPr="003926DD" w:rsidRDefault="002D6CF5" w:rsidP="002D6CF5">
      <w:pPr>
        <w:spacing w:line="480" w:lineRule="auto"/>
        <w:rPr>
          <w:b/>
        </w:rPr>
      </w:pPr>
      <w:r w:rsidRPr="003926DD">
        <w:rPr>
          <w:b/>
        </w:rPr>
        <w:t>This supplementary online file includes:</w:t>
      </w:r>
    </w:p>
    <w:p w14:paraId="4AA312D4" w14:textId="6FDD2A37" w:rsidR="002D6CF5" w:rsidRPr="003926DD" w:rsidRDefault="002D6CF5" w:rsidP="002D6CF5">
      <w:pPr>
        <w:spacing w:line="480" w:lineRule="auto"/>
      </w:pPr>
      <w:r w:rsidRPr="003926DD">
        <w:t>Text</w:t>
      </w:r>
      <w:r w:rsidR="00644772">
        <w:t xml:space="preserve"> S1 to S</w:t>
      </w:r>
      <w:r w:rsidR="005A20C9">
        <w:t>3</w:t>
      </w:r>
    </w:p>
    <w:p w14:paraId="6D16307F" w14:textId="4F9CCE8A" w:rsidR="002D6CF5" w:rsidRPr="003926DD" w:rsidRDefault="00644772" w:rsidP="002D6CF5">
      <w:pPr>
        <w:spacing w:line="480" w:lineRule="auto"/>
      </w:pPr>
      <w:r>
        <w:t>Figures</w:t>
      </w:r>
      <w:r w:rsidR="002D6CF5" w:rsidRPr="003926DD">
        <w:t xml:space="preserve"> S1 to S</w:t>
      </w:r>
      <w:r w:rsidR="00A671DF">
        <w:t>5</w:t>
      </w:r>
    </w:p>
    <w:p w14:paraId="074F5E0B" w14:textId="77777777" w:rsidR="002D6CF5" w:rsidRPr="003926DD" w:rsidRDefault="002D6CF5" w:rsidP="002D6CF5">
      <w:pPr>
        <w:spacing w:line="480" w:lineRule="auto"/>
      </w:pPr>
      <w:r w:rsidRPr="003926DD">
        <w:t xml:space="preserve">Tables S1 </w:t>
      </w:r>
    </w:p>
    <w:p w14:paraId="4ED19621" w14:textId="7E564285" w:rsidR="002D6CF5" w:rsidRPr="00644772" w:rsidRDefault="002D6CF5" w:rsidP="002D6CF5">
      <w:pPr>
        <w:spacing w:line="480" w:lineRule="auto"/>
        <w:rPr>
          <w:b/>
          <w:bCs/>
        </w:rPr>
      </w:pPr>
      <w:r w:rsidRPr="003926DD">
        <w:rPr>
          <w:b/>
          <w:bCs/>
        </w:rPr>
        <w:br w:type="page"/>
      </w:r>
      <w:bookmarkStart w:id="0" w:name="Tables"/>
      <w:bookmarkStart w:id="1" w:name="MaterialsMethods"/>
      <w:bookmarkEnd w:id="0"/>
      <w:bookmarkEnd w:id="1"/>
    </w:p>
    <w:p w14:paraId="59794435" w14:textId="77777777" w:rsidR="002D6CF5" w:rsidRDefault="002D6CF5" w:rsidP="002D6CF5">
      <w:pPr>
        <w:spacing w:line="480" w:lineRule="auto"/>
        <w:rPr>
          <w:b/>
          <w:bCs/>
        </w:rPr>
      </w:pPr>
      <w:r w:rsidRPr="003926DD">
        <w:rPr>
          <w:b/>
          <w:bCs/>
        </w:rPr>
        <w:lastRenderedPageBreak/>
        <w:t>Supplementary Text</w:t>
      </w:r>
    </w:p>
    <w:p w14:paraId="2AD02879" w14:textId="0AE09E15" w:rsidR="002D6CF5" w:rsidRPr="00644772" w:rsidRDefault="00644772" w:rsidP="00644772">
      <w:pPr>
        <w:pStyle w:val="Text"/>
        <w:spacing w:before="0"/>
        <w:ind w:firstLine="0"/>
        <w:rPr>
          <w:rFonts w:eastAsiaTheme="minorEastAsia"/>
          <w:b/>
          <w:bCs/>
          <w:kern w:val="2"/>
          <w:lang w:eastAsia="zh-CN"/>
        </w:rPr>
      </w:pPr>
      <w:r w:rsidRPr="00644772">
        <w:rPr>
          <w:rFonts w:eastAsiaTheme="minorEastAsia"/>
          <w:b/>
          <w:bCs/>
          <w:kern w:val="2"/>
          <w:lang w:eastAsia="zh-CN"/>
        </w:rPr>
        <w:t xml:space="preserve">Text S1. </w:t>
      </w:r>
      <w:r w:rsidR="00EE2DBC" w:rsidRPr="00644772">
        <w:rPr>
          <w:rFonts w:eastAsiaTheme="minorEastAsia"/>
          <w:b/>
          <w:bCs/>
          <w:kern w:val="2"/>
          <w:lang w:eastAsia="zh-CN"/>
        </w:rPr>
        <w:t>Methodology of generating floodplain lines</w:t>
      </w:r>
    </w:p>
    <w:p w14:paraId="3742C03C" w14:textId="77777777" w:rsidR="00644772" w:rsidRPr="00644772" w:rsidRDefault="00644772" w:rsidP="00644772">
      <w:pPr>
        <w:pStyle w:val="Text"/>
        <w:spacing w:before="0"/>
        <w:ind w:firstLine="0"/>
        <w:rPr>
          <w:rFonts w:ascii="Myriad Pro" w:hAnsi="Myriad Pro"/>
          <w:b/>
          <w:bCs/>
          <w:kern w:val="32"/>
          <w:sz w:val="22"/>
          <w:szCs w:val="22"/>
        </w:rPr>
      </w:pPr>
    </w:p>
    <w:p w14:paraId="724F7820" w14:textId="6DC056A3" w:rsidR="00D0509F" w:rsidRDefault="00D8733E" w:rsidP="00D0509F">
      <w:pPr>
        <w:spacing w:line="480" w:lineRule="auto"/>
        <w:ind w:firstLine="720"/>
      </w:pPr>
      <w:r>
        <w:t xml:space="preserve">The river centerline was smoothed using the </w:t>
      </w:r>
      <w:r w:rsidRPr="000330A1">
        <w:t>Polynomial Approximation with Exponential Kernel (PAEK) method</w:t>
      </w:r>
      <w:r>
        <w:t xml:space="preserve"> in ArcGIS, based on a smoothing tolerance of 10km, to capture the general trend of the river course</w:t>
      </w:r>
      <w:r w:rsidRPr="00671B61">
        <w:t>.</w:t>
      </w:r>
      <w:r>
        <w:t xml:space="preserve"> </w:t>
      </w:r>
      <w:r w:rsidR="00D0509F" w:rsidRPr="00671B61">
        <w:t xml:space="preserve">For each river, </w:t>
      </w:r>
      <w:r w:rsidR="00D0509F">
        <w:t>we</w:t>
      </w:r>
      <w:r w:rsidR="00D0509F" w:rsidRPr="00671B61">
        <w:t xml:space="preserve"> </w:t>
      </w:r>
      <w:r w:rsidR="00D0509F">
        <w:t xml:space="preserve">created buffers to each side of the smoothed river centerline </w:t>
      </w:r>
      <w:r w:rsidR="00D0509F" w:rsidRPr="00671B61">
        <w:t>to</w:t>
      </w:r>
      <w:r w:rsidR="00D0509F">
        <w:t xml:space="preserve"> capture the geometry of riverbank transect</w:t>
      </w:r>
      <w:r w:rsidR="00D0509F" w:rsidRPr="00671B61">
        <w:t xml:space="preserve">. </w:t>
      </w:r>
      <w:r w:rsidR="00D0509F">
        <w:t xml:space="preserve">The buffer tool traverses each of the vertices of the input line and creates buffer offsets to a fixed distance. The output buffer features were generated by connecting the buffer offsets (detailed description see </w:t>
      </w:r>
      <w:hyperlink r:id="rId6" w:history="1">
        <w:r w:rsidR="00D0509F" w:rsidRPr="00A005AB">
          <w:rPr>
            <w:rStyle w:val="Hyperlink"/>
          </w:rPr>
          <w:t>Arc</w:t>
        </w:r>
        <w:r w:rsidR="00D0509F">
          <w:rPr>
            <w:rStyle w:val="Hyperlink"/>
          </w:rPr>
          <w:t>GIS</w:t>
        </w:r>
        <w:r w:rsidR="00D0509F" w:rsidRPr="00A005AB">
          <w:rPr>
            <w:rStyle w:val="Hyperlink"/>
          </w:rPr>
          <w:t xml:space="preserve"> Pro tool reference</w:t>
        </w:r>
      </w:hyperlink>
      <w:r w:rsidR="00D0509F">
        <w:t xml:space="preserve">). The buffer polygons were then converted to line features, and the line features are used as the riverbank transects. We </w:t>
      </w:r>
      <w:r w:rsidR="00D0509F" w:rsidRPr="00A85964">
        <w:t>visually evaluate</w:t>
      </w:r>
      <w:r w:rsidR="00D0509F">
        <w:t xml:space="preserve"> the riverbank transect and manually correct points off the banks</w:t>
      </w:r>
      <w:r w:rsidR="00D0509F">
        <w:rPr>
          <w:rFonts w:hint="eastAsia"/>
        </w:rPr>
        <w:t xml:space="preserve"> </w:t>
      </w:r>
      <w:r w:rsidR="00D0509F">
        <w:t>for an accurate depiction of the riverbank transect</w:t>
      </w:r>
      <w:r w:rsidR="00D0509F">
        <w:rPr>
          <w:rFonts w:hint="eastAsia"/>
        </w:rPr>
        <w:t>.</w:t>
      </w:r>
      <w:r w:rsidR="00D0509F">
        <w:t xml:space="preserve"> The riverbank elevation was extracted along the riverbank transects from FABDEM+. To generate the floodplain lines, the </w:t>
      </w:r>
      <w:r w:rsidR="00D0509F" w:rsidRPr="00D66D5E">
        <w:rPr>
          <w:kern w:val="2"/>
        </w:rPr>
        <w:t>buffe</w:t>
      </w:r>
      <w:r w:rsidR="00D0509F">
        <w:t>r tool was applied to create buffer polygons to the left or right of the river centerline (in the case of the Mississippi river, 10km, 30km, 50km away from the river centerline). M</w:t>
      </w:r>
      <w:r w:rsidR="00D0509F" w:rsidRPr="00671B61">
        <w:t>ultiple elevation profiles</w:t>
      </w:r>
      <w:r w:rsidR="00D0509F">
        <w:t xml:space="preserve"> were then extracted </w:t>
      </w:r>
      <w:r w:rsidR="00D0509F" w:rsidRPr="00671B61">
        <w:t xml:space="preserve">parallel to the downstream direction of the river </w:t>
      </w:r>
      <w:r w:rsidR="00D0509F">
        <w:t xml:space="preserve">along the floodplain lines. The </w:t>
      </w:r>
      <w:r w:rsidR="00D0509F" w:rsidRPr="00671B61">
        <w:t xml:space="preserve">levee crest and floodplain elevation profiles </w:t>
      </w:r>
      <w:r w:rsidR="00D0509F">
        <w:t xml:space="preserve">were tracked </w:t>
      </w:r>
      <w:r w:rsidR="00D0509F" w:rsidRPr="00671B61">
        <w:t xml:space="preserve">at least two backwater lengths upstream. </w:t>
      </w:r>
    </w:p>
    <w:p w14:paraId="2D2AFE48" w14:textId="14B80B78" w:rsidR="00644772" w:rsidRDefault="00644772" w:rsidP="00644772">
      <w:pPr>
        <w:pStyle w:val="Text"/>
        <w:spacing w:before="0"/>
        <w:ind w:firstLine="0"/>
        <w:rPr>
          <w:b/>
          <w:bCs/>
        </w:rPr>
      </w:pPr>
      <w:r w:rsidRPr="00644772">
        <w:rPr>
          <w:rFonts w:eastAsiaTheme="minorEastAsia"/>
          <w:b/>
          <w:bCs/>
          <w:kern w:val="2"/>
          <w:lang w:eastAsia="zh-CN"/>
        </w:rPr>
        <w:t>Text S</w:t>
      </w:r>
      <w:r w:rsidR="008A6D92">
        <w:rPr>
          <w:rFonts w:eastAsiaTheme="minorEastAsia"/>
          <w:b/>
          <w:bCs/>
          <w:kern w:val="2"/>
          <w:lang w:eastAsia="zh-CN"/>
        </w:rPr>
        <w:t>2</w:t>
      </w:r>
      <w:r w:rsidRPr="00644772">
        <w:rPr>
          <w:rFonts w:eastAsiaTheme="minorEastAsia"/>
          <w:b/>
          <w:bCs/>
          <w:kern w:val="2"/>
          <w:lang w:eastAsia="zh-CN"/>
        </w:rPr>
        <w:t xml:space="preserve">. </w:t>
      </w:r>
      <w:r w:rsidRPr="00644772">
        <w:rPr>
          <w:b/>
          <w:bCs/>
        </w:rPr>
        <w:t>Brahmaputra River Delta</w:t>
      </w:r>
    </w:p>
    <w:p w14:paraId="742564E1" w14:textId="77777777" w:rsidR="00644772" w:rsidRPr="00644772" w:rsidRDefault="00644772" w:rsidP="00644772">
      <w:pPr>
        <w:pStyle w:val="Text"/>
        <w:spacing w:before="0"/>
        <w:ind w:firstLine="0"/>
        <w:rPr>
          <w:b/>
          <w:bCs/>
        </w:rPr>
      </w:pPr>
    </w:p>
    <w:p w14:paraId="6569DDC8" w14:textId="1DC6CA27" w:rsidR="00644772" w:rsidRDefault="00644772" w:rsidP="00644772">
      <w:pPr>
        <w:spacing w:line="480" w:lineRule="auto"/>
        <w:ind w:firstLine="720"/>
      </w:pPr>
      <w:r w:rsidRPr="004702A1">
        <w:t xml:space="preserve">The Bengal basin covers </w:t>
      </w:r>
      <w:r w:rsidRPr="004702A1">
        <w:rPr>
          <w:rFonts w:ascii="Cambria Math" w:hAnsi="Cambria Math" w:cs="Cambria Math"/>
        </w:rPr>
        <w:t>∼</w:t>
      </w:r>
      <w:r w:rsidRPr="004702A1">
        <w:t>100,000 km</w:t>
      </w:r>
      <w:r w:rsidRPr="00CC388C">
        <w:rPr>
          <w:vertAlign w:val="superscript"/>
        </w:rPr>
        <w:t>2</w:t>
      </w:r>
      <w:r w:rsidRPr="004702A1">
        <w:t xml:space="preserve"> of lowland floodplain and delta plain. The Brahmaputra River has a braided planform with some vegetated and populated island bars. Because of the monsoon climate, the water and sediment discharges are strongly seasonal. The riverbanks of the Brahmaputra River comprise ~ 60% sand and ~ 40% silt (Thorne et al., 1993). The most recent avulsion of the Brahmaputra River occurred near the </w:t>
      </w:r>
      <w:proofErr w:type="spellStart"/>
      <w:r w:rsidRPr="004702A1">
        <w:t>Tista</w:t>
      </w:r>
      <w:proofErr w:type="spellEnd"/>
      <w:r w:rsidRPr="004702A1">
        <w:t>–Brahmaputra confluence around 1830 (Pickering et al., 2014; Richards et al., 2021), diverting most of the discharge to the current course of the Brahmaputra River.</w:t>
      </w:r>
      <w:r>
        <w:t xml:space="preserve"> </w:t>
      </w:r>
      <w:r w:rsidRPr="00F45C93">
        <w:t xml:space="preserve">Previous studies </w:t>
      </w:r>
      <w:r w:rsidRPr="00F45C93">
        <w:lastRenderedPageBreak/>
        <w:t>identified a slope transition in the distal floodplain profile of the Brahmaputra River (Wilson and Goodbred, 2015; Ratliff et al., 2021), making it an additional potential study site.</w:t>
      </w:r>
    </w:p>
    <w:p w14:paraId="296E2264" w14:textId="0ACA1DDD" w:rsidR="00644772" w:rsidRPr="00644772" w:rsidRDefault="00644772" w:rsidP="00644772">
      <w:pPr>
        <w:spacing w:line="480" w:lineRule="auto"/>
        <w:ind w:firstLine="720"/>
        <w:rPr>
          <w:kern w:val="2"/>
        </w:rPr>
      </w:pPr>
      <w:r>
        <w:t>Like</w:t>
      </w:r>
      <w:r w:rsidRPr="003259AF">
        <w:t xml:space="preserve"> the Mississippi River, we found a high concavity zone exposed in the floodplain profiles Brahmaputra River (</w:t>
      </w:r>
      <w:r w:rsidRPr="00644772">
        <w:t>Figure S</w:t>
      </w:r>
      <w:r w:rsidR="00B806C6">
        <w:t>1</w:t>
      </w:r>
      <w:r w:rsidRPr="003259AF">
        <w:t xml:space="preserve">) around 150 km upstream of the river mouth. </w:t>
      </w:r>
      <w:r w:rsidRPr="00B16EA5">
        <w:t xml:space="preserve">Similarly, we found that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b</m:t>
            </m:r>
          </m:sub>
        </m:sSub>
      </m:oMath>
      <w:r w:rsidRPr="00B16EA5">
        <w:t xml:space="preserve"> of the Brahmaputra River is around 30,000 years, which is beyond the time scale since of the late Holocene (and despite uncertainties in relative </w:t>
      </w:r>
      <w:r w:rsidRPr="003158B0">
        <w:rPr>
          <w:i/>
          <w:iCs/>
        </w:rPr>
        <w:t>SLRR</w:t>
      </w:r>
      <w:r w:rsidRPr="00B16EA5">
        <w:t xml:space="preserve">,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m:t>
            </m:r>
          </m:sub>
        </m:sSub>
      </m:oMath>
      <w:r w:rsidRPr="00B16EA5">
        <w:t xml:space="preserve"> is consistently larger than 1</w:t>
      </w:r>
      <w:r w:rsidR="009C77EC">
        <w:t>, which is</w:t>
      </w:r>
      <w:r w:rsidRPr="00B16EA5">
        <w:t xml:space="preserve"> consistent with the existence of a high-curvature</w:t>
      </w:r>
      <w:r w:rsidR="00CC388C">
        <w:rPr>
          <w:rFonts w:hint="eastAsia"/>
        </w:rPr>
        <w:t xml:space="preserve"> </w:t>
      </w:r>
      <w:r w:rsidRPr="00B16EA5">
        <w:t>zone for that delta</w:t>
      </w:r>
      <w:r w:rsidR="00B806C6">
        <w:t>)</w:t>
      </w:r>
      <w:r w:rsidRPr="00B16EA5">
        <w:t>.</w:t>
      </w:r>
      <w:r w:rsidR="00215D60">
        <w:t xml:space="preserve"> </w:t>
      </w:r>
      <w:r w:rsidR="00215D60" w:rsidRPr="003259AF">
        <w:t>However, avulsions in the Brahmaputra-Ganges braided river are</w:t>
      </w:r>
      <w:r w:rsidR="00CC388C">
        <w:rPr>
          <w:rFonts w:hint="eastAsia"/>
        </w:rPr>
        <w:t xml:space="preserve"> </w:t>
      </w:r>
      <w:r w:rsidR="00215D60" w:rsidRPr="003259AF">
        <w:t>primarily driven by tectonics (Reitz et al., 201</w:t>
      </w:r>
      <w:r w:rsidR="00215D60">
        <w:t>3</w:t>
      </w:r>
      <w:r w:rsidR="00215D60" w:rsidRPr="003259AF">
        <w:t>; Wilson and Goodbred, 2015), so the location of river avulsions follows a maximum subsidence zone instead of the high concavity zone.</w:t>
      </w:r>
      <w:r w:rsidR="00215D60">
        <w:t xml:space="preserve"> </w:t>
      </w:r>
      <w:r w:rsidRPr="00B16EA5">
        <w:t xml:space="preserve"> </w:t>
      </w:r>
      <w:r w:rsidRPr="00AB7089">
        <w:rPr>
          <w:kern w:val="2"/>
        </w:rPr>
        <w:t>The parameters used for the calculation are listed in the supplementary table 1.</w:t>
      </w:r>
    </w:p>
    <w:p w14:paraId="012A1CEA" w14:textId="77777777" w:rsidR="00644772" w:rsidRDefault="00644772" w:rsidP="00644772">
      <w:pPr>
        <w:spacing w:line="480" w:lineRule="auto"/>
        <w:ind w:firstLine="720"/>
        <w:rPr>
          <w:kern w:val="2"/>
        </w:rPr>
      </w:pPr>
      <w:r w:rsidRPr="00455CFC">
        <w:rPr>
          <w:kern w:val="2"/>
        </w:rPr>
        <w:t xml:space="preserve">The scaling analysis assumes a steady subsidence and uniform basin depth. For river deltas in tectonic active regions, the discrete tectonic subsidence events tend to disturb the time scales of river avulsions (Dong et al., 2023). If the tectonic-controlled avulsion timescale is shorter than the autogenic avulsion timescales, the delta resurfacing time scale will be shorter and the signal of allogenic avulsions may </w:t>
      </w:r>
      <w:bookmarkStart w:id="2" w:name="OLE_LINK3"/>
      <w:bookmarkStart w:id="3" w:name="OLE_LINK4"/>
      <w:r w:rsidRPr="00455CFC">
        <w:rPr>
          <w:kern w:val="2"/>
        </w:rPr>
        <w:t xml:space="preserve">overprint </w:t>
      </w:r>
      <w:bookmarkEnd w:id="2"/>
      <w:bookmarkEnd w:id="3"/>
      <w:r w:rsidRPr="00455CFC">
        <w:rPr>
          <w:kern w:val="2"/>
        </w:rPr>
        <w:t xml:space="preserve">the signal of geometric effects. </w:t>
      </w:r>
    </w:p>
    <w:p w14:paraId="37B921E2" w14:textId="5EABE4BE" w:rsidR="005A20C9" w:rsidRDefault="005A20C9" w:rsidP="005A20C9">
      <w:pPr>
        <w:pStyle w:val="Text"/>
        <w:spacing w:before="0" w:line="480" w:lineRule="auto"/>
        <w:ind w:firstLine="0"/>
        <w:rPr>
          <w:b/>
          <w:bCs/>
        </w:rPr>
      </w:pPr>
      <w:r w:rsidRPr="00644772">
        <w:rPr>
          <w:rFonts w:eastAsiaTheme="minorEastAsia"/>
          <w:b/>
          <w:bCs/>
          <w:kern w:val="2"/>
          <w:lang w:eastAsia="zh-CN"/>
        </w:rPr>
        <w:t>Text S</w:t>
      </w:r>
      <w:r w:rsidR="008A6D92">
        <w:rPr>
          <w:rFonts w:eastAsiaTheme="minorEastAsia"/>
          <w:b/>
          <w:bCs/>
          <w:kern w:val="2"/>
          <w:lang w:eastAsia="zh-CN"/>
        </w:rPr>
        <w:t>3</w:t>
      </w:r>
      <w:r w:rsidRPr="00644772">
        <w:rPr>
          <w:rFonts w:eastAsiaTheme="minorEastAsia"/>
          <w:b/>
          <w:bCs/>
          <w:kern w:val="2"/>
          <w:lang w:eastAsia="zh-CN"/>
        </w:rPr>
        <w:t xml:space="preserve">. </w:t>
      </w:r>
      <w:r>
        <w:rPr>
          <w:b/>
          <w:bCs/>
        </w:rPr>
        <w:t xml:space="preserve">Sensitivity Analysis </w:t>
      </w:r>
    </w:p>
    <w:p w14:paraId="7405DA69" w14:textId="661684C1" w:rsidR="005A20C9" w:rsidRPr="005A20C9" w:rsidRDefault="005A20C9" w:rsidP="005A20C9">
      <w:pPr>
        <w:pStyle w:val="Text"/>
        <w:spacing w:before="0" w:line="480" w:lineRule="auto"/>
        <w:ind w:firstLine="0"/>
        <w:rPr>
          <w:kern w:val="28"/>
        </w:rPr>
      </w:pPr>
      <w:r w:rsidRPr="005A20C9">
        <w:rPr>
          <w:kern w:val="28"/>
        </w:rPr>
        <w:t xml:space="preserve">We conducted </w:t>
      </w:r>
      <w:r w:rsidRPr="00450D34">
        <w:rPr>
          <w:kern w:val="28"/>
        </w:rPr>
        <w:t xml:space="preserve">sensitivity studies by changing the distance over which the </w:t>
      </w:r>
      <w:r>
        <w:rPr>
          <w:kern w:val="28"/>
        </w:rPr>
        <w:t>middle</w:t>
      </w:r>
      <w:r w:rsidRPr="00450D34">
        <w:rPr>
          <w:kern w:val="28"/>
        </w:rPr>
        <w:t xml:space="preserve"> 1/3 data are selected</w:t>
      </w:r>
      <w:r>
        <w:rPr>
          <w:kern w:val="28"/>
        </w:rPr>
        <w:t xml:space="preserve"> (</w:t>
      </w:r>
      <w:r w:rsidRPr="005A20C9">
        <w:rPr>
          <w:kern w:val="28"/>
        </w:rPr>
        <w:t>every 11km, 20km, or 28km along the profile, where data points are spaced at intervals of 0.35 km</w:t>
      </w:r>
      <w:r>
        <w:rPr>
          <w:kern w:val="28"/>
        </w:rPr>
        <w:t>)</w:t>
      </w:r>
      <w:r w:rsidRPr="00450D34">
        <w:rPr>
          <w:kern w:val="28"/>
        </w:rPr>
        <w:t>, the size of the moving average window</w:t>
      </w:r>
      <w:r>
        <w:rPr>
          <w:kern w:val="28"/>
        </w:rPr>
        <w:t xml:space="preserve"> </w:t>
      </w:r>
      <w:r w:rsidRPr="005A20C9">
        <w:rPr>
          <w:kern w:val="28"/>
        </w:rPr>
        <w:t>(79km, 99km, 133km)</w:t>
      </w:r>
      <w:r w:rsidRPr="00450D34">
        <w:rPr>
          <w:kern w:val="28"/>
        </w:rPr>
        <w:t>, and the window for calculating the slopes</w:t>
      </w:r>
      <w:r>
        <w:rPr>
          <w:kern w:val="28"/>
        </w:rPr>
        <w:t xml:space="preserve"> (</w:t>
      </w:r>
      <w:r w:rsidRPr="005A20C9">
        <w:rPr>
          <w:kern w:val="28"/>
        </w:rPr>
        <w:t>159km, 199km, 239km</w:t>
      </w:r>
      <w:r>
        <w:rPr>
          <w:rFonts w:hint="eastAsia"/>
          <w:kern w:val="28"/>
        </w:rPr>
        <w:t>)</w:t>
      </w:r>
      <w:r w:rsidRPr="00450D34">
        <w:rPr>
          <w:kern w:val="28"/>
        </w:rPr>
        <w:t xml:space="preserve">. </w:t>
      </w:r>
      <w:r>
        <w:rPr>
          <w:kern w:val="28"/>
        </w:rPr>
        <w:t xml:space="preserve">Results of the sensitivity analysis suggest that the curvature maximum persist in all floodplain profiles and is not sensitive to the window size we used to select and smooth the data (Figure S2-5). </w:t>
      </w:r>
    </w:p>
    <w:p w14:paraId="1F7EB5DD" w14:textId="77777777" w:rsidR="00D24299" w:rsidRDefault="00D24299" w:rsidP="00D24299">
      <w:pPr>
        <w:spacing w:line="480" w:lineRule="auto"/>
      </w:pPr>
      <w:r>
        <w:rPr>
          <w:rFonts w:hint="eastAsia"/>
          <w:noProof/>
        </w:rPr>
        <w:lastRenderedPageBreak/>
        <w:drawing>
          <wp:inline distT="0" distB="0" distL="0" distR="0" wp14:anchorId="190353BD" wp14:editId="2FB03A53">
            <wp:extent cx="5727700" cy="6442710"/>
            <wp:effectExtent l="0" t="0" r="0" b="0"/>
            <wp:docPr id="454620161" name="Picture 3" descr="A diagram of a floodp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20161" name="Picture 3" descr="A diagram of a floodplai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6442710"/>
                    </a:xfrm>
                    <a:prstGeom prst="rect">
                      <a:avLst/>
                    </a:prstGeom>
                  </pic:spPr>
                </pic:pic>
              </a:graphicData>
            </a:graphic>
          </wp:inline>
        </w:drawing>
      </w:r>
    </w:p>
    <w:p w14:paraId="6444ABA0" w14:textId="4D91A65C" w:rsidR="00644772" w:rsidRDefault="00D24299" w:rsidP="00D24299">
      <w:pPr>
        <w:spacing w:line="480" w:lineRule="auto"/>
      </w:pPr>
      <w:r w:rsidRPr="00644772">
        <w:rPr>
          <w:b/>
          <w:bCs/>
        </w:rPr>
        <w:t>Figure S</w:t>
      </w:r>
      <w:r>
        <w:rPr>
          <w:b/>
          <w:bCs/>
        </w:rPr>
        <w:t>1</w:t>
      </w:r>
      <w:r w:rsidRPr="00644772">
        <w:rPr>
          <w:b/>
          <w:bCs/>
        </w:rPr>
        <w:t xml:space="preserve">. </w:t>
      </w:r>
      <w:r w:rsidRPr="007936E8">
        <w:t xml:space="preserve">(A) The floodplain lines used for extracting the long profiles on the </w:t>
      </w:r>
      <w:r>
        <w:t>Brahmaputra</w:t>
      </w:r>
      <w:r w:rsidRPr="007936E8">
        <w:t xml:space="preserve"> Delta. </w:t>
      </w:r>
      <w:r w:rsidR="00B806C6">
        <w:t>The previously identified topographic break (</w:t>
      </w:r>
      <w:r w:rsidR="00B806C6" w:rsidRPr="00B806C6">
        <w:t xml:space="preserve">Wilson and </w:t>
      </w:r>
      <w:proofErr w:type="spellStart"/>
      <w:r w:rsidR="00B806C6" w:rsidRPr="00B806C6">
        <w:t>Goodbred</w:t>
      </w:r>
      <w:proofErr w:type="spellEnd"/>
      <w:r w:rsidR="00B806C6" w:rsidRPr="00B806C6">
        <w:t>, 2015</w:t>
      </w:r>
      <w:r w:rsidR="00B806C6">
        <w:t xml:space="preserve">) is marked in a dashed grey line. </w:t>
      </w:r>
      <w:r w:rsidRPr="007936E8">
        <w:t>(</w:t>
      </w:r>
      <w:r>
        <w:t>B</w:t>
      </w:r>
      <w:r w:rsidRPr="007936E8">
        <w:t xml:space="preserve">) </w:t>
      </w:r>
      <w:r>
        <w:t>S</w:t>
      </w:r>
      <w:r w:rsidRPr="007936E8">
        <w:t>moothed levee elevation profile</w:t>
      </w:r>
      <w:r>
        <w:t>s</w:t>
      </w:r>
      <w:r w:rsidRPr="007936E8">
        <w:t xml:space="preserve"> (brown line</w:t>
      </w:r>
      <w:r>
        <w:t>s</w:t>
      </w:r>
      <w:r w:rsidRPr="007936E8">
        <w:t xml:space="preserve">) and </w:t>
      </w:r>
      <w:r w:rsidR="002461BE">
        <w:t>their</w:t>
      </w:r>
      <w:r w:rsidRPr="007936E8">
        <w:t xml:space="preserve"> local curvature</w:t>
      </w:r>
      <w:r>
        <w:t>s</w:t>
      </w:r>
      <w:r w:rsidRPr="007936E8">
        <w:t xml:space="preserve"> (blue line</w:t>
      </w:r>
      <w:r>
        <w:t>s</w:t>
      </w:r>
      <w:r w:rsidRPr="007936E8">
        <w:t>). (</w:t>
      </w:r>
      <w:r>
        <w:t>C</w:t>
      </w:r>
      <w:r w:rsidRPr="007936E8">
        <w:t xml:space="preserve">-F) </w:t>
      </w:r>
      <w:r>
        <w:t>S</w:t>
      </w:r>
      <w:r w:rsidRPr="007936E8">
        <w:t>moothed floodplain elevation profile</w:t>
      </w:r>
      <w:r>
        <w:t>s</w:t>
      </w:r>
      <w:r w:rsidRPr="007936E8">
        <w:t xml:space="preserve"> (brown line</w:t>
      </w:r>
      <w:r>
        <w:t>s</w:t>
      </w:r>
      <w:r w:rsidRPr="007936E8">
        <w:t xml:space="preserve">) and </w:t>
      </w:r>
      <w:r>
        <w:t>their</w:t>
      </w:r>
      <w:r w:rsidRPr="007936E8">
        <w:t xml:space="preserve"> local curvature</w:t>
      </w:r>
      <w:r>
        <w:t>s</w:t>
      </w:r>
      <w:r w:rsidRPr="007936E8">
        <w:t xml:space="preserve"> (blue line</w:t>
      </w:r>
      <w:r>
        <w:t>s</w:t>
      </w:r>
      <w:r w:rsidRPr="007936E8">
        <w:t>). The floodplain line is 10km, 30km, 50km</w:t>
      </w:r>
      <w:r>
        <w:t>, 80km</w:t>
      </w:r>
      <w:r w:rsidRPr="007936E8">
        <w:t xml:space="preserve"> away from the </w:t>
      </w:r>
      <w:r w:rsidRPr="007936E8">
        <w:lastRenderedPageBreak/>
        <w:t xml:space="preserve">river laterally. The floodplain elevation profile is smoothed using a moving average filter over a 99 km window.  </w:t>
      </w:r>
    </w:p>
    <w:p w14:paraId="7F0D50AB" w14:textId="7B0E91C7" w:rsidR="00F4617F" w:rsidRDefault="009C3D4D" w:rsidP="00D24299">
      <w:pPr>
        <w:spacing w:line="480" w:lineRule="auto"/>
      </w:pPr>
      <w:r>
        <w:rPr>
          <w:noProof/>
        </w:rPr>
        <w:drawing>
          <wp:inline distT="0" distB="0" distL="0" distR="0" wp14:anchorId="78FB7D52" wp14:editId="0F71758C">
            <wp:extent cx="5727700" cy="5142230"/>
            <wp:effectExtent l="0" t="0" r="0" b="1270"/>
            <wp:docPr id="1242718638" name="Picture 1" descr="A diagram of the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18638" name="Picture 1" descr="A diagram of the different types of data&#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5142230"/>
                    </a:xfrm>
                    <a:prstGeom prst="rect">
                      <a:avLst/>
                    </a:prstGeom>
                  </pic:spPr>
                </pic:pic>
              </a:graphicData>
            </a:graphic>
          </wp:inline>
        </w:drawing>
      </w:r>
    </w:p>
    <w:p w14:paraId="76FCBEE5" w14:textId="08155878" w:rsidR="00AF3C9F" w:rsidRPr="00546DA4" w:rsidRDefault="00644772" w:rsidP="00AF3C9F">
      <w:pPr>
        <w:spacing w:after="120" w:line="480" w:lineRule="auto"/>
      </w:pPr>
      <w:r w:rsidRPr="00644772">
        <w:rPr>
          <w:b/>
          <w:bCs/>
        </w:rPr>
        <w:t>Figure S</w:t>
      </w:r>
      <w:r w:rsidR="00D24299">
        <w:rPr>
          <w:b/>
          <w:bCs/>
        </w:rPr>
        <w:t>2</w:t>
      </w:r>
      <w:r w:rsidRPr="00644772">
        <w:rPr>
          <w:b/>
          <w:bCs/>
        </w:rPr>
        <w:t xml:space="preserve">. </w:t>
      </w:r>
      <w:r w:rsidR="00D22867">
        <w:t>Smoothed floodplain elevation profiles</w:t>
      </w:r>
      <w:r w:rsidR="00724008">
        <w:t xml:space="preserve"> (brown line</w:t>
      </w:r>
      <w:r w:rsidR="009C77EC">
        <w:t>s</w:t>
      </w:r>
      <w:r w:rsidR="00724008">
        <w:t>)</w:t>
      </w:r>
      <w:r w:rsidR="00D22867">
        <w:t xml:space="preserve"> and </w:t>
      </w:r>
      <w:r w:rsidR="009C77EC">
        <w:t xml:space="preserve">their </w:t>
      </w:r>
      <w:r w:rsidR="00D22867">
        <w:t>local curvature</w:t>
      </w:r>
      <w:r w:rsidR="009C77EC">
        <w:t>s</w:t>
      </w:r>
      <w:r w:rsidR="00D22867">
        <w:t xml:space="preserve"> </w:t>
      </w:r>
      <w:r w:rsidR="00724008">
        <w:t>(blue line</w:t>
      </w:r>
      <w:r w:rsidR="009C77EC">
        <w:t>s</w:t>
      </w:r>
      <w:r w:rsidR="00724008">
        <w:t>)</w:t>
      </w:r>
      <w:r w:rsidR="00345899">
        <w:t xml:space="preserve"> </w:t>
      </w:r>
      <w:r w:rsidR="00C07CE4">
        <w:t>of the floodplain line 10 km away from the river</w:t>
      </w:r>
      <w:r w:rsidR="006D0D22">
        <w:t xml:space="preserve"> laterally</w:t>
      </w:r>
      <w:r w:rsidR="00C07CE4">
        <w:t xml:space="preserve"> </w:t>
      </w:r>
      <w:r w:rsidR="00345899">
        <w:t xml:space="preserve">using varying windows for selecting data, calculating </w:t>
      </w:r>
      <w:r w:rsidR="00E92535">
        <w:t>curvature, and moving average filter</w:t>
      </w:r>
      <w:r w:rsidR="00345899">
        <w:t xml:space="preserve">. </w:t>
      </w:r>
      <w:r w:rsidR="001C4E55">
        <w:t xml:space="preserve">Results show that the </w:t>
      </w:r>
      <w:r w:rsidR="009C77EC">
        <w:t xml:space="preserve">existence of the </w:t>
      </w:r>
      <w:r w:rsidR="001C4E55">
        <w:t xml:space="preserve">local </w:t>
      </w:r>
      <w:r w:rsidR="002D10E8">
        <w:t xml:space="preserve">curvature maximum is </w:t>
      </w:r>
      <w:r w:rsidR="001C7BD7">
        <w:t>insensitiv</w:t>
      </w:r>
      <w:r w:rsidR="009C77EC">
        <w:t>e</w:t>
      </w:r>
      <w:r w:rsidR="002D10E8">
        <w:t xml:space="preserve"> to </w:t>
      </w:r>
      <w:proofErr w:type="gramStart"/>
      <w:r w:rsidR="002D10E8">
        <w:t xml:space="preserve">the </w:t>
      </w:r>
      <w:r w:rsidR="009C77EC">
        <w:t>these</w:t>
      </w:r>
      <w:proofErr w:type="gramEnd"/>
      <w:r w:rsidR="009C77EC">
        <w:t xml:space="preserve"> parameters</w:t>
      </w:r>
      <w:r w:rsidR="001C7BD7">
        <w:t xml:space="preserve">. </w:t>
      </w:r>
    </w:p>
    <w:p w14:paraId="0CC43C87" w14:textId="6D026104" w:rsidR="00644772" w:rsidRDefault="009C3D4D" w:rsidP="00EC7361">
      <w:pPr>
        <w:spacing w:line="480" w:lineRule="auto"/>
      </w:pPr>
      <w:r>
        <w:rPr>
          <w:noProof/>
        </w:rPr>
        <w:lastRenderedPageBreak/>
        <w:drawing>
          <wp:inline distT="0" distB="0" distL="0" distR="0" wp14:anchorId="41097FF6" wp14:editId="4F33C09F">
            <wp:extent cx="5727700" cy="5142230"/>
            <wp:effectExtent l="0" t="0" r="0" b="1270"/>
            <wp:docPr id="959358904" name="Picture 2" descr="A diagram of the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58904" name="Picture 2" descr="A diagram of the different types of data&#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5142230"/>
                    </a:xfrm>
                    <a:prstGeom prst="rect">
                      <a:avLst/>
                    </a:prstGeom>
                  </pic:spPr>
                </pic:pic>
              </a:graphicData>
            </a:graphic>
          </wp:inline>
        </w:drawing>
      </w:r>
    </w:p>
    <w:p w14:paraId="6E6F6578" w14:textId="44FF5B98" w:rsidR="009D41B9" w:rsidRPr="00546DA4" w:rsidRDefault="00644772" w:rsidP="009D41B9">
      <w:pPr>
        <w:spacing w:after="120" w:line="480" w:lineRule="auto"/>
      </w:pPr>
      <w:r w:rsidRPr="00644772">
        <w:rPr>
          <w:b/>
          <w:bCs/>
        </w:rPr>
        <w:t>Figure S</w:t>
      </w:r>
      <w:r w:rsidR="00D24299">
        <w:rPr>
          <w:b/>
          <w:bCs/>
        </w:rPr>
        <w:t>3</w:t>
      </w:r>
      <w:r w:rsidRPr="00644772">
        <w:rPr>
          <w:b/>
          <w:bCs/>
        </w:rPr>
        <w:t xml:space="preserve">. </w:t>
      </w:r>
      <w:r w:rsidR="009D41B9">
        <w:t>Smoothed floodplain elevation profiles (brown line</w:t>
      </w:r>
      <w:r w:rsidR="009C77EC">
        <w:t>s</w:t>
      </w:r>
      <w:r w:rsidR="009D41B9">
        <w:t xml:space="preserve">) and </w:t>
      </w:r>
      <w:r w:rsidR="009C77EC">
        <w:t xml:space="preserve">their </w:t>
      </w:r>
      <w:r w:rsidR="009D41B9">
        <w:t>local curvature</w:t>
      </w:r>
      <w:r w:rsidR="009C77EC">
        <w:t>s</w:t>
      </w:r>
      <w:r w:rsidR="009D41B9">
        <w:t xml:space="preserve"> (blue line</w:t>
      </w:r>
      <w:r w:rsidR="009C77EC">
        <w:t>s</w:t>
      </w:r>
      <w:r w:rsidR="009D41B9">
        <w:t>) of the floodplain line 30 km away from the river laterally using varying windows for selecting data, calculating curvature, and moving average filter. Results show that the local curvature maximum is insensitiv</w:t>
      </w:r>
      <w:r w:rsidR="009C77EC">
        <w:t>e</w:t>
      </w:r>
      <w:r w:rsidR="009D41B9">
        <w:t xml:space="preserve"> to </w:t>
      </w:r>
      <w:r w:rsidR="009C77EC">
        <w:t>these parameters</w:t>
      </w:r>
      <w:r w:rsidR="009D41B9">
        <w:t xml:space="preserve">. </w:t>
      </w:r>
    </w:p>
    <w:p w14:paraId="669809C8" w14:textId="42949B57" w:rsidR="00644772" w:rsidRPr="00644772" w:rsidRDefault="00644772" w:rsidP="00644772">
      <w:pPr>
        <w:spacing w:line="480" w:lineRule="auto"/>
        <w:rPr>
          <w:b/>
          <w:bCs/>
        </w:rPr>
      </w:pPr>
    </w:p>
    <w:p w14:paraId="01BDC8FA" w14:textId="2B955936" w:rsidR="00644772" w:rsidRDefault="009C3D4D" w:rsidP="00EC7361">
      <w:pPr>
        <w:spacing w:line="480" w:lineRule="auto"/>
      </w:pPr>
      <w:r>
        <w:rPr>
          <w:noProof/>
        </w:rPr>
        <w:lastRenderedPageBreak/>
        <w:drawing>
          <wp:inline distT="0" distB="0" distL="0" distR="0" wp14:anchorId="1B8C49D5" wp14:editId="3476DE1D">
            <wp:extent cx="5727700" cy="5142230"/>
            <wp:effectExtent l="0" t="0" r="0" b="1270"/>
            <wp:docPr id="781433544" name="Picture 3" descr="A diagram of the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33544" name="Picture 3" descr="A diagram of the different types of data&#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5142230"/>
                    </a:xfrm>
                    <a:prstGeom prst="rect">
                      <a:avLst/>
                    </a:prstGeom>
                  </pic:spPr>
                </pic:pic>
              </a:graphicData>
            </a:graphic>
          </wp:inline>
        </w:drawing>
      </w:r>
    </w:p>
    <w:p w14:paraId="2EB5C1FB" w14:textId="18096C90" w:rsidR="00A671DF" w:rsidRPr="007936E8" w:rsidRDefault="00644772" w:rsidP="00D24299">
      <w:pPr>
        <w:spacing w:after="120" w:line="480" w:lineRule="auto"/>
      </w:pPr>
      <w:r w:rsidRPr="00644772">
        <w:rPr>
          <w:b/>
          <w:bCs/>
        </w:rPr>
        <w:t>Figure S</w:t>
      </w:r>
      <w:r w:rsidR="00D24299">
        <w:rPr>
          <w:b/>
          <w:bCs/>
        </w:rPr>
        <w:t>4</w:t>
      </w:r>
      <w:r w:rsidRPr="00644772">
        <w:rPr>
          <w:b/>
          <w:bCs/>
        </w:rPr>
        <w:t xml:space="preserve">. </w:t>
      </w:r>
      <w:r w:rsidR="009C77EC">
        <w:t>Smoothed floodplain elevation profiles (brown lines) and their local curvatures (blue lines) of the floodplain line 50 km away from the river laterally using varying windows for selecting data, calculating curvature, and moving average filter. Results show that the local curvature maximum is insensitive to these parameters.</w:t>
      </w:r>
      <w:r w:rsidR="009D41B9">
        <w:t xml:space="preserve"> </w:t>
      </w:r>
      <w:r w:rsidR="007936E8" w:rsidRPr="007936E8">
        <w:t xml:space="preserve"> </w:t>
      </w:r>
      <w:r w:rsidR="0040333B">
        <w:rPr>
          <w:noProof/>
        </w:rPr>
        <w:lastRenderedPageBreak/>
        <w:drawing>
          <wp:inline distT="0" distB="0" distL="0" distR="0" wp14:anchorId="48E623C0" wp14:editId="0DF5DC9C">
            <wp:extent cx="5727700" cy="3810635"/>
            <wp:effectExtent l="0" t="0" r="0" b="0"/>
            <wp:docPr id="1087035695" name="Picture 2" descr="A graph showing the distance along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35695" name="Picture 2" descr="A graph showing the distance along river&#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810635"/>
                    </a:xfrm>
                    <a:prstGeom prst="rect">
                      <a:avLst/>
                    </a:prstGeom>
                  </pic:spPr>
                </pic:pic>
              </a:graphicData>
            </a:graphic>
          </wp:inline>
        </w:drawing>
      </w:r>
      <w:r w:rsidR="00A671DF" w:rsidRPr="00644772">
        <w:rPr>
          <w:b/>
          <w:bCs/>
        </w:rPr>
        <w:t>Figure S</w:t>
      </w:r>
      <w:r w:rsidR="00A671DF">
        <w:rPr>
          <w:b/>
          <w:bCs/>
        </w:rPr>
        <w:t>5</w:t>
      </w:r>
      <w:r w:rsidR="00A671DF" w:rsidRPr="00644772">
        <w:rPr>
          <w:b/>
          <w:bCs/>
        </w:rPr>
        <w:t xml:space="preserve">. </w:t>
      </w:r>
      <w:r w:rsidR="00551431" w:rsidRPr="00551431">
        <w:t>Moving upstream, the superelevation increases up to the location of the curvature maximum</w:t>
      </w:r>
      <w:r w:rsidR="00551431">
        <w:t>.</w:t>
      </w:r>
    </w:p>
    <w:tbl>
      <w:tblPr>
        <w:tblW w:w="8550" w:type="dxa"/>
        <w:tblLook w:val="04A0" w:firstRow="1" w:lastRow="0" w:firstColumn="1" w:lastColumn="0" w:noHBand="0" w:noVBand="1"/>
      </w:tblPr>
      <w:tblGrid>
        <w:gridCol w:w="2790"/>
        <w:gridCol w:w="2340"/>
        <w:gridCol w:w="450"/>
        <w:gridCol w:w="2970"/>
      </w:tblGrid>
      <w:tr w:rsidR="00AF4302" w14:paraId="13B88D4D" w14:textId="77777777" w:rsidTr="006B20DF">
        <w:trPr>
          <w:trHeight w:val="340"/>
        </w:trPr>
        <w:tc>
          <w:tcPr>
            <w:tcW w:w="8550" w:type="dxa"/>
            <w:gridSpan w:val="4"/>
            <w:tcBorders>
              <w:top w:val="nil"/>
              <w:left w:val="nil"/>
              <w:bottom w:val="double" w:sz="6" w:space="0" w:color="auto"/>
              <w:right w:val="nil"/>
            </w:tcBorders>
            <w:shd w:val="clear" w:color="auto" w:fill="auto"/>
            <w:noWrap/>
            <w:vAlign w:val="bottom"/>
            <w:hideMark/>
          </w:tcPr>
          <w:p w14:paraId="3D44CEA6" w14:textId="77777777" w:rsidR="00AF4302" w:rsidRDefault="00AF4302" w:rsidP="00AF4302">
            <w:pPr>
              <w:jc w:val="center"/>
              <w:rPr>
                <w:rFonts w:ascii="Aptos Narrow" w:hAnsi="Aptos Narrow"/>
                <w:color w:val="000000"/>
              </w:rPr>
            </w:pPr>
            <w:r>
              <w:rPr>
                <w:rFonts w:ascii="Aptos Narrow" w:hAnsi="Aptos Narrow"/>
                <w:color w:val="000000"/>
              </w:rPr>
              <w:t>TABLE S1. PARAMETERS FOR TIMESCALE CALCULATIONS</w:t>
            </w:r>
          </w:p>
        </w:tc>
      </w:tr>
      <w:tr w:rsidR="00AF4302" w14:paraId="0F40E7E3" w14:textId="77777777" w:rsidTr="006B20DF">
        <w:trPr>
          <w:trHeight w:val="340"/>
        </w:trPr>
        <w:tc>
          <w:tcPr>
            <w:tcW w:w="2790" w:type="dxa"/>
            <w:tcBorders>
              <w:top w:val="nil"/>
              <w:left w:val="nil"/>
              <w:bottom w:val="single" w:sz="4" w:space="0" w:color="auto"/>
              <w:right w:val="nil"/>
            </w:tcBorders>
            <w:shd w:val="clear" w:color="000000" w:fill="D0D0D0"/>
            <w:noWrap/>
            <w:vAlign w:val="center"/>
            <w:hideMark/>
          </w:tcPr>
          <w:p w14:paraId="2A117207" w14:textId="77777777" w:rsidR="00AF4302" w:rsidRDefault="00AF4302">
            <w:pPr>
              <w:jc w:val="center"/>
              <w:rPr>
                <w:b/>
                <w:bCs/>
                <w:color w:val="000000"/>
              </w:rPr>
            </w:pPr>
            <w:r>
              <w:rPr>
                <w:b/>
                <w:bCs/>
                <w:color w:val="000000"/>
              </w:rPr>
              <w:t>Name</w:t>
            </w:r>
          </w:p>
        </w:tc>
        <w:tc>
          <w:tcPr>
            <w:tcW w:w="2340" w:type="dxa"/>
            <w:tcBorders>
              <w:top w:val="nil"/>
              <w:left w:val="nil"/>
              <w:bottom w:val="single" w:sz="4" w:space="0" w:color="auto"/>
              <w:right w:val="nil"/>
            </w:tcBorders>
            <w:shd w:val="clear" w:color="000000" w:fill="D0D0D0"/>
            <w:noWrap/>
            <w:vAlign w:val="center"/>
            <w:hideMark/>
          </w:tcPr>
          <w:p w14:paraId="7A505314" w14:textId="47D35B17" w:rsidR="00AF4302" w:rsidRDefault="00AF4302">
            <w:pPr>
              <w:jc w:val="center"/>
              <w:rPr>
                <w:b/>
                <w:bCs/>
                <w:color w:val="000000"/>
              </w:rPr>
            </w:pPr>
            <w:r>
              <w:rPr>
                <w:b/>
                <w:bCs/>
                <w:color w:val="000000"/>
              </w:rPr>
              <w:t xml:space="preserve">Mississippi River </w:t>
            </w:r>
          </w:p>
        </w:tc>
        <w:tc>
          <w:tcPr>
            <w:tcW w:w="3420" w:type="dxa"/>
            <w:gridSpan w:val="2"/>
            <w:tcBorders>
              <w:top w:val="nil"/>
              <w:left w:val="nil"/>
              <w:bottom w:val="single" w:sz="4" w:space="0" w:color="auto"/>
              <w:right w:val="nil"/>
            </w:tcBorders>
            <w:shd w:val="clear" w:color="000000" w:fill="D0D0D0"/>
            <w:noWrap/>
            <w:vAlign w:val="center"/>
            <w:hideMark/>
          </w:tcPr>
          <w:p w14:paraId="76900C9D" w14:textId="32299F27" w:rsidR="00AF4302" w:rsidRDefault="00AF4302">
            <w:pPr>
              <w:jc w:val="center"/>
              <w:rPr>
                <w:b/>
                <w:bCs/>
                <w:color w:val="000000"/>
              </w:rPr>
            </w:pPr>
            <w:r>
              <w:rPr>
                <w:b/>
                <w:bCs/>
                <w:color w:val="000000"/>
              </w:rPr>
              <w:t xml:space="preserve">Brahmaputra River </w:t>
            </w:r>
          </w:p>
        </w:tc>
      </w:tr>
      <w:tr w:rsidR="00AF4302" w14:paraId="0C1BD795" w14:textId="77777777" w:rsidTr="006B20DF">
        <w:trPr>
          <w:trHeight w:val="32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CA4E3" w14:textId="77777777" w:rsidR="00AF4302" w:rsidRPr="00D46803" w:rsidRDefault="00AF4302">
            <w:pPr>
              <w:jc w:val="center"/>
              <w:rPr>
                <w:color w:val="000000"/>
              </w:rPr>
            </w:pPr>
            <w:r w:rsidRPr="00D46803">
              <w:rPr>
                <w:color w:val="000000"/>
              </w:rPr>
              <w:t>Progradation rate (m/</w:t>
            </w:r>
            <w:proofErr w:type="spellStart"/>
            <w:r w:rsidRPr="00D46803">
              <w:rPr>
                <w:color w:val="000000"/>
              </w:rPr>
              <w:t>yr</w:t>
            </w:r>
            <w:proofErr w:type="spellEnd"/>
            <w:r w:rsidRPr="00D46803">
              <w:rPr>
                <w:color w:val="000000"/>
              </w:rPr>
              <w:t>)</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E85DD" w14:textId="77777777" w:rsidR="00AF4302" w:rsidRDefault="00AF4302">
            <w:pPr>
              <w:jc w:val="center"/>
              <w:rPr>
                <w:color w:val="000000"/>
              </w:rPr>
            </w:pPr>
            <w:r>
              <w:rPr>
                <w:color w:val="000000"/>
              </w:rPr>
              <w:t>55.83</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22A41" w14:textId="77777777" w:rsidR="00AF4302" w:rsidRDefault="00AF4302">
            <w:pPr>
              <w:jc w:val="center"/>
              <w:rPr>
                <w:color w:val="000000"/>
              </w:rPr>
            </w:pPr>
            <w:r>
              <w:rPr>
                <w:color w:val="000000"/>
              </w:rPr>
              <w:t>15.00</w:t>
            </w:r>
          </w:p>
        </w:tc>
      </w:tr>
      <w:tr w:rsidR="00AF4302" w14:paraId="5A597A2D" w14:textId="77777777" w:rsidTr="006B20DF">
        <w:trPr>
          <w:trHeight w:val="32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A2C0C" w14:textId="31975C6F" w:rsidR="00AF4302" w:rsidRPr="00D46803" w:rsidRDefault="00AF4302">
            <w:pPr>
              <w:jc w:val="center"/>
              <w:rPr>
                <w:color w:val="000000"/>
              </w:rPr>
            </w:pPr>
            <w:proofErr w:type="spellStart"/>
            <w:r w:rsidRPr="00D46803">
              <w:rPr>
                <w:i/>
                <w:iCs/>
                <w:color w:val="000000"/>
              </w:rPr>
              <w:t>PRd</w:t>
            </w:r>
            <w:proofErr w:type="spellEnd"/>
            <w:r w:rsidR="00D46803" w:rsidRPr="00D46803">
              <w:rPr>
                <w:i/>
                <w:iCs/>
                <w:color w:val="000000"/>
              </w:rPr>
              <w:t xml:space="preserve"> </w:t>
            </w:r>
            <w:r w:rsidRPr="00D46803">
              <w:rPr>
                <w:color w:val="000000"/>
              </w:rPr>
              <w:t>(m/</w:t>
            </w:r>
            <w:proofErr w:type="spellStart"/>
            <w:r w:rsidRPr="00D46803">
              <w:rPr>
                <w:color w:val="000000"/>
              </w:rPr>
              <w:t>yr</w:t>
            </w:r>
            <w:proofErr w:type="spellEnd"/>
            <w:r w:rsidRPr="00D46803">
              <w:rPr>
                <w:color w:val="000000"/>
              </w:rPr>
              <w:t>)</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895B0" w14:textId="77777777" w:rsidR="00AF4302" w:rsidRDefault="00AF4302">
            <w:pPr>
              <w:jc w:val="center"/>
              <w:rPr>
                <w:color w:val="000000"/>
              </w:rPr>
            </w:pPr>
            <w:r>
              <w:rPr>
                <w:color w:val="000000"/>
              </w:rPr>
              <w:t>13.56</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345CC" w14:textId="77777777" w:rsidR="00AF4302" w:rsidRDefault="00AF4302">
            <w:pPr>
              <w:jc w:val="center"/>
              <w:rPr>
                <w:color w:val="000000"/>
              </w:rPr>
            </w:pPr>
            <w:r>
              <w:rPr>
                <w:color w:val="000000"/>
              </w:rPr>
              <w:t>n/a</w:t>
            </w:r>
          </w:p>
        </w:tc>
      </w:tr>
      <w:tr w:rsidR="00AF4302" w14:paraId="4F49F56E" w14:textId="77777777" w:rsidTr="006B20DF">
        <w:trPr>
          <w:trHeight w:val="32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0ECBC" w14:textId="77777777" w:rsidR="00AF4302" w:rsidRPr="00D46803" w:rsidRDefault="00AF4302">
            <w:pPr>
              <w:jc w:val="center"/>
              <w:rPr>
                <w:color w:val="000000"/>
              </w:rPr>
            </w:pPr>
            <w:r w:rsidRPr="00D46803">
              <w:rPr>
                <w:color w:val="000000"/>
              </w:rPr>
              <w:t xml:space="preserve">Eustatic </w:t>
            </w:r>
            <w:r w:rsidRPr="00D46803">
              <w:rPr>
                <w:i/>
                <w:iCs/>
                <w:color w:val="000000"/>
              </w:rPr>
              <w:t>SLRR</w:t>
            </w:r>
            <w:r w:rsidRPr="00D46803">
              <w:rPr>
                <w:color w:val="000000"/>
              </w:rPr>
              <w:t xml:space="preserve"> (mm/</w:t>
            </w:r>
            <w:proofErr w:type="spellStart"/>
            <w:r w:rsidRPr="00D46803">
              <w:rPr>
                <w:color w:val="000000"/>
              </w:rPr>
              <w:t>yr</w:t>
            </w:r>
            <w:proofErr w:type="spellEnd"/>
            <w:r w:rsidRPr="00D46803">
              <w:rPr>
                <w:color w:val="000000"/>
              </w:rPr>
              <w:t>)</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6C0B6" w14:textId="3ACEAC8C" w:rsidR="00AF4302" w:rsidRDefault="00AF4302">
            <w:pPr>
              <w:jc w:val="center"/>
              <w:rPr>
                <w:color w:val="000000"/>
              </w:rPr>
            </w:pPr>
            <w:r>
              <w:rPr>
                <w:color w:val="000000"/>
              </w:rPr>
              <w:t>2.7</w:t>
            </w:r>
            <w:r w:rsidR="00623BE7">
              <w:rPr>
                <w:color w:val="000000"/>
              </w:rPr>
              <w:t>0</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BECD7" w14:textId="25BE533F" w:rsidR="00AF4302" w:rsidRDefault="00AF4302">
            <w:pPr>
              <w:jc w:val="center"/>
              <w:rPr>
                <w:color w:val="000000"/>
              </w:rPr>
            </w:pPr>
            <w:r>
              <w:rPr>
                <w:color w:val="000000"/>
              </w:rPr>
              <w:t>1.8</w:t>
            </w:r>
            <w:r w:rsidR="00623BE7">
              <w:rPr>
                <w:color w:val="000000"/>
              </w:rPr>
              <w:t>0</w:t>
            </w:r>
          </w:p>
        </w:tc>
      </w:tr>
      <w:tr w:rsidR="00AF4302" w14:paraId="19CD2ACE" w14:textId="77777777" w:rsidTr="006B20DF">
        <w:trPr>
          <w:trHeight w:val="32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96A6E" w14:textId="77777777" w:rsidR="00AF4302" w:rsidRPr="00D46803" w:rsidRDefault="00AF4302">
            <w:pPr>
              <w:jc w:val="center"/>
              <w:rPr>
                <w:color w:val="000000"/>
              </w:rPr>
            </w:pPr>
            <w:r w:rsidRPr="00D46803">
              <w:rPr>
                <w:color w:val="000000"/>
              </w:rPr>
              <w:t>Subsidence rate (mm/</w:t>
            </w:r>
            <w:proofErr w:type="spellStart"/>
            <w:r w:rsidRPr="00D46803">
              <w:rPr>
                <w:color w:val="000000"/>
              </w:rPr>
              <w:t>yr</w:t>
            </w:r>
            <w:proofErr w:type="spellEnd"/>
            <w:r w:rsidRPr="00D46803">
              <w:rPr>
                <w:color w:val="000000"/>
              </w:rPr>
              <w:t>)</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4E642" w14:textId="77777777" w:rsidR="00AF4302" w:rsidRDefault="00AF4302">
            <w:pPr>
              <w:jc w:val="center"/>
              <w:rPr>
                <w:color w:val="000000"/>
              </w:rPr>
            </w:pPr>
            <w:r>
              <w:rPr>
                <w:color w:val="000000"/>
              </w:rPr>
              <w:t>9</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26C2F" w14:textId="1F969B20" w:rsidR="00AF4302" w:rsidRDefault="00AF4302">
            <w:pPr>
              <w:jc w:val="center"/>
              <w:rPr>
                <w:color w:val="000000"/>
              </w:rPr>
            </w:pPr>
            <w:r>
              <w:rPr>
                <w:color w:val="000000"/>
              </w:rPr>
              <w:t>5</w:t>
            </w:r>
          </w:p>
        </w:tc>
      </w:tr>
      <w:tr w:rsidR="00AF4302" w14:paraId="2985B0A6" w14:textId="77777777" w:rsidTr="006B20DF">
        <w:trPr>
          <w:trHeight w:val="32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FF1AE" w14:textId="77777777" w:rsidR="00AF4302" w:rsidRPr="00D46803" w:rsidRDefault="00AF4302">
            <w:pPr>
              <w:jc w:val="center"/>
              <w:rPr>
                <w:color w:val="000000"/>
              </w:rPr>
            </w:pPr>
            <w:r w:rsidRPr="00D46803">
              <w:rPr>
                <w:color w:val="000000"/>
              </w:rPr>
              <w:t xml:space="preserve">Relative </w:t>
            </w:r>
            <w:r w:rsidRPr="00D46803">
              <w:rPr>
                <w:i/>
                <w:iCs/>
                <w:color w:val="000000"/>
              </w:rPr>
              <w:t>SLRR</w:t>
            </w:r>
            <w:r w:rsidRPr="00D46803">
              <w:rPr>
                <w:color w:val="000000"/>
              </w:rPr>
              <w:t xml:space="preserve"> (m/</w:t>
            </w:r>
            <w:proofErr w:type="spellStart"/>
            <w:r w:rsidRPr="00D46803">
              <w:rPr>
                <w:color w:val="000000"/>
              </w:rPr>
              <w:t>yr</w:t>
            </w:r>
            <w:proofErr w:type="spellEnd"/>
            <w:r w:rsidRPr="00D46803">
              <w:rPr>
                <w:color w:val="000000"/>
              </w:rPr>
              <w:t>)</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7A00B" w14:textId="77777777" w:rsidR="00AF4302" w:rsidRDefault="00AF4302">
            <w:pPr>
              <w:jc w:val="center"/>
              <w:rPr>
                <w:color w:val="000000"/>
              </w:rPr>
            </w:pPr>
            <w:r>
              <w:rPr>
                <w:color w:val="000000"/>
              </w:rPr>
              <w:t>0.0117</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374D3" w14:textId="77777777" w:rsidR="00AF4302" w:rsidRDefault="00AF4302">
            <w:pPr>
              <w:jc w:val="center"/>
              <w:rPr>
                <w:color w:val="000000"/>
              </w:rPr>
            </w:pPr>
            <w:r>
              <w:rPr>
                <w:color w:val="000000"/>
              </w:rPr>
              <w:t>0.0068</w:t>
            </w:r>
          </w:p>
        </w:tc>
      </w:tr>
      <w:tr w:rsidR="00AF4302" w14:paraId="5E2211D3" w14:textId="77777777" w:rsidTr="006B20DF">
        <w:trPr>
          <w:trHeight w:val="32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69CA9" w14:textId="77777777" w:rsidR="00AF4302" w:rsidRPr="00D46803" w:rsidRDefault="00AF4302">
            <w:pPr>
              <w:jc w:val="center"/>
              <w:rPr>
                <w:color w:val="000000"/>
              </w:rPr>
            </w:pPr>
            <w:r w:rsidRPr="00D46803">
              <w:rPr>
                <w:i/>
                <w:iCs/>
                <w:color w:val="000000"/>
              </w:rPr>
              <w:t xml:space="preserve">Bd </w:t>
            </w:r>
            <w:r w:rsidRPr="00D46803">
              <w:rPr>
                <w:color w:val="000000"/>
              </w:rPr>
              <w:t>(m)</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4B665" w14:textId="77777777" w:rsidR="00AF4302" w:rsidRDefault="00AF4302">
            <w:pPr>
              <w:jc w:val="center"/>
              <w:rPr>
                <w:color w:val="000000"/>
              </w:rPr>
            </w:pPr>
            <w:r>
              <w:rPr>
                <w:color w:val="000000"/>
              </w:rPr>
              <w:t>420,000</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6009A" w14:textId="77777777" w:rsidR="00AF4302" w:rsidRPr="00623BE7" w:rsidRDefault="00AF4302">
            <w:pPr>
              <w:jc w:val="center"/>
              <w:rPr>
                <w:color w:val="000000"/>
              </w:rPr>
            </w:pPr>
            <w:r w:rsidRPr="00623BE7">
              <w:rPr>
                <w:color w:val="000000"/>
              </w:rPr>
              <w:t>200,000</w:t>
            </w:r>
          </w:p>
        </w:tc>
      </w:tr>
      <w:tr w:rsidR="00AF4302" w14:paraId="0A87F749" w14:textId="77777777" w:rsidTr="006B20DF">
        <w:trPr>
          <w:trHeight w:val="32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2AB7C" w14:textId="77777777" w:rsidR="00AF4302" w:rsidRPr="00D46803" w:rsidRDefault="00AF4302">
            <w:pPr>
              <w:jc w:val="center"/>
              <w:rPr>
                <w:color w:val="000000"/>
              </w:rPr>
            </w:pPr>
            <w:r w:rsidRPr="00D46803">
              <w:rPr>
                <w:i/>
                <w:iCs/>
                <w:color w:val="000000"/>
              </w:rPr>
              <w:t xml:space="preserve">Br </w:t>
            </w:r>
            <w:r w:rsidRPr="00D46803">
              <w:rPr>
                <w:color w:val="000000"/>
              </w:rPr>
              <w:t>(m)</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99A19" w14:textId="208B8B14" w:rsidR="00AF4302" w:rsidRDefault="00AF4302">
            <w:pPr>
              <w:jc w:val="center"/>
              <w:rPr>
                <w:color w:val="000000"/>
              </w:rPr>
            </w:pPr>
            <w:r>
              <w:rPr>
                <w:color w:val="000000"/>
              </w:rPr>
              <w:t>7</w:t>
            </w:r>
            <w:r w:rsidR="00D46803">
              <w:rPr>
                <w:color w:val="000000"/>
              </w:rPr>
              <w:t>,</w:t>
            </w:r>
            <w:r>
              <w:rPr>
                <w:color w:val="000000"/>
              </w:rPr>
              <w:t>000</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99A0E" w14:textId="77777777" w:rsidR="00AF4302" w:rsidRDefault="00AF4302">
            <w:pPr>
              <w:jc w:val="center"/>
              <w:rPr>
                <w:color w:val="000000"/>
              </w:rPr>
            </w:pPr>
            <w:r>
              <w:rPr>
                <w:color w:val="000000"/>
              </w:rPr>
              <w:t>10,000</w:t>
            </w:r>
          </w:p>
        </w:tc>
      </w:tr>
      <w:tr w:rsidR="00AF4302" w14:paraId="0A6FAC98" w14:textId="77777777" w:rsidTr="006B20DF">
        <w:trPr>
          <w:trHeight w:val="32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66A16" w14:textId="77777777" w:rsidR="00AF4302" w:rsidRPr="00D46803" w:rsidRDefault="00AF4302">
            <w:pPr>
              <w:jc w:val="center"/>
              <w:rPr>
                <w:color w:val="000000"/>
              </w:rPr>
            </w:pPr>
            <w:r w:rsidRPr="00D46803">
              <w:rPr>
                <w:i/>
                <w:iCs/>
                <w:color w:val="000000"/>
              </w:rPr>
              <w:t>D</w:t>
            </w:r>
            <w:r w:rsidRPr="00D46803">
              <w:rPr>
                <w:color w:val="000000"/>
              </w:rPr>
              <w:t xml:space="preserve"> (m)</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09B2B" w14:textId="77777777" w:rsidR="00AF4302" w:rsidRDefault="00AF4302">
            <w:pPr>
              <w:jc w:val="center"/>
              <w:rPr>
                <w:color w:val="000000"/>
              </w:rPr>
            </w:pPr>
            <w:r>
              <w:rPr>
                <w:color w:val="000000"/>
              </w:rPr>
              <w:t>21</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D9DE9" w14:textId="77777777" w:rsidR="00AF4302" w:rsidRDefault="00AF4302">
            <w:pPr>
              <w:jc w:val="center"/>
              <w:rPr>
                <w:color w:val="000000"/>
              </w:rPr>
            </w:pPr>
            <w:r>
              <w:rPr>
                <w:color w:val="000000"/>
              </w:rPr>
              <w:t>15</w:t>
            </w:r>
          </w:p>
        </w:tc>
      </w:tr>
      <w:tr w:rsidR="00AF4302" w14:paraId="50F6A1F1" w14:textId="77777777" w:rsidTr="006B20DF">
        <w:trPr>
          <w:trHeight w:val="32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CF87D" w14:textId="77777777" w:rsidR="00AF4302" w:rsidRPr="00D46803" w:rsidRDefault="00AF4302">
            <w:pPr>
              <w:jc w:val="center"/>
              <w:rPr>
                <w:i/>
                <w:iCs/>
                <w:color w:val="000000"/>
              </w:rPr>
            </w:pPr>
            <w:r w:rsidRPr="00D46803">
              <w:rPr>
                <w:i/>
                <w:iCs/>
                <w:color w:val="000000"/>
              </w:rPr>
              <w:t>S</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5D93C" w14:textId="77777777" w:rsidR="00AF4302" w:rsidRDefault="00AF4302">
            <w:pPr>
              <w:jc w:val="center"/>
              <w:rPr>
                <w:color w:val="000000"/>
              </w:rPr>
            </w:pPr>
            <w:r>
              <w:rPr>
                <w:color w:val="000000"/>
              </w:rPr>
              <w:t>0.000043</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B9601" w14:textId="77777777" w:rsidR="00AF4302" w:rsidRDefault="00AF4302">
            <w:pPr>
              <w:jc w:val="center"/>
              <w:rPr>
                <w:color w:val="000000"/>
              </w:rPr>
            </w:pPr>
            <w:r>
              <w:rPr>
                <w:color w:val="000000"/>
              </w:rPr>
              <w:t>0.0001</w:t>
            </w:r>
          </w:p>
        </w:tc>
      </w:tr>
      <w:tr w:rsidR="00AF4302" w14:paraId="00898E2B" w14:textId="77777777" w:rsidTr="006B20DF">
        <w:trPr>
          <w:trHeight w:val="32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F84E0" w14:textId="77777777" w:rsidR="00AF4302" w:rsidRPr="00D46803" w:rsidRDefault="00AF4302">
            <w:pPr>
              <w:jc w:val="center"/>
              <w:rPr>
                <w:i/>
                <w:iCs/>
                <w:color w:val="000000"/>
              </w:rPr>
            </w:pPr>
            <w:proofErr w:type="spellStart"/>
            <w:r w:rsidRPr="00D46803">
              <w:rPr>
                <w:i/>
                <w:iCs/>
                <w:color w:val="000000"/>
              </w:rPr>
              <w:t>Lb</w:t>
            </w:r>
            <w:proofErr w:type="spellEnd"/>
            <w:r w:rsidRPr="00D46803">
              <w:rPr>
                <w:i/>
                <w:iCs/>
                <w:color w:val="000000"/>
              </w:rPr>
              <w:t xml:space="preserve"> </w:t>
            </w:r>
            <w:r w:rsidRPr="00D46803">
              <w:rPr>
                <w:color w:val="000000"/>
              </w:rPr>
              <w:t xml:space="preserve">(km) </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9558D" w14:textId="7ECCF185" w:rsidR="00AF4302" w:rsidRDefault="00AF4302">
            <w:pPr>
              <w:jc w:val="center"/>
              <w:rPr>
                <w:color w:val="000000"/>
              </w:rPr>
            </w:pPr>
            <w:r>
              <w:rPr>
                <w:color w:val="000000"/>
              </w:rPr>
              <w:t>488</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3C357" w14:textId="77777777" w:rsidR="00AF4302" w:rsidRDefault="00AF4302">
            <w:pPr>
              <w:jc w:val="center"/>
              <w:rPr>
                <w:color w:val="000000"/>
              </w:rPr>
            </w:pPr>
            <w:r>
              <w:rPr>
                <w:color w:val="000000"/>
              </w:rPr>
              <w:t>150</w:t>
            </w:r>
          </w:p>
        </w:tc>
      </w:tr>
      <w:tr w:rsidR="00AF4302" w14:paraId="666FFCE7" w14:textId="77777777" w:rsidTr="006B20DF">
        <w:trPr>
          <w:trHeight w:val="32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FA585" w14:textId="77777777" w:rsidR="00AF4302" w:rsidRPr="00D46803" w:rsidRDefault="00AF4302">
            <w:pPr>
              <w:jc w:val="center"/>
              <w:rPr>
                <w:i/>
                <w:iCs/>
                <w:color w:val="000000"/>
              </w:rPr>
            </w:pPr>
            <w:r w:rsidRPr="00D46803">
              <w:rPr>
                <w:i/>
                <w:iCs/>
                <w:color w:val="000000"/>
              </w:rPr>
              <w:t xml:space="preserve">Tb </w:t>
            </w:r>
            <w:r w:rsidRPr="00D46803">
              <w:rPr>
                <w:color w:val="000000"/>
              </w:rPr>
              <w:t>(</w:t>
            </w:r>
            <w:proofErr w:type="spellStart"/>
            <w:r w:rsidRPr="00D46803">
              <w:rPr>
                <w:color w:val="000000"/>
              </w:rPr>
              <w:t>yr</w:t>
            </w:r>
            <w:proofErr w:type="spellEnd"/>
            <w:r w:rsidRPr="00D46803">
              <w:rPr>
                <w:color w:val="000000"/>
              </w:rPr>
              <w:t>)</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DA501" w14:textId="1C68D062" w:rsidR="00AF4302" w:rsidRDefault="00AF4302">
            <w:pPr>
              <w:jc w:val="center"/>
              <w:rPr>
                <w:color w:val="000000"/>
              </w:rPr>
            </w:pPr>
            <w:r>
              <w:rPr>
                <w:color w:val="000000"/>
              </w:rPr>
              <w:t>524</w:t>
            </w:r>
            <w:r w:rsidR="00623BE7">
              <w:rPr>
                <w:color w:val="000000"/>
              </w:rPr>
              <w:t>,</w:t>
            </w:r>
            <w:r>
              <w:rPr>
                <w:color w:val="000000"/>
              </w:rPr>
              <w:t>878</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FD374" w14:textId="2A09008D" w:rsidR="00AF4302" w:rsidRDefault="00AF4302">
            <w:pPr>
              <w:jc w:val="center"/>
              <w:rPr>
                <w:color w:val="000000"/>
              </w:rPr>
            </w:pPr>
            <w:r>
              <w:rPr>
                <w:color w:val="000000"/>
              </w:rPr>
              <w:t>200</w:t>
            </w:r>
            <w:r w:rsidR="00623BE7">
              <w:rPr>
                <w:color w:val="000000"/>
              </w:rPr>
              <w:t>,</w:t>
            </w:r>
            <w:r>
              <w:rPr>
                <w:color w:val="000000"/>
              </w:rPr>
              <w:t>000</w:t>
            </w:r>
          </w:p>
        </w:tc>
      </w:tr>
      <w:tr w:rsidR="00AF4302" w14:paraId="20459029" w14:textId="77777777" w:rsidTr="006B20DF">
        <w:trPr>
          <w:trHeight w:val="32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61C1B" w14:textId="77777777" w:rsidR="00AF4302" w:rsidRPr="00D46803" w:rsidRDefault="00AF4302">
            <w:pPr>
              <w:jc w:val="center"/>
              <w:rPr>
                <w:i/>
                <w:iCs/>
                <w:color w:val="000000"/>
              </w:rPr>
            </w:pPr>
            <w:proofErr w:type="spellStart"/>
            <w:r w:rsidRPr="00D46803">
              <w:rPr>
                <w:i/>
                <w:iCs/>
                <w:color w:val="000000"/>
              </w:rPr>
              <w:t>Tp</w:t>
            </w:r>
            <w:proofErr w:type="spellEnd"/>
            <w:r w:rsidRPr="00D46803">
              <w:rPr>
                <w:i/>
                <w:iCs/>
                <w:color w:val="000000"/>
              </w:rPr>
              <w:t xml:space="preserve"> </w:t>
            </w:r>
            <w:r w:rsidRPr="00D46803">
              <w:rPr>
                <w:color w:val="000000"/>
              </w:rPr>
              <w:t>(</w:t>
            </w:r>
            <w:proofErr w:type="spellStart"/>
            <w:r w:rsidRPr="00D46803">
              <w:rPr>
                <w:color w:val="000000"/>
              </w:rPr>
              <w:t>yr</w:t>
            </w:r>
            <w:proofErr w:type="spellEnd"/>
            <w:r w:rsidRPr="00D46803">
              <w:rPr>
                <w:color w:val="000000"/>
              </w:rPr>
              <w:t>)</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1311F" w14:textId="66BADEFA" w:rsidR="00AF4302" w:rsidRDefault="00AF4302">
            <w:pPr>
              <w:jc w:val="center"/>
              <w:rPr>
                <w:color w:val="000000"/>
              </w:rPr>
            </w:pPr>
            <w:r>
              <w:rPr>
                <w:color w:val="000000"/>
              </w:rPr>
              <w:t>36</w:t>
            </w:r>
            <w:r w:rsidR="00623BE7">
              <w:rPr>
                <w:color w:val="000000"/>
              </w:rPr>
              <w:t>,</w:t>
            </w:r>
            <w:r>
              <w:rPr>
                <w:color w:val="000000"/>
              </w:rPr>
              <w:t>015</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628BD" w14:textId="77777777" w:rsidR="00AF4302" w:rsidRDefault="00AF4302">
            <w:pPr>
              <w:jc w:val="center"/>
              <w:rPr>
                <w:color w:val="000000"/>
              </w:rPr>
            </w:pPr>
            <w:r>
              <w:rPr>
                <w:color w:val="000000"/>
              </w:rPr>
              <w:t>n/a</w:t>
            </w:r>
          </w:p>
        </w:tc>
      </w:tr>
      <w:tr w:rsidR="00AF4302" w14:paraId="4624253C" w14:textId="77777777" w:rsidTr="006B20DF">
        <w:trPr>
          <w:trHeight w:val="32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842E6" w14:textId="77777777" w:rsidR="00AF4302" w:rsidRPr="00D46803" w:rsidRDefault="00AF4302">
            <w:pPr>
              <w:jc w:val="center"/>
              <w:rPr>
                <w:i/>
                <w:iCs/>
                <w:color w:val="000000"/>
              </w:rPr>
            </w:pPr>
            <w:r w:rsidRPr="00D46803">
              <w:rPr>
                <w:i/>
                <w:iCs/>
                <w:color w:val="000000"/>
              </w:rPr>
              <w:t xml:space="preserve">Tt </w:t>
            </w:r>
            <w:r w:rsidRPr="00D46803">
              <w:rPr>
                <w:color w:val="000000"/>
              </w:rPr>
              <w:t>(</w:t>
            </w:r>
            <w:proofErr w:type="spellStart"/>
            <w:r w:rsidRPr="00D46803">
              <w:rPr>
                <w:color w:val="000000"/>
              </w:rPr>
              <w:t>yr</w:t>
            </w:r>
            <w:proofErr w:type="spellEnd"/>
            <w:r w:rsidRPr="00D46803">
              <w:rPr>
                <w:color w:val="000000"/>
              </w:rPr>
              <w:t>)</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B2867" w14:textId="579C8323" w:rsidR="00AF4302" w:rsidRDefault="00AF4302">
            <w:pPr>
              <w:jc w:val="center"/>
              <w:rPr>
                <w:color w:val="000000"/>
              </w:rPr>
            </w:pPr>
            <w:r>
              <w:rPr>
                <w:color w:val="000000"/>
              </w:rPr>
              <w:t>1</w:t>
            </w:r>
            <w:r w:rsidR="00623BE7">
              <w:rPr>
                <w:color w:val="000000"/>
              </w:rPr>
              <w:t>,</w:t>
            </w:r>
            <w:r>
              <w:rPr>
                <w:color w:val="000000"/>
              </w:rPr>
              <w:t>79</w:t>
            </w:r>
            <w:r w:rsidR="00623BE7">
              <w:rPr>
                <w:color w:val="000000"/>
              </w:rPr>
              <w:t>5</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9CFC1" w14:textId="3D4B8BF3" w:rsidR="00AF4302" w:rsidRDefault="00AF4302">
            <w:pPr>
              <w:jc w:val="center"/>
              <w:rPr>
                <w:color w:val="000000"/>
              </w:rPr>
            </w:pPr>
            <w:r>
              <w:rPr>
                <w:color w:val="000000"/>
              </w:rPr>
              <w:t>2</w:t>
            </w:r>
            <w:r w:rsidR="00623BE7">
              <w:rPr>
                <w:color w:val="000000"/>
              </w:rPr>
              <w:t>,</w:t>
            </w:r>
            <w:r>
              <w:rPr>
                <w:color w:val="000000"/>
              </w:rPr>
              <w:t>20</w:t>
            </w:r>
            <w:r w:rsidR="00623BE7">
              <w:rPr>
                <w:color w:val="000000"/>
              </w:rPr>
              <w:t>6</w:t>
            </w:r>
          </w:p>
        </w:tc>
      </w:tr>
      <w:tr w:rsidR="00AF4302" w14:paraId="22ADECFB" w14:textId="77777777" w:rsidTr="006B20DF">
        <w:trPr>
          <w:trHeight w:val="32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54DE1" w14:textId="77777777" w:rsidR="00AF4302" w:rsidRPr="00D46803" w:rsidRDefault="00AF4302">
            <w:pPr>
              <w:jc w:val="center"/>
              <w:rPr>
                <w:i/>
                <w:iCs/>
                <w:color w:val="000000"/>
              </w:rPr>
            </w:pPr>
            <w:r w:rsidRPr="00D46803">
              <w:rPr>
                <w:i/>
                <w:iCs/>
                <w:color w:val="000000"/>
              </w:rPr>
              <w:t>Np</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99DD6" w14:textId="785CC568" w:rsidR="00AF4302" w:rsidRDefault="00AF4302">
            <w:pPr>
              <w:jc w:val="center"/>
              <w:rPr>
                <w:color w:val="000000"/>
              </w:rPr>
            </w:pPr>
            <w:r>
              <w:rPr>
                <w:color w:val="000000"/>
              </w:rPr>
              <w:t>14.57</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8E034" w14:textId="77777777" w:rsidR="00AF4302" w:rsidRDefault="00AF4302">
            <w:pPr>
              <w:jc w:val="center"/>
              <w:rPr>
                <w:color w:val="000000"/>
              </w:rPr>
            </w:pPr>
            <w:r>
              <w:rPr>
                <w:color w:val="000000"/>
              </w:rPr>
              <w:t>n/a</w:t>
            </w:r>
          </w:p>
        </w:tc>
      </w:tr>
      <w:tr w:rsidR="00AF4302" w14:paraId="3C02B865" w14:textId="77777777" w:rsidTr="006B20DF">
        <w:trPr>
          <w:trHeight w:val="32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9149B" w14:textId="77777777" w:rsidR="00AF4302" w:rsidRPr="00D46803" w:rsidRDefault="00AF4302">
            <w:pPr>
              <w:jc w:val="center"/>
              <w:rPr>
                <w:i/>
                <w:iCs/>
                <w:color w:val="000000"/>
              </w:rPr>
            </w:pPr>
            <w:proofErr w:type="spellStart"/>
            <w:r w:rsidRPr="00D46803">
              <w:rPr>
                <w:i/>
                <w:iCs/>
                <w:color w:val="000000"/>
              </w:rPr>
              <w:t>Nt</w:t>
            </w:r>
            <w:proofErr w:type="spellEnd"/>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8335C" w14:textId="503E129C" w:rsidR="00AF4302" w:rsidRDefault="00AF4302">
            <w:pPr>
              <w:jc w:val="center"/>
              <w:rPr>
                <w:color w:val="000000"/>
              </w:rPr>
            </w:pPr>
            <w:r>
              <w:rPr>
                <w:color w:val="000000"/>
              </w:rPr>
              <w:t>292.43</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71AFB" w14:textId="28F7B2DC" w:rsidR="00AF4302" w:rsidRDefault="00AF4302">
            <w:pPr>
              <w:jc w:val="center"/>
              <w:rPr>
                <w:color w:val="000000"/>
              </w:rPr>
            </w:pPr>
            <w:r>
              <w:rPr>
                <w:color w:val="000000"/>
              </w:rPr>
              <w:t>90.6</w:t>
            </w:r>
            <w:r w:rsidR="00623BE7">
              <w:rPr>
                <w:color w:val="000000"/>
              </w:rPr>
              <w:t>7</w:t>
            </w:r>
          </w:p>
        </w:tc>
      </w:tr>
      <w:tr w:rsidR="00AF4302" w14:paraId="3073F81F" w14:textId="77777777" w:rsidTr="006B20DF">
        <w:trPr>
          <w:trHeight w:val="32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8D0C9" w14:textId="77777777" w:rsidR="00AF4302" w:rsidRPr="00D46803" w:rsidRDefault="00AF4302">
            <w:pPr>
              <w:jc w:val="center"/>
              <w:rPr>
                <w:color w:val="000000"/>
              </w:rPr>
            </w:pPr>
            <w:r w:rsidRPr="00D46803">
              <w:rPr>
                <w:color w:val="000000"/>
              </w:rPr>
              <w:t>Reference</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E7D8C" w14:textId="77777777" w:rsidR="00AF4302" w:rsidRDefault="00AF4302">
            <w:pPr>
              <w:jc w:val="center"/>
              <w:rPr>
                <w:color w:val="000000"/>
              </w:rPr>
            </w:pPr>
            <w:r>
              <w:rPr>
                <w:color w:val="000000"/>
              </w:rPr>
              <w:t>Coleman et al., 1998</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3251F" w14:textId="77777777" w:rsidR="00AF4302" w:rsidRDefault="00AF4302">
            <w:pPr>
              <w:jc w:val="center"/>
              <w:rPr>
                <w:color w:val="000000"/>
              </w:rPr>
            </w:pPr>
            <w:r>
              <w:rPr>
                <w:color w:val="000000"/>
              </w:rPr>
              <w:t>Wilson and Goodbred, 2015</w:t>
            </w:r>
          </w:p>
        </w:tc>
      </w:tr>
    </w:tbl>
    <w:p w14:paraId="124A137D" w14:textId="77777777" w:rsidR="00D46803" w:rsidRDefault="00D46803" w:rsidP="002D6CF5">
      <w:pPr>
        <w:spacing w:line="480" w:lineRule="auto"/>
        <w:rPr>
          <w:b/>
          <w:bCs/>
        </w:rPr>
      </w:pPr>
    </w:p>
    <w:p w14:paraId="56BDE736" w14:textId="45E58C74" w:rsidR="002D6CF5" w:rsidRDefault="002D6CF5" w:rsidP="002D6CF5">
      <w:pPr>
        <w:spacing w:line="480" w:lineRule="auto"/>
        <w:rPr>
          <w:b/>
          <w:bCs/>
        </w:rPr>
      </w:pPr>
      <w:r w:rsidRPr="003926DD">
        <w:rPr>
          <w:b/>
          <w:bCs/>
        </w:rPr>
        <w:lastRenderedPageBreak/>
        <w:t>Supplementary References</w:t>
      </w:r>
    </w:p>
    <w:p w14:paraId="70863919" w14:textId="0935A8F3" w:rsidR="00A5599D" w:rsidRDefault="00A5599D" w:rsidP="00A5599D">
      <w:pPr>
        <w:autoSpaceDE w:val="0"/>
        <w:autoSpaceDN w:val="0"/>
        <w:adjustRightInd w:val="0"/>
        <w:spacing w:line="480" w:lineRule="auto"/>
        <w:ind w:left="480" w:hanging="480"/>
        <w:rPr>
          <w:rFonts w:eastAsiaTheme="minorEastAsia"/>
          <w:kern w:val="2"/>
        </w:rPr>
      </w:pPr>
      <w:r w:rsidRPr="00A5599D">
        <w:rPr>
          <w:rFonts w:eastAsiaTheme="minorEastAsia"/>
          <w:kern w:val="2"/>
        </w:rPr>
        <w:t xml:space="preserve">ArcGIS Pro tool reference: </w:t>
      </w:r>
      <w:hyperlink r:id="rId12" w:history="1">
        <w:r w:rsidR="00EF6232" w:rsidRPr="00B64A55">
          <w:rPr>
            <w:rStyle w:val="Hyperlink"/>
            <w:rFonts w:eastAsiaTheme="minorEastAsia"/>
            <w:kern w:val="2"/>
          </w:rPr>
          <w:t>https://pro.arcgis.com/en/pro-app/latest/tool-reference/analysis/how-buffer-analysis-works.htm</w:t>
        </w:r>
      </w:hyperlink>
    </w:p>
    <w:p w14:paraId="098C1BF5" w14:textId="50CEF3AB" w:rsidR="005B0CAE" w:rsidRDefault="005B0CAE" w:rsidP="00A5599D">
      <w:pPr>
        <w:autoSpaceDE w:val="0"/>
        <w:autoSpaceDN w:val="0"/>
        <w:adjustRightInd w:val="0"/>
        <w:spacing w:line="480" w:lineRule="auto"/>
        <w:ind w:left="480" w:hanging="480"/>
        <w:rPr>
          <w:rFonts w:eastAsiaTheme="minorEastAsia"/>
          <w:kern w:val="2"/>
        </w:rPr>
      </w:pPr>
      <w:r w:rsidRPr="005B0CAE">
        <w:rPr>
          <w:rFonts w:eastAsiaTheme="minorEastAsia"/>
          <w:kern w:val="2"/>
        </w:rPr>
        <w:t>Coleman, J. M., Roberts, H. H., &amp; Stone, G. W. (1998). Mississippi River delta: an overview. Journal of Coastal Research, 699-716.</w:t>
      </w:r>
    </w:p>
    <w:p w14:paraId="239A1896" w14:textId="15F712CE" w:rsidR="005B0CAE" w:rsidRPr="00A5599D" w:rsidRDefault="00EF6232" w:rsidP="005B0CAE">
      <w:pPr>
        <w:autoSpaceDE w:val="0"/>
        <w:autoSpaceDN w:val="0"/>
        <w:adjustRightInd w:val="0"/>
        <w:spacing w:line="480" w:lineRule="auto"/>
        <w:ind w:left="480" w:hanging="480"/>
        <w:rPr>
          <w:rFonts w:eastAsiaTheme="minorEastAsia"/>
          <w:kern w:val="2"/>
        </w:rPr>
      </w:pPr>
      <w:r w:rsidRPr="00937C1C">
        <w:rPr>
          <w:rFonts w:eastAsiaTheme="minorEastAsia"/>
          <w:kern w:val="2"/>
        </w:rPr>
        <w:t xml:space="preserve">Dong, T. Y., </w:t>
      </w:r>
      <w:proofErr w:type="spellStart"/>
      <w:r w:rsidRPr="00937C1C">
        <w:rPr>
          <w:rFonts w:eastAsiaTheme="minorEastAsia"/>
          <w:kern w:val="2"/>
        </w:rPr>
        <w:t>Nittrouer</w:t>
      </w:r>
      <w:proofErr w:type="spellEnd"/>
      <w:r w:rsidRPr="00937C1C">
        <w:rPr>
          <w:rFonts w:eastAsiaTheme="minorEastAsia"/>
          <w:kern w:val="2"/>
        </w:rPr>
        <w:t xml:space="preserve">, J. A., Carlson, B., McElroy, B., </w:t>
      </w:r>
      <w:proofErr w:type="spellStart"/>
      <w:r w:rsidRPr="00937C1C">
        <w:rPr>
          <w:rFonts w:eastAsiaTheme="minorEastAsia"/>
          <w:kern w:val="2"/>
        </w:rPr>
        <w:t>Il’icheva</w:t>
      </w:r>
      <w:proofErr w:type="spellEnd"/>
      <w:r w:rsidRPr="00937C1C">
        <w:rPr>
          <w:rFonts w:eastAsiaTheme="minorEastAsia"/>
          <w:kern w:val="2"/>
        </w:rPr>
        <w:t>, E., Pavlov, M., &amp; Ma, H. (2023). Impacts of tectonic subsidence on basin depth and delta lobe building. Journal of Geophysical Research: Earth Surface, 128(2), e2022JF006819.</w:t>
      </w:r>
    </w:p>
    <w:p w14:paraId="6419078A" w14:textId="77777777" w:rsidR="00A5599D" w:rsidRPr="00A5599D" w:rsidRDefault="00A5599D" w:rsidP="00A5599D">
      <w:pPr>
        <w:autoSpaceDE w:val="0"/>
        <w:autoSpaceDN w:val="0"/>
        <w:adjustRightInd w:val="0"/>
        <w:spacing w:line="480" w:lineRule="auto"/>
        <w:ind w:left="480" w:hanging="480"/>
        <w:rPr>
          <w:rFonts w:eastAsiaTheme="minorEastAsia"/>
          <w:kern w:val="2"/>
        </w:rPr>
      </w:pPr>
      <w:r w:rsidRPr="00A5599D">
        <w:rPr>
          <w:rFonts w:eastAsiaTheme="minorEastAsia"/>
          <w:kern w:val="2"/>
        </w:rPr>
        <w:t xml:space="preserve">Thorne, C. R., Russell, A. P., &amp; </w:t>
      </w:r>
      <w:proofErr w:type="spellStart"/>
      <w:r w:rsidRPr="00A5599D">
        <w:rPr>
          <w:rFonts w:eastAsiaTheme="minorEastAsia"/>
          <w:kern w:val="2"/>
        </w:rPr>
        <w:t>Alam</w:t>
      </w:r>
      <w:proofErr w:type="spellEnd"/>
      <w:r w:rsidRPr="00A5599D">
        <w:rPr>
          <w:rFonts w:eastAsiaTheme="minorEastAsia"/>
          <w:kern w:val="2"/>
        </w:rPr>
        <w:t>, M. K., 1993. Planform pattern and channel evolution of the Brahmaputra River, Bangladesh. Geological Society, London, Special Publications, 75(1), 257-276.</w:t>
      </w:r>
    </w:p>
    <w:p w14:paraId="39F67E07" w14:textId="032CEF54" w:rsidR="00A5599D" w:rsidRPr="00A5599D" w:rsidRDefault="00A5599D" w:rsidP="00A5599D">
      <w:pPr>
        <w:autoSpaceDE w:val="0"/>
        <w:autoSpaceDN w:val="0"/>
        <w:adjustRightInd w:val="0"/>
        <w:spacing w:line="480" w:lineRule="auto"/>
        <w:ind w:left="480" w:hanging="480"/>
        <w:rPr>
          <w:rFonts w:eastAsiaTheme="minorEastAsia"/>
          <w:kern w:val="2"/>
        </w:rPr>
      </w:pPr>
      <w:r w:rsidRPr="00A5599D">
        <w:rPr>
          <w:rFonts w:eastAsiaTheme="minorEastAsia"/>
          <w:kern w:val="2"/>
        </w:rPr>
        <w:t xml:space="preserve">Pickering, J. L., Goodbred, S. L., Reitz, M. D., </w:t>
      </w:r>
      <w:proofErr w:type="spellStart"/>
      <w:r w:rsidRPr="00A5599D">
        <w:rPr>
          <w:rFonts w:eastAsiaTheme="minorEastAsia"/>
          <w:kern w:val="2"/>
        </w:rPr>
        <w:t>Hartzog</w:t>
      </w:r>
      <w:proofErr w:type="spellEnd"/>
      <w:r w:rsidRPr="00A5599D">
        <w:rPr>
          <w:rFonts w:eastAsiaTheme="minorEastAsia"/>
          <w:kern w:val="2"/>
        </w:rPr>
        <w:t>, T. R., Mondal, D. R., &amp; Hossain, M. S.,</w:t>
      </w:r>
      <w:r>
        <w:rPr>
          <w:rFonts w:eastAsiaTheme="minorEastAsia"/>
          <w:kern w:val="2"/>
        </w:rPr>
        <w:t xml:space="preserve"> </w:t>
      </w:r>
      <w:r w:rsidRPr="00A5599D">
        <w:rPr>
          <w:rFonts w:eastAsiaTheme="minorEastAsia"/>
          <w:kern w:val="2"/>
        </w:rPr>
        <w:t>2014. Late Quaternary sedimentary record and Holocene channel avulsions of the Jamuna and</w:t>
      </w:r>
      <w:r>
        <w:rPr>
          <w:rFonts w:eastAsiaTheme="minorEastAsia"/>
          <w:kern w:val="2"/>
        </w:rPr>
        <w:t xml:space="preserve"> </w:t>
      </w:r>
      <w:r w:rsidRPr="00A5599D">
        <w:rPr>
          <w:rFonts w:eastAsiaTheme="minorEastAsia"/>
          <w:kern w:val="2"/>
        </w:rPr>
        <w:t>Old Brahmaputra River valleys in the upper Bengal delta plain. Geomorphology, 227, 123-136.</w:t>
      </w:r>
    </w:p>
    <w:p w14:paraId="404D965A" w14:textId="77777777" w:rsidR="00A5599D" w:rsidRPr="00A5599D" w:rsidRDefault="00A5599D" w:rsidP="00A5599D">
      <w:pPr>
        <w:autoSpaceDE w:val="0"/>
        <w:autoSpaceDN w:val="0"/>
        <w:adjustRightInd w:val="0"/>
        <w:spacing w:line="480" w:lineRule="auto"/>
        <w:ind w:left="480" w:hanging="480"/>
        <w:rPr>
          <w:rFonts w:eastAsiaTheme="minorEastAsia"/>
          <w:kern w:val="2"/>
        </w:rPr>
      </w:pPr>
      <w:r w:rsidRPr="00A5599D">
        <w:rPr>
          <w:rFonts w:eastAsiaTheme="minorEastAsia"/>
          <w:kern w:val="2"/>
        </w:rPr>
        <w:t xml:space="preserve">Richards, K., Brammer, H., &amp; L Saunders, P., 2021. The historical avulsion of the </w:t>
      </w:r>
      <w:proofErr w:type="spellStart"/>
      <w:r w:rsidRPr="00A5599D">
        <w:rPr>
          <w:rFonts w:eastAsiaTheme="minorEastAsia"/>
          <w:kern w:val="2"/>
        </w:rPr>
        <w:t>Tista</w:t>
      </w:r>
      <w:proofErr w:type="spellEnd"/>
      <w:r w:rsidRPr="00A5599D">
        <w:rPr>
          <w:rFonts w:eastAsiaTheme="minorEastAsia"/>
          <w:kern w:val="2"/>
        </w:rPr>
        <w:t xml:space="preserve"> River,</w:t>
      </w:r>
    </w:p>
    <w:p w14:paraId="0D55A3F8" w14:textId="2D67D48A" w:rsidR="00A5599D" w:rsidRPr="00A5599D" w:rsidRDefault="00A5599D" w:rsidP="00A5599D">
      <w:pPr>
        <w:autoSpaceDE w:val="0"/>
        <w:autoSpaceDN w:val="0"/>
        <w:adjustRightInd w:val="0"/>
        <w:spacing w:line="480" w:lineRule="auto"/>
        <w:ind w:left="480"/>
        <w:rPr>
          <w:rFonts w:eastAsiaTheme="minorEastAsia"/>
          <w:kern w:val="2"/>
        </w:rPr>
      </w:pPr>
      <w:r w:rsidRPr="00A5599D">
        <w:rPr>
          <w:rFonts w:eastAsiaTheme="minorEastAsia"/>
          <w:kern w:val="2"/>
        </w:rPr>
        <w:t>and its relationship to the Brahmaputra: Map and archive evidence from 1750 to 1835.</w:t>
      </w:r>
      <w:r>
        <w:rPr>
          <w:rFonts w:eastAsiaTheme="minorEastAsia"/>
          <w:kern w:val="2"/>
        </w:rPr>
        <w:t xml:space="preserve">      </w:t>
      </w:r>
      <w:r w:rsidRPr="00A5599D">
        <w:rPr>
          <w:rFonts w:eastAsiaTheme="minorEastAsia"/>
          <w:kern w:val="2"/>
        </w:rPr>
        <w:t>The</w:t>
      </w:r>
      <w:r>
        <w:rPr>
          <w:rFonts w:eastAsiaTheme="minorEastAsia"/>
          <w:kern w:val="2"/>
        </w:rPr>
        <w:t xml:space="preserve"> </w:t>
      </w:r>
      <w:r w:rsidRPr="00A5599D">
        <w:rPr>
          <w:rFonts w:eastAsiaTheme="minorEastAsia"/>
          <w:kern w:val="2"/>
        </w:rPr>
        <w:t>Geographical Journal, 187(3), 253-268.</w:t>
      </w:r>
    </w:p>
    <w:p w14:paraId="4981FBE2" w14:textId="09188DA1" w:rsidR="003E449A" w:rsidRDefault="00A5599D" w:rsidP="00A5599D">
      <w:pPr>
        <w:autoSpaceDE w:val="0"/>
        <w:autoSpaceDN w:val="0"/>
        <w:adjustRightInd w:val="0"/>
        <w:spacing w:line="480" w:lineRule="auto"/>
        <w:ind w:left="480" w:hanging="480"/>
        <w:rPr>
          <w:rFonts w:eastAsiaTheme="minorEastAsia"/>
          <w:kern w:val="2"/>
        </w:rPr>
      </w:pPr>
      <w:r w:rsidRPr="00A5599D">
        <w:rPr>
          <w:rFonts w:eastAsiaTheme="minorEastAsia"/>
          <w:kern w:val="2"/>
        </w:rPr>
        <w:t xml:space="preserve">Reitz MD, Steckler MS, Paola C, </w:t>
      </w:r>
      <w:proofErr w:type="spellStart"/>
      <w:r w:rsidRPr="00A5599D">
        <w:rPr>
          <w:rFonts w:eastAsiaTheme="minorEastAsia"/>
          <w:kern w:val="2"/>
        </w:rPr>
        <w:t>Goodbred</w:t>
      </w:r>
      <w:proofErr w:type="spellEnd"/>
      <w:r w:rsidRPr="00A5599D">
        <w:rPr>
          <w:rFonts w:eastAsiaTheme="minorEastAsia"/>
          <w:kern w:val="2"/>
        </w:rPr>
        <w:t xml:space="preserve"> SL, </w:t>
      </w:r>
      <w:proofErr w:type="spellStart"/>
      <w:r w:rsidRPr="00A5599D">
        <w:rPr>
          <w:rFonts w:eastAsiaTheme="minorEastAsia"/>
          <w:kern w:val="2"/>
        </w:rPr>
        <w:t>Petter</w:t>
      </w:r>
      <w:proofErr w:type="spellEnd"/>
      <w:r w:rsidRPr="00A5599D">
        <w:rPr>
          <w:rFonts w:eastAsiaTheme="minorEastAsia"/>
          <w:kern w:val="2"/>
        </w:rPr>
        <w:t xml:space="preserve"> A, et al. 2013. River avulsions in the presence of tectonic</w:t>
      </w:r>
      <w:r>
        <w:rPr>
          <w:rFonts w:eastAsiaTheme="minorEastAsia"/>
          <w:kern w:val="2"/>
        </w:rPr>
        <w:t xml:space="preserve"> </w:t>
      </w:r>
      <w:r w:rsidRPr="00A5599D">
        <w:rPr>
          <w:rFonts w:eastAsiaTheme="minorEastAsia"/>
          <w:kern w:val="2"/>
        </w:rPr>
        <w:t xml:space="preserve">tilting, and the Ganges-Brahmaputra Delta. Presented at Am. </w:t>
      </w:r>
      <w:proofErr w:type="spellStart"/>
      <w:r w:rsidRPr="00A5599D">
        <w:rPr>
          <w:rFonts w:eastAsiaTheme="minorEastAsia"/>
          <w:kern w:val="2"/>
        </w:rPr>
        <w:t>Geophys.Union</w:t>
      </w:r>
      <w:proofErr w:type="spellEnd"/>
      <w:r w:rsidRPr="00A5599D">
        <w:rPr>
          <w:rFonts w:eastAsiaTheme="minorEastAsia"/>
          <w:kern w:val="2"/>
        </w:rPr>
        <w:t xml:space="preserve"> </w:t>
      </w:r>
      <w:proofErr w:type="spellStart"/>
      <w:r w:rsidRPr="00A5599D">
        <w:rPr>
          <w:rFonts w:eastAsiaTheme="minorEastAsia"/>
          <w:kern w:val="2"/>
        </w:rPr>
        <w:t>Annu</w:t>
      </w:r>
      <w:proofErr w:type="spellEnd"/>
      <w:r w:rsidRPr="00A5599D">
        <w:rPr>
          <w:rFonts w:eastAsiaTheme="minorEastAsia"/>
          <w:kern w:val="2"/>
        </w:rPr>
        <w:t>. Conf., San Francisco,</w:t>
      </w:r>
      <w:r>
        <w:rPr>
          <w:rFonts w:eastAsiaTheme="minorEastAsia"/>
          <w:kern w:val="2"/>
        </w:rPr>
        <w:t xml:space="preserve"> </w:t>
      </w:r>
      <w:r w:rsidRPr="00A5599D">
        <w:rPr>
          <w:rFonts w:eastAsiaTheme="minorEastAsia"/>
          <w:kern w:val="2"/>
        </w:rPr>
        <w:t>CA, Dec. 9–13</w:t>
      </w:r>
    </w:p>
    <w:p w14:paraId="0B557FF4" w14:textId="77777777" w:rsidR="00EF6232" w:rsidRPr="00A5599D" w:rsidRDefault="00EF6232" w:rsidP="00EF6232">
      <w:pPr>
        <w:autoSpaceDE w:val="0"/>
        <w:autoSpaceDN w:val="0"/>
        <w:adjustRightInd w:val="0"/>
        <w:spacing w:line="480" w:lineRule="auto"/>
        <w:ind w:left="480" w:hanging="480"/>
        <w:rPr>
          <w:rFonts w:eastAsiaTheme="minorEastAsia"/>
          <w:kern w:val="2"/>
        </w:rPr>
      </w:pPr>
      <w:r w:rsidRPr="00A5599D">
        <w:rPr>
          <w:rFonts w:eastAsiaTheme="minorEastAsia"/>
          <w:kern w:val="2"/>
        </w:rPr>
        <w:t>Wilson, C. A., &amp; Goodbred, S. L. (2015). Construction and Maintenance of the Ganges-</w:t>
      </w:r>
      <w:proofErr w:type="spellStart"/>
      <w:r w:rsidRPr="00A5599D">
        <w:rPr>
          <w:rFonts w:eastAsiaTheme="minorEastAsia"/>
          <w:kern w:val="2"/>
        </w:rPr>
        <w:t>BrahmaputraMeghna</w:t>
      </w:r>
      <w:proofErr w:type="spellEnd"/>
      <w:r w:rsidRPr="00A5599D">
        <w:rPr>
          <w:rFonts w:eastAsiaTheme="minorEastAsia"/>
          <w:kern w:val="2"/>
        </w:rPr>
        <w:t xml:space="preserve"> Delta: Linking Process, Morphology, and Stratigraphy. Annual Review of Marine Science, 7(1), 67-88. doi:10.1146/annurev-marine-010213-135032 </w:t>
      </w:r>
    </w:p>
    <w:p w14:paraId="14187FDC" w14:textId="77777777" w:rsidR="003E449A" w:rsidRPr="003E449A" w:rsidRDefault="003E449A" w:rsidP="00EF6232">
      <w:pPr>
        <w:autoSpaceDE w:val="0"/>
        <w:autoSpaceDN w:val="0"/>
        <w:adjustRightInd w:val="0"/>
        <w:spacing w:line="480" w:lineRule="auto"/>
        <w:rPr>
          <w:rFonts w:eastAsiaTheme="minorEastAsia"/>
          <w:kern w:val="2"/>
        </w:rPr>
      </w:pPr>
    </w:p>
    <w:p w14:paraId="4CC63EC1" w14:textId="09682B26" w:rsidR="00D97543" w:rsidRPr="00E22873" w:rsidRDefault="00D97543" w:rsidP="00E22873">
      <w:pPr>
        <w:spacing w:line="480" w:lineRule="auto"/>
        <w:rPr>
          <w:b/>
          <w:bCs/>
        </w:rPr>
      </w:pPr>
    </w:p>
    <w:sectPr w:rsidR="00D97543" w:rsidRPr="00E22873" w:rsidSect="00BA062E">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yriad Pro">
    <w:altName w:val="Segoe UI"/>
    <w:panose1 w:val="020B0604020202020204"/>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CF5"/>
    <w:rsid w:val="00022594"/>
    <w:rsid w:val="00031E3C"/>
    <w:rsid w:val="00040981"/>
    <w:rsid w:val="00042000"/>
    <w:rsid w:val="00054703"/>
    <w:rsid w:val="00060453"/>
    <w:rsid w:val="000770FB"/>
    <w:rsid w:val="00086793"/>
    <w:rsid w:val="0012439B"/>
    <w:rsid w:val="00124A9E"/>
    <w:rsid w:val="00155D01"/>
    <w:rsid w:val="00177EDF"/>
    <w:rsid w:val="00180531"/>
    <w:rsid w:val="00181627"/>
    <w:rsid w:val="001A777A"/>
    <w:rsid w:val="001B2614"/>
    <w:rsid w:val="001B4619"/>
    <w:rsid w:val="001C4E55"/>
    <w:rsid w:val="001C7BD7"/>
    <w:rsid w:val="00215D60"/>
    <w:rsid w:val="00221329"/>
    <w:rsid w:val="0024541F"/>
    <w:rsid w:val="002461BE"/>
    <w:rsid w:val="002940A4"/>
    <w:rsid w:val="002B2FEE"/>
    <w:rsid w:val="002D10E8"/>
    <w:rsid w:val="002D6CF5"/>
    <w:rsid w:val="003066FE"/>
    <w:rsid w:val="003158B0"/>
    <w:rsid w:val="003259AF"/>
    <w:rsid w:val="00332E16"/>
    <w:rsid w:val="00345899"/>
    <w:rsid w:val="00380A91"/>
    <w:rsid w:val="00386B98"/>
    <w:rsid w:val="00387183"/>
    <w:rsid w:val="003871AD"/>
    <w:rsid w:val="00395EA0"/>
    <w:rsid w:val="003C5059"/>
    <w:rsid w:val="003E14C5"/>
    <w:rsid w:val="003E1A01"/>
    <w:rsid w:val="003E449A"/>
    <w:rsid w:val="003F13DF"/>
    <w:rsid w:val="0040333B"/>
    <w:rsid w:val="0042042C"/>
    <w:rsid w:val="00420487"/>
    <w:rsid w:val="0042617A"/>
    <w:rsid w:val="004314C2"/>
    <w:rsid w:val="00455CFC"/>
    <w:rsid w:val="004702A1"/>
    <w:rsid w:val="00476F3E"/>
    <w:rsid w:val="00481EF1"/>
    <w:rsid w:val="004A5D6E"/>
    <w:rsid w:val="004D0A73"/>
    <w:rsid w:val="004D3500"/>
    <w:rsid w:val="004F35D3"/>
    <w:rsid w:val="00516E38"/>
    <w:rsid w:val="005228E7"/>
    <w:rsid w:val="00551431"/>
    <w:rsid w:val="005A20C9"/>
    <w:rsid w:val="005A28DC"/>
    <w:rsid w:val="005B0CAE"/>
    <w:rsid w:val="005D26DF"/>
    <w:rsid w:val="0061219B"/>
    <w:rsid w:val="00623BE7"/>
    <w:rsid w:val="00636CAB"/>
    <w:rsid w:val="00644772"/>
    <w:rsid w:val="006957FD"/>
    <w:rsid w:val="006A2331"/>
    <w:rsid w:val="006A5FEB"/>
    <w:rsid w:val="006B20DF"/>
    <w:rsid w:val="006C0445"/>
    <w:rsid w:val="006C2BF9"/>
    <w:rsid w:val="006D0D22"/>
    <w:rsid w:val="006F1D23"/>
    <w:rsid w:val="00721D0E"/>
    <w:rsid w:val="00724008"/>
    <w:rsid w:val="00756F64"/>
    <w:rsid w:val="007778F3"/>
    <w:rsid w:val="007936E8"/>
    <w:rsid w:val="00793AC7"/>
    <w:rsid w:val="007A4CD0"/>
    <w:rsid w:val="007B2C80"/>
    <w:rsid w:val="007B394C"/>
    <w:rsid w:val="007F74A6"/>
    <w:rsid w:val="007F7E36"/>
    <w:rsid w:val="00802576"/>
    <w:rsid w:val="00826188"/>
    <w:rsid w:val="0083355D"/>
    <w:rsid w:val="0084654C"/>
    <w:rsid w:val="00855BDD"/>
    <w:rsid w:val="008911CA"/>
    <w:rsid w:val="008A6D92"/>
    <w:rsid w:val="008C11EF"/>
    <w:rsid w:val="008D748E"/>
    <w:rsid w:val="009101E3"/>
    <w:rsid w:val="00937C1C"/>
    <w:rsid w:val="00962CA0"/>
    <w:rsid w:val="00984560"/>
    <w:rsid w:val="009A40DD"/>
    <w:rsid w:val="009B0981"/>
    <w:rsid w:val="009B20E2"/>
    <w:rsid w:val="009C3D4D"/>
    <w:rsid w:val="009C77EC"/>
    <w:rsid w:val="009D41B9"/>
    <w:rsid w:val="009E343C"/>
    <w:rsid w:val="009E7DFC"/>
    <w:rsid w:val="00A005AB"/>
    <w:rsid w:val="00A2127F"/>
    <w:rsid w:val="00A23320"/>
    <w:rsid w:val="00A3083E"/>
    <w:rsid w:val="00A35ED2"/>
    <w:rsid w:val="00A45CCD"/>
    <w:rsid w:val="00A5599D"/>
    <w:rsid w:val="00A671DF"/>
    <w:rsid w:val="00A744FE"/>
    <w:rsid w:val="00A76A08"/>
    <w:rsid w:val="00AA3AE1"/>
    <w:rsid w:val="00AA57BA"/>
    <w:rsid w:val="00AB7089"/>
    <w:rsid w:val="00AC33B9"/>
    <w:rsid w:val="00AF3C9F"/>
    <w:rsid w:val="00AF4302"/>
    <w:rsid w:val="00B0387B"/>
    <w:rsid w:val="00B16EA5"/>
    <w:rsid w:val="00B7373B"/>
    <w:rsid w:val="00B760A1"/>
    <w:rsid w:val="00B806C6"/>
    <w:rsid w:val="00B813BF"/>
    <w:rsid w:val="00B92C5F"/>
    <w:rsid w:val="00BA062E"/>
    <w:rsid w:val="00C00355"/>
    <w:rsid w:val="00C00BAC"/>
    <w:rsid w:val="00C07CE4"/>
    <w:rsid w:val="00C26C7F"/>
    <w:rsid w:val="00C5603E"/>
    <w:rsid w:val="00C77A55"/>
    <w:rsid w:val="00C96F93"/>
    <w:rsid w:val="00CA0E1A"/>
    <w:rsid w:val="00CC388C"/>
    <w:rsid w:val="00CD1A1D"/>
    <w:rsid w:val="00CD4C1B"/>
    <w:rsid w:val="00D040FF"/>
    <w:rsid w:val="00D0509F"/>
    <w:rsid w:val="00D10C35"/>
    <w:rsid w:val="00D10DAB"/>
    <w:rsid w:val="00D22867"/>
    <w:rsid w:val="00D24299"/>
    <w:rsid w:val="00D24F1A"/>
    <w:rsid w:val="00D35D92"/>
    <w:rsid w:val="00D36B36"/>
    <w:rsid w:val="00D46803"/>
    <w:rsid w:val="00D66D5E"/>
    <w:rsid w:val="00D8733E"/>
    <w:rsid w:val="00D97543"/>
    <w:rsid w:val="00DB09F0"/>
    <w:rsid w:val="00DE359C"/>
    <w:rsid w:val="00DF34D3"/>
    <w:rsid w:val="00E22873"/>
    <w:rsid w:val="00E22F73"/>
    <w:rsid w:val="00E30336"/>
    <w:rsid w:val="00E413FA"/>
    <w:rsid w:val="00E76367"/>
    <w:rsid w:val="00E83907"/>
    <w:rsid w:val="00E87C85"/>
    <w:rsid w:val="00E92535"/>
    <w:rsid w:val="00E93144"/>
    <w:rsid w:val="00E93B39"/>
    <w:rsid w:val="00E96D29"/>
    <w:rsid w:val="00E97D01"/>
    <w:rsid w:val="00EA6E45"/>
    <w:rsid w:val="00EC7361"/>
    <w:rsid w:val="00EE0A7C"/>
    <w:rsid w:val="00EE2DBC"/>
    <w:rsid w:val="00EF6232"/>
    <w:rsid w:val="00EF6AD6"/>
    <w:rsid w:val="00EF73DE"/>
    <w:rsid w:val="00F045A8"/>
    <w:rsid w:val="00F26C71"/>
    <w:rsid w:val="00F31742"/>
    <w:rsid w:val="00F35684"/>
    <w:rsid w:val="00F45C93"/>
    <w:rsid w:val="00F4617F"/>
    <w:rsid w:val="00F53C55"/>
    <w:rsid w:val="00F9682F"/>
    <w:rsid w:val="00F96FD6"/>
    <w:rsid w:val="00FB52E2"/>
    <w:rsid w:val="00FD7B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FC5A4"/>
  <w15:docId w15:val="{BEFD0B9A-ECAC-9A48-B8A0-87DC7EC9A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D26DF"/>
    <w:rPr>
      <w:rFonts w:ascii="Times New Roman" w:eastAsia="Times New Roman" w:hAnsi="Times New Roman" w:cs="Times New Roman"/>
      <w:lang w:val="en-US" w:eastAsia="zh-CN"/>
    </w:rPr>
  </w:style>
  <w:style w:type="paragraph" w:styleId="Heading1">
    <w:name w:val="heading 1"/>
    <w:basedOn w:val="Normal"/>
    <w:next w:val="Normal"/>
    <w:link w:val="Heading1Char"/>
    <w:uiPriority w:val="9"/>
    <w:qFormat/>
    <w:rsid w:val="0064477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6CF5"/>
    <w:rPr>
      <w:color w:val="0563C1" w:themeColor="hyperlink"/>
      <w:u w:val="single"/>
    </w:rPr>
  </w:style>
  <w:style w:type="character" w:styleId="UnresolvedMention">
    <w:name w:val="Unresolved Mention"/>
    <w:basedOn w:val="DefaultParagraphFont"/>
    <w:uiPriority w:val="99"/>
    <w:rsid w:val="00A45CCD"/>
    <w:rPr>
      <w:color w:val="605E5C"/>
      <w:shd w:val="clear" w:color="auto" w:fill="E1DFDD"/>
    </w:rPr>
  </w:style>
  <w:style w:type="character" w:styleId="CommentReference">
    <w:name w:val="annotation reference"/>
    <w:basedOn w:val="DefaultParagraphFont"/>
    <w:uiPriority w:val="99"/>
    <w:semiHidden/>
    <w:unhideWhenUsed/>
    <w:rsid w:val="00EF6AD6"/>
    <w:rPr>
      <w:sz w:val="16"/>
      <w:szCs w:val="16"/>
    </w:rPr>
  </w:style>
  <w:style w:type="paragraph" w:styleId="CommentText">
    <w:name w:val="annotation text"/>
    <w:basedOn w:val="Normal"/>
    <w:link w:val="CommentTextChar"/>
    <w:uiPriority w:val="99"/>
    <w:unhideWhenUsed/>
    <w:rsid w:val="00EF6AD6"/>
    <w:rPr>
      <w:sz w:val="20"/>
      <w:szCs w:val="20"/>
    </w:rPr>
  </w:style>
  <w:style w:type="character" w:customStyle="1" w:styleId="CommentTextChar">
    <w:name w:val="Comment Text Char"/>
    <w:basedOn w:val="DefaultParagraphFont"/>
    <w:link w:val="CommentText"/>
    <w:uiPriority w:val="99"/>
    <w:rsid w:val="00EF6AD6"/>
    <w:rPr>
      <w:rFonts w:ascii="Times New Roman" w:eastAsia="Times New Roman" w:hAnsi="Times New Roman" w:cs="Times New Roman"/>
      <w:sz w:val="20"/>
      <w:szCs w:val="20"/>
      <w:lang w:val="en-US" w:eastAsia="zh-CN"/>
    </w:rPr>
  </w:style>
  <w:style w:type="character" w:styleId="FollowedHyperlink">
    <w:name w:val="FollowedHyperlink"/>
    <w:basedOn w:val="DefaultParagraphFont"/>
    <w:uiPriority w:val="99"/>
    <w:semiHidden/>
    <w:unhideWhenUsed/>
    <w:rsid w:val="00022594"/>
    <w:rPr>
      <w:color w:val="954F72" w:themeColor="followedHyperlink"/>
      <w:u w:val="single"/>
    </w:rPr>
  </w:style>
  <w:style w:type="paragraph" w:customStyle="1" w:styleId="Text">
    <w:name w:val="Text"/>
    <w:basedOn w:val="Normal"/>
    <w:rsid w:val="00644772"/>
    <w:pPr>
      <w:spacing w:before="120"/>
      <w:ind w:firstLine="720"/>
    </w:pPr>
    <w:rPr>
      <w:lang w:eastAsia="en-US"/>
    </w:rPr>
  </w:style>
  <w:style w:type="paragraph" w:customStyle="1" w:styleId="SMHeading">
    <w:name w:val="SM Heading"/>
    <w:basedOn w:val="Heading1"/>
    <w:qFormat/>
    <w:rsid w:val="00644772"/>
    <w:pPr>
      <w:keepLines w:val="0"/>
      <w:spacing w:after="60"/>
    </w:pPr>
    <w:rPr>
      <w:rFonts w:ascii="Times New Roman" w:eastAsia="Times New Roman" w:hAnsi="Times New Roman" w:cs="Times New Roman"/>
      <w:b/>
      <w:bCs/>
      <w:color w:val="auto"/>
      <w:kern w:val="32"/>
      <w:sz w:val="24"/>
      <w:szCs w:val="24"/>
      <w:lang w:eastAsia="en-US"/>
    </w:rPr>
  </w:style>
  <w:style w:type="character" w:customStyle="1" w:styleId="Heading1Char">
    <w:name w:val="Heading 1 Char"/>
    <w:basedOn w:val="DefaultParagraphFont"/>
    <w:link w:val="Heading1"/>
    <w:uiPriority w:val="9"/>
    <w:rsid w:val="00644772"/>
    <w:rPr>
      <w:rFonts w:asciiTheme="majorHAnsi" w:eastAsiaTheme="majorEastAsia" w:hAnsiTheme="majorHAnsi" w:cstheme="majorBidi"/>
      <w:color w:val="2F5496" w:themeColor="accent1" w:themeShade="BF"/>
      <w:kern w:val="2"/>
      <w:sz w:val="32"/>
      <w:szCs w:val="32"/>
      <w:lang w:val="en-US" w:eastAsia="zh-CN"/>
    </w:rPr>
  </w:style>
  <w:style w:type="paragraph" w:styleId="CommentSubject">
    <w:name w:val="annotation subject"/>
    <w:basedOn w:val="CommentText"/>
    <w:next w:val="CommentText"/>
    <w:link w:val="CommentSubjectChar"/>
    <w:uiPriority w:val="99"/>
    <w:semiHidden/>
    <w:unhideWhenUsed/>
    <w:rsid w:val="009C77EC"/>
    <w:rPr>
      <w:b/>
      <w:bCs/>
    </w:rPr>
  </w:style>
  <w:style w:type="character" w:customStyle="1" w:styleId="CommentSubjectChar">
    <w:name w:val="Comment Subject Char"/>
    <w:basedOn w:val="CommentTextChar"/>
    <w:link w:val="CommentSubject"/>
    <w:uiPriority w:val="99"/>
    <w:semiHidden/>
    <w:rsid w:val="009C77EC"/>
    <w:rPr>
      <w:rFonts w:ascii="Times New Roman" w:eastAsia="Times New Roman" w:hAnsi="Times New Roman" w:cs="Times New Roman"/>
      <w:b/>
      <w:bCs/>
      <w:sz w:val="20"/>
      <w:szCs w:val="20"/>
      <w:lang w:val="en-US" w:eastAsia="zh-CN"/>
    </w:rPr>
  </w:style>
  <w:style w:type="paragraph" w:styleId="BalloonText">
    <w:name w:val="Balloon Text"/>
    <w:basedOn w:val="Normal"/>
    <w:link w:val="BalloonTextChar"/>
    <w:uiPriority w:val="99"/>
    <w:semiHidden/>
    <w:unhideWhenUsed/>
    <w:rsid w:val="009C77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7EC"/>
    <w:rPr>
      <w:rFonts w:ascii="Segoe UI" w:eastAsia="Times New Roman" w:hAnsi="Segoe UI" w:cs="Segoe UI"/>
      <w:sz w:val="18"/>
      <w:szCs w:val="18"/>
      <w:lang w:val="en-US" w:eastAsia="zh-CN"/>
    </w:rPr>
  </w:style>
  <w:style w:type="paragraph" w:styleId="Revision">
    <w:name w:val="Revision"/>
    <w:hidden/>
    <w:uiPriority w:val="99"/>
    <w:semiHidden/>
    <w:rsid w:val="00CC388C"/>
    <w:rPr>
      <w:rFonts w:ascii="Times New Roman" w:eastAsia="Times New Roman" w:hAnsi="Times New Roman" w:cs="Times New Roman"/>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396833">
      <w:bodyDiv w:val="1"/>
      <w:marLeft w:val="0"/>
      <w:marRight w:val="0"/>
      <w:marTop w:val="0"/>
      <w:marBottom w:val="0"/>
      <w:divBdr>
        <w:top w:val="none" w:sz="0" w:space="0" w:color="auto"/>
        <w:left w:val="none" w:sz="0" w:space="0" w:color="auto"/>
        <w:bottom w:val="none" w:sz="0" w:space="0" w:color="auto"/>
        <w:right w:val="none" w:sz="0" w:space="0" w:color="auto"/>
      </w:divBdr>
    </w:div>
    <w:div w:id="1629627107">
      <w:bodyDiv w:val="1"/>
      <w:marLeft w:val="0"/>
      <w:marRight w:val="0"/>
      <w:marTop w:val="0"/>
      <w:marBottom w:val="0"/>
      <w:divBdr>
        <w:top w:val="none" w:sz="0" w:space="0" w:color="auto"/>
        <w:left w:val="none" w:sz="0" w:space="0" w:color="auto"/>
        <w:bottom w:val="none" w:sz="0" w:space="0" w:color="auto"/>
        <w:right w:val="none" w:sz="0" w:space="0" w:color="auto"/>
      </w:divBdr>
      <w:divsChild>
        <w:div w:id="1589537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pro.arcgis.com/en/pro-app/latest/tool-reference/analysis/how-buffer-analysis-works.ht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pro.arcgis.com/en/pro-app/latest/tool-reference/analysis/how-buffer-analysis-works.htm" TargetMode="External"/><Relationship Id="rId11" Type="http://schemas.openxmlformats.org/officeDocument/2006/relationships/image" Target="media/image5.jpeg"/><Relationship Id="rId5" Type="http://schemas.openxmlformats.org/officeDocument/2006/relationships/hyperlink" Target="mailto:ningjie.hu@duke.edu"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D1696-2652-4B42-8A0A-488D36BBA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1311</Words>
  <Characters>7477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Ningjie Hu</cp:lastModifiedBy>
  <cp:revision>4</cp:revision>
  <dcterms:created xsi:type="dcterms:W3CDTF">2025-09-18T20:17:00Z</dcterms:created>
  <dcterms:modified xsi:type="dcterms:W3CDTF">2025-09-21T23:58:00Z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http://www.zotero.org/styles/earth-and-planetary-science-letters</vt:lpwstr>
  </property>
  <property fmtid="{D5CDD505-2E9C-101B-9397-08002B2CF9AE}" pid="9" name="Mendeley Recent Style Name 3_1">
    <vt:lpwstr>Earth and Planetary Science Letters</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http://www.zotero.org/styles/nature-communications</vt:lpwstr>
  </property>
  <property fmtid="{D5CDD505-2E9C-101B-9397-08002B2CF9AE}" pid="15" name="Mendeley Recent Style Name 6_1">
    <vt:lpwstr>Nature Communications</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http://www.zotero.org/styles/science</vt:lpwstr>
  </property>
  <property fmtid="{D5CDD505-2E9C-101B-9397-08002B2CF9AE}" pid="19" name="Mendeley Recent Style Name 8_1">
    <vt:lpwstr>Science</vt:lpwstr>
  </property>
  <property fmtid="{D5CDD505-2E9C-101B-9397-08002B2CF9AE}" pid="20" name="Mendeley Recent Style Id 9_1">
    <vt:lpwstr>http://www.zotero.org/styles/science-advances</vt:lpwstr>
  </property>
  <property fmtid="{D5CDD505-2E9C-101B-9397-08002B2CF9AE}" pid="21" name="Mendeley Recent Style Name 9_1">
    <vt:lpwstr>Science Advances</vt:lpwstr>
  </property>
  <property fmtid="{D5CDD505-2E9C-101B-9397-08002B2CF9AE}" pid="22" name="Mendeley Citation Style_1">
    <vt:lpwstr>http://www.zotero.org/styles/earth-and-planetary-science-letters</vt:lpwstr>
  </property>
  <property fmtid="{D5CDD505-2E9C-101B-9397-08002B2CF9AE}" pid="23" name="Mendeley Document_1">
    <vt:lpwstr>True</vt:lpwstr>
  </property>
  <property fmtid="{D5CDD505-2E9C-101B-9397-08002B2CF9AE}" pid="24" name="Mendeley Unique User Id_1">
    <vt:lpwstr>60b0336f-0bbb-313f-b3b2-f2a19c489f0a</vt:lpwstr>
  </property>
</Properties>
</file>