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245" w:rsidRDefault="00F54245" w:rsidP="00F54245">
      <w:pPr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Supplementary Tables available in Excel file:</w:t>
      </w:r>
    </w:p>
    <w:p w:rsidR="00F54245" w:rsidRDefault="00F54245" w:rsidP="00F5424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sz w:val="22"/>
          <w:szCs w:val="22"/>
        </w:rPr>
      </w:pPr>
      <w:r w:rsidRPr="009E013A">
        <w:rPr>
          <w:rFonts w:ascii="Arial" w:hAnsi="Arial" w:cs="Arial"/>
          <w:b/>
          <w:sz w:val="22"/>
          <w:szCs w:val="22"/>
        </w:rPr>
        <w:t>Supplementary Table 1. Genetic characterization of participants with GRIN2B or other Pathogenic mutations.</w:t>
      </w:r>
    </w:p>
    <w:p w:rsidR="00F54245" w:rsidRDefault="00F54245" w:rsidP="00F5424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sz w:val="22"/>
          <w:szCs w:val="22"/>
        </w:rPr>
      </w:pPr>
      <w:r w:rsidRPr="009E013A">
        <w:rPr>
          <w:rFonts w:ascii="Arial" w:hAnsi="Arial" w:cs="Arial"/>
          <w:b/>
          <w:sz w:val="22"/>
          <w:szCs w:val="22"/>
        </w:rPr>
        <w:t xml:space="preserve">Supplementary Table 2. Demographic characterization and results that including </w:t>
      </w:r>
      <w:r w:rsidRPr="009E013A">
        <w:rPr>
          <w:rFonts w:ascii="Arial" w:hAnsi="Arial" w:cs="Arial"/>
          <w:b/>
          <w:i/>
          <w:sz w:val="22"/>
          <w:szCs w:val="22"/>
        </w:rPr>
        <w:t>GRIN2B</w:t>
      </w:r>
      <w:r w:rsidRPr="009E013A">
        <w:rPr>
          <w:rFonts w:ascii="Arial" w:hAnsi="Arial" w:cs="Arial"/>
          <w:b/>
          <w:sz w:val="22"/>
          <w:szCs w:val="22"/>
        </w:rPr>
        <w:t xml:space="preserve"> subjects with variants of unknown significance. </w:t>
      </w:r>
    </w:p>
    <w:p w:rsidR="00F54245" w:rsidRPr="009E013A" w:rsidRDefault="00F54245" w:rsidP="00F5424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sz w:val="22"/>
          <w:szCs w:val="22"/>
        </w:rPr>
      </w:pPr>
      <w:r w:rsidRPr="009E013A">
        <w:rPr>
          <w:rFonts w:ascii="Arial" w:hAnsi="Arial" w:cs="Arial"/>
          <w:b/>
          <w:sz w:val="22"/>
          <w:szCs w:val="22"/>
        </w:rPr>
        <w:t>Supplementary Table 3. ADI-R items used for ASD symptomology characterization</w:t>
      </w:r>
      <w:r w:rsidRPr="009E013A">
        <w:rPr>
          <w:rFonts w:ascii="Arial" w:hAnsi="Arial" w:cs="Arial"/>
          <w:sz w:val="22"/>
          <w:szCs w:val="22"/>
        </w:rPr>
        <w:t>. Chi-square results for all ADI-R items examined for both current problems and historical problems. Significant group differences (</w:t>
      </w:r>
      <w:r w:rsidRPr="009E013A">
        <w:rPr>
          <w:rFonts w:ascii="Arial" w:hAnsi="Arial" w:cs="Arial"/>
          <w:i/>
          <w:sz w:val="22"/>
          <w:szCs w:val="22"/>
        </w:rPr>
        <w:t>p</w:t>
      </w:r>
      <w:r w:rsidRPr="009E013A">
        <w:rPr>
          <w:rFonts w:ascii="Arial" w:hAnsi="Arial" w:cs="Arial"/>
          <w:sz w:val="22"/>
          <w:szCs w:val="22"/>
        </w:rPr>
        <w:t xml:space="preserve"> &lt; .05 after </w:t>
      </w:r>
      <w:proofErr w:type="spellStart"/>
      <w:r w:rsidRPr="009E013A">
        <w:rPr>
          <w:rFonts w:ascii="Arial" w:hAnsi="Arial" w:cs="Arial"/>
          <w:sz w:val="22"/>
          <w:szCs w:val="22"/>
        </w:rPr>
        <w:t>Bonferroni</w:t>
      </w:r>
      <w:proofErr w:type="spellEnd"/>
      <w:r w:rsidRPr="009E013A">
        <w:rPr>
          <w:rFonts w:ascii="Arial" w:hAnsi="Arial" w:cs="Arial"/>
          <w:sz w:val="22"/>
          <w:szCs w:val="22"/>
        </w:rPr>
        <w:t xml:space="preserve"> correction) are reported for (1) </w:t>
      </w:r>
      <w:r w:rsidRPr="009E013A">
        <w:rPr>
          <w:rFonts w:ascii="Arial" w:hAnsi="Arial" w:cs="Arial"/>
          <w:i/>
          <w:sz w:val="22"/>
          <w:szCs w:val="22"/>
        </w:rPr>
        <w:t>GRIN2B</w:t>
      </w:r>
      <w:r w:rsidRPr="009E013A">
        <w:rPr>
          <w:rFonts w:ascii="Arial" w:hAnsi="Arial" w:cs="Arial"/>
          <w:sz w:val="22"/>
          <w:szCs w:val="22"/>
        </w:rPr>
        <w:t>, (2) Pathogenic, (3) ASD Low NVIQ, and (4) ASD Average NVIQ groups.</w:t>
      </w:r>
    </w:p>
    <w:p w:rsidR="00217EBB" w:rsidRPr="00F54245" w:rsidRDefault="00F54245" w:rsidP="00F5424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sz w:val="22"/>
          <w:szCs w:val="22"/>
        </w:rPr>
      </w:pPr>
      <w:r w:rsidRPr="009E013A">
        <w:rPr>
          <w:rFonts w:ascii="Arial" w:hAnsi="Arial" w:cs="Arial"/>
          <w:b/>
          <w:sz w:val="22"/>
          <w:szCs w:val="22"/>
        </w:rPr>
        <w:t xml:space="preserve">Supplementary Table 4. Parent-reported ASD symptomology with low </w:t>
      </w:r>
      <w:r w:rsidRPr="009E013A">
        <w:rPr>
          <w:rFonts w:ascii="Arial" w:hAnsi="Arial" w:cs="Arial"/>
          <w:b/>
          <w:i/>
          <w:sz w:val="22"/>
          <w:szCs w:val="22"/>
        </w:rPr>
        <w:t>GRIN2B</w:t>
      </w:r>
      <w:r w:rsidRPr="009E013A">
        <w:rPr>
          <w:rFonts w:ascii="Arial" w:hAnsi="Arial" w:cs="Arial"/>
          <w:b/>
          <w:sz w:val="22"/>
          <w:szCs w:val="22"/>
        </w:rPr>
        <w:t xml:space="preserve"> sample size</w:t>
      </w:r>
      <w:r w:rsidRPr="009E013A">
        <w:rPr>
          <w:rFonts w:ascii="Arial" w:hAnsi="Arial" w:cs="Arial"/>
          <w:sz w:val="22"/>
          <w:szCs w:val="22"/>
        </w:rPr>
        <w:t>. Significant group differences (</w:t>
      </w:r>
      <w:r w:rsidRPr="009E013A">
        <w:rPr>
          <w:rFonts w:ascii="Arial" w:hAnsi="Arial" w:cs="Arial"/>
          <w:i/>
          <w:sz w:val="22"/>
          <w:szCs w:val="22"/>
        </w:rPr>
        <w:t>p</w:t>
      </w:r>
      <w:r w:rsidRPr="009E013A">
        <w:rPr>
          <w:rFonts w:ascii="Arial" w:hAnsi="Arial" w:cs="Arial"/>
          <w:sz w:val="22"/>
          <w:szCs w:val="22"/>
        </w:rPr>
        <w:t xml:space="preserve"> &lt; .05 after </w:t>
      </w:r>
      <w:proofErr w:type="spellStart"/>
      <w:r w:rsidRPr="009E013A">
        <w:rPr>
          <w:rFonts w:ascii="Arial" w:hAnsi="Arial" w:cs="Arial"/>
          <w:sz w:val="22"/>
          <w:szCs w:val="22"/>
        </w:rPr>
        <w:t>Bonferroni</w:t>
      </w:r>
      <w:proofErr w:type="spellEnd"/>
      <w:r w:rsidRPr="009E013A">
        <w:rPr>
          <w:rFonts w:ascii="Arial" w:hAnsi="Arial" w:cs="Arial"/>
          <w:sz w:val="22"/>
          <w:szCs w:val="22"/>
        </w:rPr>
        <w:t xml:space="preserve"> correction) are reported for (1) </w:t>
      </w:r>
      <w:r w:rsidRPr="009E013A">
        <w:rPr>
          <w:rFonts w:ascii="Arial" w:hAnsi="Arial" w:cs="Arial"/>
          <w:i/>
          <w:sz w:val="22"/>
          <w:szCs w:val="22"/>
        </w:rPr>
        <w:t>GRIN2B</w:t>
      </w:r>
      <w:r w:rsidRPr="009E013A">
        <w:rPr>
          <w:rFonts w:ascii="Arial" w:hAnsi="Arial" w:cs="Arial"/>
          <w:sz w:val="22"/>
          <w:szCs w:val="22"/>
        </w:rPr>
        <w:t xml:space="preserve">, (2) Pathogenic, (3) ASD Low NVIQ, and (4) ASD Average NVIQ groups. </w:t>
      </w:r>
      <w:bookmarkStart w:id="0" w:name="_GoBack"/>
      <w:bookmarkEnd w:id="0"/>
    </w:p>
    <w:sectPr w:rsidR="00217EBB" w:rsidRPr="00F542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11298"/>
    <w:multiLevelType w:val="hybridMultilevel"/>
    <w:tmpl w:val="1B701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245"/>
    <w:rsid w:val="00217EBB"/>
    <w:rsid w:val="00F5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231EF"/>
  <w15:chartTrackingRefBased/>
  <w15:docId w15:val="{B8B4023A-1AFF-4B3F-9F16-CC1B8F0D4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42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245"/>
    <w:pPr>
      <w:ind w:left="720"/>
      <w:contextualSpacing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Company>Springer Nature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2020-09-18T06:20:00Z</dcterms:created>
  <dcterms:modified xsi:type="dcterms:W3CDTF">2020-09-18T06:20:00Z</dcterms:modified>
</cp:coreProperties>
</file>