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98EA0" w14:textId="77777777" w:rsidR="00EA11D8" w:rsidRDefault="00EA11D8" w:rsidP="00EA11D8">
      <w:pPr>
        <w:spacing w:line="480" w:lineRule="auto"/>
        <w:rPr>
          <w:rFonts w:ascii="Times New Roman" w:hAnsi="Times New Roman" w:cs="Times New Roman"/>
          <w:b/>
          <w:bCs/>
        </w:rPr>
      </w:pPr>
      <w:r w:rsidRPr="008D5ECB">
        <w:rPr>
          <w:rFonts w:ascii="Times New Roman" w:hAnsi="Times New Roman" w:cs="Times New Roman"/>
          <w:b/>
          <w:bCs/>
        </w:rPr>
        <w:t>Annexure</w:t>
      </w:r>
    </w:p>
    <w:p w14:paraId="38615B94" w14:textId="77777777" w:rsidR="00EA11D8" w:rsidRDefault="00EA11D8" w:rsidP="00EA11D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A: Full Sample Structural Model</w:t>
      </w:r>
    </w:p>
    <w:p w14:paraId="0A03133D" w14:textId="77777777" w:rsidR="00EA11D8" w:rsidRPr="008D5ECB" w:rsidRDefault="00EA11D8" w:rsidP="00EA11D8">
      <w:pPr>
        <w:spacing w:line="480" w:lineRule="auto"/>
        <w:rPr>
          <w:rFonts w:ascii="Times New Roman" w:hAnsi="Times New Roman" w:cs="Times New Roman"/>
        </w:rPr>
      </w:pPr>
      <w:r w:rsidRPr="008D5ECB">
        <w:rPr>
          <w:rFonts w:ascii="Times New Roman" w:hAnsi="Times New Roman" w:cs="Times New Roman"/>
        </w:rPr>
        <w:t>The following figure shows the estimated structural model for the full, ungrouped sample (N=435), with standardized path coefficients and explained variance (R2). Model fit: χ2/df = 3.743, CFI = .914, RMSEA = .079</w:t>
      </w:r>
      <w:r>
        <w:rPr>
          <w:rFonts w:ascii="Times New Roman" w:hAnsi="Times New Roman" w:cs="Times New Roman"/>
        </w:rPr>
        <w:t>, SRMR = .076</w:t>
      </w:r>
      <w:r w:rsidRPr="008D5ECB">
        <w:rPr>
          <w:rFonts w:ascii="Times New Roman" w:hAnsi="Times New Roman" w:cs="Times New Roman"/>
        </w:rPr>
        <w:t>.</w:t>
      </w:r>
    </w:p>
    <w:p w14:paraId="3305AFCD" w14:textId="77777777" w:rsidR="00EA11D8" w:rsidRDefault="00EA11D8" w:rsidP="00EA11D8">
      <w:pPr>
        <w:spacing w:line="480" w:lineRule="auto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EAFAF5E" wp14:editId="74E78F1F">
            <wp:extent cx="5731510" cy="2326640"/>
            <wp:effectExtent l="0" t="0" r="0" b="0"/>
            <wp:docPr id="1827178282" name="Picture 15" descr="A diagram of a complex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178282" name="Picture 15" descr="A diagram of a complex structur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61E7D" w14:textId="77777777" w:rsidR="00EA11D8" w:rsidRDefault="00EA11D8" w:rsidP="00EA11D8">
      <w:pPr>
        <w:rPr>
          <w:rFonts w:ascii="Times New Roman" w:hAnsi="Times New Roman" w:cs="Times New Roman"/>
        </w:rPr>
      </w:pPr>
    </w:p>
    <w:p w14:paraId="433CAB81" w14:textId="77777777" w:rsidR="00EA11D8" w:rsidRPr="005C7C8F" w:rsidRDefault="00EA11D8" w:rsidP="00EA11D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Appendix B:</w:t>
      </w:r>
      <w:r w:rsidRPr="005C7C8F">
        <w:rPr>
          <w:rFonts w:ascii="Times New Roman" w:hAnsi="Times New Roman" w:cs="Times New Roman"/>
          <w:color w:val="000000"/>
        </w:rPr>
        <w:t xml:space="preserve"> </w:t>
      </w:r>
      <w:r w:rsidRPr="009F4715">
        <w:rPr>
          <w:rFonts w:ascii="Times New Roman" w:hAnsi="Times New Roman" w:cs="Times New Roman"/>
          <w:color w:val="000000"/>
        </w:rPr>
        <w:t>AMOS “Model Fit Summary” outputs (before vs. after CLF)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417"/>
        <w:gridCol w:w="1276"/>
        <w:gridCol w:w="1276"/>
        <w:gridCol w:w="1417"/>
        <w:gridCol w:w="1417"/>
      </w:tblGrid>
      <w:tr w:rsidR="00EA11D8" w:rsidRPr="009F4715" w14:paraId="3672CC4A" w14:textId="77777777" w:rsidTr="00885559">
        <w:tc>
          <w:tcPr>
            <w:tcW w:w="2122" w:type="dxa"/>
            <w:shd w:val="clear" w:color="auto" w:fill="D9D9D9" w:themeFill="background1" w:themeFillShade="D9"/>
            <w:hideMark/>
          </w:tcPr>
          <w:p w14:paraId="098C44B7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Model</w:t>
            </w:r>
          </w:p>
        </w:tc>
        <w:tc>
          <w:tcPr>
            <w:tcW w:w="1417" w:type="dxa"/>
            <w:shd w:val="clear" w:color="auto" w:fill="D9D9D9" w:themeFill="background1" w:themeFillShade="D9"/>
            <w:hideMark/>
          </w:tcPr>
          <w:p w14:paraId="6534D394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χ²/df</w:t>
            </w:r>
          </w:p>
        </w:tc>
        <w:tc>
          <w:tcPr>
            <w:tcW w:w="1276" w:type="dxa"/>
            <w:shd w:val="clear" w:color="auto" w:fill="D9D9D9" w:themeFill="background1" w:themeFillShade="D9"/>
            <w:hideMark/>
          </w:tcPr>
          <w:p w14:paraId="36A5D053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CFI</w:t>
            </w:r>
          </w:p>
        </w:tc>
        <w:tc>
          <w:tcPr>
            <w:tcW w:w="1276" w:type="dxa"/>
            <w:shd w:val="clear" w:color="auto" w:fill="D9D9D9" w:themeFill="background1" w:themeFillShade="D9"/>
            <w:hideMark/>
          </w:tcPr>
          <w:p w14:paraId="1235C7C9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TLI</w:t>
            </w:r>
          </w:p>
        </w:tc>
        <w:tc>
          <w:tcPr>
            <w:tcW w:w="1417" w:type="dxa"/>
            <w:shd w:val="clear" w:color="auto" w:fill="D9D9D9" w:themeFill="background1" w:themeFillShade="D9"/>
            <w:hideMark/>
          </w:tcPr>
          <w:p w14:paraId="343E365F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RMSEA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1B8B7DF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SRMR</w:t>
            </w:r>
          </w:p>
        </w:tc>
      </w:tr>
      <w:tr w:rsidR="00EA11D8" w:rsidRPr="009F4715" w14:paraId="445928E5" w14:textId="77777777" w:rsidTr="00885559">
        <w:tc>
          <w:tcPr>
            <w:tcW w:w="2122" w:type="dxa"/>
            <w:hideMark/>
          </w:tcPr>
          <w:p w14:paraId="6D140A66" w14:textId="77777777" w:rsidR="00EA11D8" w:rsidRPr="009F4715" w:rsidRDefault="00EA11D8" w:rsidP="0088555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Baseline CFA</w:t>
            </w:r>
          </w:p>
        </w:tc>
        <w:tc>
          <w:tcPr>
            <w:tcW w:w="1417" w:type="dxa"/>
            <w:hideMark/>
          </w:tcPr>
          <w:p w14:paraId="34DFCAE4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3.290</w:t>
            </w:r>
          </w:p>
        </w:tc>
        <w:tc>
          <w:tcPr>
            <w:tcW w:w="1276" w:type="dxa"/>
            <w:hideMark/>
          </w:tcPr>
          <w:p w14:paraId="08774C99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.892</w:t>
            </w:r>
          </w:p>
        </w:tc>
        <w:tc>
          <w:tcPr>
            <w:tcW w:w="1276" w:type="dxa"/>
            <w:hideMark/>
          </w:tcPr>
          <w:p w14:paraId="63C22CCC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.873</w:t>
            </w:r>
          </w:p>
        </w:tc>
        <w:tc>
          <w:tcPr>
            <w:tcW w:w="1417" w:type="dxa"/>
            <w:hideMark/>
          </w:tcPr>
          <w:p w14:paraId="2B3D7630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.073</w:t>
            </w:r>
          </w:p>
        </w:tc>
        <w:tc>
          <w:tcPr>
            <w:tcW w:w="1417" w:type="dxa"/>
          </w:tcPr>
          <w:p w14:paraId="6FEBCE60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.077</w:t>
            </w:r>
          </w:p>
        </w:tc>
      </w:tr>
      <w:tr w:rsidR="00EA11D8" w:rsidRPr="009F4715" w14:paraId="652C592E" w14:textId="77777777" w:rsidTr="00885559">
        <w:tc>
          <w:tcPr>
            <w:tcW w:w="2122" w:type="dxa"/>
            <w:hideMark/>
          </w:tcPr>
          <w:p w14:paraId="2B82A1F3" w14:textId="77777777" w:rsidR="00EA11D8" w:rsidRPr="009F4715" w:rsidRDefault="00EA11D8" w:rsidP="0088555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CFA + CLF</w:t>
            </w:r>
          </w:p>
        </w:tc>
        <w:tc>
          <w:tcPr>
            <w:tcW w:w="1417" w:type="dxa"/>
            <w:hideMark/>
          </w:tcPr>
          <w:p w14:paraId="4D8BA910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3.342</w:t>
            </w:r>
          </w:p>
        </w:tc>
        <w:tc>
          <w:tcPr>
            <w:tcW w:w="1276" w:type="dxa"/>
            <w:hideMark/>
          </w:tcPr>
          <w:p w14:paraId="01E1B717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.892</w:t>
            </w:r>
          </w:p>
        </w:tc>
        <w:tc>
          <w:tcPr>
            <w:tcW w:w="1276" w:type="dxa"/>
            <w:hideMark/>
          </w:tcPr>
          <w:p w14:paraId="4B398C86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.871</w:t>
            </w:r>
          </w:p>
        </w:tc>
        <w:tc>
          <w:tcPr>
            <w:tcW w:w="1417" w:type="dxa"/>
            <w:hideMark/>
          </w:tcPr>
          <w:p w14:paraId="79D0E019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.073</w:t>
            </w:r>
          </w:p>
        </w:tc>
        <w:tc>
          <w:tcPr>
            <w:tcW w:w="1417" w:type="dxa"/>
          </w:tcPr>
          <w:p w14:paraId="5D3213BE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.076</w:t>
            </w:r>
          </w:p>
        </w:tc>
      </w:tr>
      <w:tr w:rsidR="00EA11D8" w:rsidRPr="009F4715" w14:paraId="3971A0F7" w14:textId="77777777" w:rsidTr="00885559">
        <w:tc>
          <w:tcPr>
            <w:tcW w:w="2122" w:type="dxa"/>
            <w:hideMark/>
          </w:tcPr>
          <w:p w14:paraId="71662EE5" w14:textId="77777777" w:rsidR="00EA11D8" w:rsidRPr="009F4715" w:rsidRDefault="00EA11D8" w:rsidP="00885559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Δ (CLF–Base)</w:t>
            </w:r>
          </w:p>
        </w:tc>
        <w:tc>
          <w:tcPr>
            <w:tcW w:w="1417" w:type="dxa"/>
            <w:hideMark/>
          </w:tcPr>
          <w:p w14:paraId="78220AB0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1276" w:type="dxa"/>
            <w:hideMark/>
          </w:tcPr>
          <w:p w14:paraId="4D00F9BF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.000</w:t>
            </w:r>
          </w:p>
        </w:tc>
        <w:tc>
          <w:tcPr>
            <w:tcW w:w="1276" w:type="dxa"/>
            <w:hideMark/>
          </w:tcPr>
          <w:p w14:paraId="3979FF4F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-.002</w:t>
            </w:r>
          </w:p>
        </w:tc>
        <w:tc>
          <w:tcPr>
            <w:tcW w:w="1417" w:type="dxa"/>
            <w:hideMark/>
          </w:tcPr>
          <w:p w14:paraId="18445B42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9F4715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.000</w:t>
            </w:r>
          </w:p>
        </w:tc>
        <w:tc>
          <w:tcPr>
            <w:tcW w:w="1417" w:type="dxa"/>
          </w:tcPr>
          <w:p w14:paraId="116DB97D" w14:textId="77777777" w:rsidR="00EA11D8" w:rsidRPr="009F4715" w:rsidRDefault="00EA11D8" w:rsidP="0088555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-.001</w:t>
            </w:r>
          </w:p>
        </w:tc>
      </w:tr>
    </w:tbl>
    <w:p w14:paraId="5738F22E" w14:textId="77777777" w:rsidR="00EA11D8" w:rsidRPr="003A2BEB" w:rsidRDefault="00EA11D8" w:rsidP="00EA11D8">
      <w:pPr>
        <w:spacing w:line="480" w:lineRule="auto"/>
        <w:rPr>
          <w:rFonts w:ascii="Times New Roman" w:hAnsi="Times New Roman" w:cs="Times New Roman"/>
        </w:rPr>
      </w:pPr>
      <w:r w:rsidRPr="003A2BEB">
        <w:rPr>
          <w:rFonts w:ascii="Times New Roman" w:hAnsi="Times New Roman" w:cs="Times New Roman"/>
          <w:color w:val="000000"/>
        </w:rPr>
        <w:t>Fit changed trivially (ΔCFI = .000; ΔSRMR = −.001), indicating CMV is unlikely to bias estimates.</w:t>
      </w:r>
    </w:p>
    <w:p w14:paraId="3C5E696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1D8"/>
    <w:rsid w:val="005C0D39"/>
    <w:rsid w:val="0070406C"/>
    <w:rsid w:val="00724754"/>
    <w:rsid w:val="00B22898"/>
    <w:rsid w:val="00C321FA"/>
    <w:rsid w:val="00EA11D8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FC62"/>
  <w15:chartTrackingRefBased/>
  <w15:docId w15:val="{FF666D9B-A252-4301-BA4D-2678D6BD1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1D8"/>
    <w:pPr>
      <w:spacing w:after="0" w:line="240" w:lineRule="auto"/>
    </w:pPr>
    <w:rPr>
      <w:rFonts w:cs="Arial Unicode MS"/>
      <w:kern w:val="0"/>
      <w:lang w:bidi="si-L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1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1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1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1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1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1D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1D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1D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1D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1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1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1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1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1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1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1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1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1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1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1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1D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11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1D8"/>
    <w:pPr>
      <w:spacing w:before="160" w:after="160" w:line="278" w:lineRule="auto"/>
      <w:jc w:val="center"/>
    </w:pPr>
    <w:rPr>
      <w:rFonts w:cstheme="minorBidi"/>
      <w:i/>
      <w:iCs/>
      <w:color w:val="404040" w:themeColor="text1" w:themeTint="BF"/>
      <w:kern w:val="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11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1D8"/>
    <w:pPr>
      <w:spacing w:after="160" w:line="278" w:lineRule="auto"/>
      <w:ind w:left="720"/>
      <w:contextualSpacing/>
    </w:pPr>
    <w:rPr>
      <w:rFonts w:cstheme="minorBidi"/>
      <w:kern w:val="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11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1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1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1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A11D8"/>
    <w:pPr>
      <w:spacing w:after="0" w:line="240" w:lineRule="auto"/>
    </w:pPr>
    <w:rPr>
      <w:kern w:val="0"/>
      <w:lang w:bidi="si-L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2025-09-23T06:09:00Z</dcterms:created>
  <dcterms:modified xsi:type="dcterms:W3CDTF">2025-09-23T06:09:00Z</dcterms:modified>
</cp:coreProperties>
</file>