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7B5A" w:rsidRPr="00786D08" w:rsidRDefault="00707B5A" w:rsidP="00707B5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6D08">
        <w:rPr>
          <w:rFonts w:ascii="Times New Roman" w:hAnsi="Times New Roman" w:cs="Times New Roman"/>
          <w:b/>
          <w:bCs/>
          <w:sz w:val="24"/>
          <w:szCs w:val="24"/>
        </w:rPr>
        <w:t>Supplemental Figure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86D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07B5A" w:rsidRDefault="00707B5A" w:rsidP="00707B5A">
      <w:pPr>
        <w:jc w:val="center"/>
      </w:pPr>
    </w:p>
    <w:p w:rsidR="00707B5A" w:rsidRDefault="00707B5A" w:rsidP="00707B5A">
      <w:pPr>
        <w:jc w:val="center"/>
        <w:rPr>
          <w:noProof/>
        </w:rPr>
      </w:pPr>
      <w:r>
        <w:rPr>
          <w:noProof/>
          <w:lang w:val="en-US"/>
        </w:rPr>
        <w:drawing>
          <wp:inline distT="0" distB="0" distL="0" distR="0" wp14:anchorId="414A1B23" wp14:editId="52FFDAD1">
            <wp:extent cx="2901696" cy="2350008"/>
            <wp:effectExtent l="0" t="0" r="0" b="0"/>
            <wp:docPr id="7" name="Imagem 7" descr="Gráfico, Gráfico de linh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Gráfico, Gráfico de linhas&#10;&#10;Descrição gerad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1696" cy="235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B5A" w:rsidRPr="002B52B0" w:rsidRDefault="00707B5A" w:rsidP="00707B5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52B0">
        <w:rPr>
          <w:rFonts w:ascii="Times New Roman" w:hAnsi="Times New Roman" w:cs="Times New Roman"/>
          <w:b/>
          <w:bCs/>
          <w:sz w:val="24"/>
          <w:szCs w:val="24"/>
          <w:u w:color="FF0000"/>
          <w:lang w:val="en-US"/>
        </w:rPr>
        <w:t>Supplemental</w:t>
      </w:r>
      <w:r w:rsidRPr="002B52B0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/>
        </w:rPr>
        <w:t xml:space="preserve"> Fig. 1</w:t>
      </w:r>
      <w:r w:rsidRPr="002B52B0">
        <w:rPr>
          <w:rFonts w:ascii="Times New Roman" w:hAnsi="Times New Roman" w:cs="Times New Roman"/>
          <w:sz w:val="24"/>
          <w:szCs w:val="24"/>
          <w:lang w:val="en-US"/>
        </w:rPr>
        <w:t xml:space="preserve"> Levels of antibody against mBSA in the serum of immunized and </w:t>
      </w:r>
      <w:r>
        <w:rPr>
          <w:rFonts w:ascii="Times New Roman" w:hAnsi="Times New Roman" w:cs="Times New Roman"/>
          <w:sz w:val="24"/>
          <w:szCs w:val="24"/>
          <w:lang w:val="en-US"/>
        </w:rPr>
        <w:t>Non</w:t>
      </w:r>
      <w:r w:rsidRPr="002B52B0">
        <w:rPr>
          <w:rFonts w:ascii="Times New Roman" w:hAnsi="Times New Roman" w:cs="Times New Roman"/>
          <w:sz w:val="24"/>
          <w:szCs w:val="24"/>
          <w:lang w:val="en-US"/>
        </w:rPr>
        <w:t xml:space="preserve">-immunized mice 24 h after mBSA challenge. mBSA (30 µg in 25 µL) was injected into the left tibio-femural joint of immunized mice. </w:t>
      </w:r>
      <w:r>
        <w:rPr>
          <w:rFonts w:ascii="Times New Roman" w:hAnsi="Times New Roman" w:cs="Times New Roman"/>
          <w:sz w:val="24"/>
          <w:szCs w:val="24"/>
          <w:lang w:val="en-US"/>
        </w:rPr>
        <w:t>Non</w:t>
      </w:r>
      <w:r w:rsidRPr="002B52B0">
        <w:rPr>
          <w:rFonts w:ascii="Times New Roman" w:hAnsi="Times New Roman" w:cs="Times New Roman"/>
          <w:sz w:val="24"/>
          <w:szCs w:val="24"/>
          <w:lang w:val="en-US"/>
        </w:rPr>
        <w:t xml:space="preserve">-immunized mice also were challenged i.a. with mBSA. The results are presented as the means ± </w:t>
      </w:r>
      <w:bookmarkStart w:id="0" w:name="_Hlk65519385"/>
      <w:r w:rsidRPr="002B52B0">
        <w:rPr>
          <w:rFonts w:ascii="Times New Roman" w:hAnsi="Times New Roman" w:cs="Times New Roman"/>
          <w:sz w:val="24"/>
          <w:szCs w:val="24"/>
          <w:lang w:val="en-US"/>
        </w:rPr>
        <w:t>SEM</w:t>
      </w:r>
      <w:bookmarkEnd w:id="0"/>
      <w:r w:rsidRPr="002B52B0">
        <w:rPr>
          <w:rFonts w:ascii="Times New Roman" w:hAnsi="Times New Roman" w:cs="Times New Roman"/>
          <w:sz w:val="24"/>
          <w:szCs w:val="24"/>
          <w:lang w:val="en-US"/>
        </w:rPr>
        <w:t xml:space="preserve"> of seven mice per group per experiment and are representative of two separate experiments [*p ≤ 0.05 compared to the </w:t>
      </w:r>
      <w:r w:rsidRPr="002B52B0">
        <w:rPr>
          <w:rFonts w:ascii="Times New Roman" w:hAnsi="Times New Roman" w:cs="Times New Roman"/>
          <w:sz w:val="24"/>
          <w:szCs w:val="24"/>
          <w:u w:val="single"/>
          <w:lang w:val="en-US"/>
        </w:rPr>
        <w:t>saline</w:t>
      </w:r>
      <w:r w:rsidRPr="002B52B0">
        <w:rPr>
          <w:rFonts w:ascii="Times New Roman" w:hAnsi="Times New Roman" w:cs="Times New Roman"/>
          <w:sz w:val="24"/>
          <w:szCs w:val="24"/>
          <w:lang w:val="en-US"/>
        </w:rPr>
        <w:t xml:space="preserve"> group; +p ≤ 0.05 compared to the immunized mBSA group (one-way ANOVA followed by Student−Newman−Keuls)]. </w:t>
      </w:r>
    </w:p>
    <w:p w:rsidR="00707B5A" w:rsidRPr="007C6C06" w:rsidRDefault="00707B5A" w:rsidP="00707B5A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:rsidR="00707B5A" w:rsidRDefault="00707B5A" w:rsidP="00707B5A">
      <w:pPr>
        <w:tabs>
          <w:tab w:val="left" w:pos="2700"/>
        </w:tabs>
        <w:rPr>
          <w:noProof/>
        </w:rPr>
      </w:pPr>
      <w:r>
        <w:rPr>
          <w:noProof/>
          <w:lang w:val="en-US"/>
        </w:rPr>
        <w:drawing>
          <wp:inline distT="0" distB="0" distL="0" distR="0" wp14:anchorId="3C7A5A3E" wp14:editId="3CE4DFF4">
            <wp:extent cx="5400040" cy="3042920"/>
            <wp:effectExtent l="0" t="0" r="0" b="5080"/>
            <wp:docPr id="8" name="Imagem 8" descr="Diagrama, Esquemát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Diagrama, Esquemático&#10;&#10;Descrição gerad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4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B5A" w:rsidRPr="002B52B0" w:rsidRDefault="00707B5A" w:rsidP="00707B5A">
      <w:pPr>
        <w:spacing w:line="276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</w:pPr>
      <w:r w:rsidRPr="002B52B0">
        <w:rPr>
          <w:rFonts w:ascii="Times New Roman" w:hAnsi="Times New Roman" w:cs="Times New Roman"/>
          <w:b/>
          <w:bCs/>
          <w:sz w:val="24"/>
          <w:szCs w:val="24"/>
          <w:u w:color="FF0000"/>
          <w:lang w:val="en-US"/>
        </w:rPr>
        <w:lastRenderedPageBreak/>
        <w:t>Supplemental</w:t>
      </w:r>
      <w:r w:rsidRPr="002B52B0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/>
        </w:rPr>
        <w:t xml:space="preserve"> Fig. 2</w:t>
      </w:r>
      <w:r w:rsidRPr="002B52B0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t xml:space="preserve"> Effect of MG on osteoclast differentiation and expression of osteoclastogenic markers.  (A-D) Mouse bone marrow macrophage (BMMs) were cultured with osteoclastic media in the presence of the indicated concentration of MG (3, 10, 30 or 100 µM). (A) Multinucleated TRAP-positive cells containing more than three nuclei were considered mature osteoclast and were counted and the area was measured. The cells were photographed under a light microscope at the magnification (10 ×). The mRNA expression of NFATc1 (E), Itgb3 (F) and CTR (G) was analyzed by quantitative PCR (RT-PCR). The results are presented as the means ± SEM and are representative of two separate experiments [*p ≤ 0.05 compared to untreated and treated mice (one-way ANOVA followed by Student−Newman−Keuls or t-test)].</w:t>
      </w:r>
    </w:p>
    <w:p w:rsidR="00F4526F" w:rsidRDefault="00F4526F">
      <w:bookmarkStart w:id="1" w:name="_GoBack"/>
      <w:bookmarkEnd w:id="1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B5A"/>
    <w:rsid w:val="003A0A23"/>
    <w:rsid w:val="00707B5A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475F6A-6E99-4041-8112-B9FDFB55D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7B5A"/>
    <w:pPr>
      <w:spacing w:after="160" w:line="259" w:lineRule="auto"/>
    </w:pPr>
    <w:rPr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1175</Characters>
  <Application>Microsoft Office Word</Application>
  <DocSecurity>0</DocSecurity>
  <Lines>9</Lines>
  <Paragraphs>2</Paragraphs>
  <ScaleCrop>false</ScaleCrop>
  <Company>Springer Nature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2021-10-18T06:38:00Z</dcterms:created>
  <dcterms:modified xsi:type="dcterms:W3CDTF">2021-10-18T06:38:00Z</dcterms:modified>
</cp:coreProperties>
</file>