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323" w:rsidRDefault="00A630A2" w:rsidP="00A630A2">
      <w:pPr>
        <w:spacing w:line="360" w:lineRule="auto"/>
        <w:jc w:val="both"/>
      </w:pPr>
      <w:r w:rsidRPr="00C61156">
        <w:rPr>
          <w:rStyle w:val="Emphasis"/>
          <w:rFonts w:ascii="Times New Roman" w:hAnsi="Times New Roman"/>
          <w:bCs/>
          <w:i w:val="0"/>
          <w:iCs w:val="0"/>
        </w:rPr>
        <w:t>Supplementary Table S1</w:t>
      </w:r>
      <w:r>
        <w:rPr>
          <w:rStyle w:val="Emphasis"/>
          <w:i w:val="0"/>
          <w:iCs w:val="0"/>
        </w:rPr>
        <w:t>: Important physicochemical properties of selected phytochemicals</w:t>
      </w:r>
    </w:p>
    <w:p w:rsidR="00A630A2" w:rsidRDefault="00A630A2"/>
    <w:tbl>
      <w:tblPr>
        <w:tblW w:w="5000" w:type="pct"/>
        <w:tblInd w:w="-10" w:type="dxa"/>
        <w:tblLayout w:type="fixed"/>
        <w:tblCellMar>
          <w:left w:w="5" w:type="dxa"/>
          <w:right w:w="5" w:type="dxa"/>
        </w:tblCellMar>
        <w:tblLook w:val="0000"/>
      </w:tblPr>
      <w:tblGrid>
        <w:gridCol w:w="1165"/>
        <w:gridCol w:w="2254"/>
        <w:gridCol w:w="1213"/>
        <w:gridCol w:w="829"/>
        <w:gridCol w:w="947"/>
        <w:gridCol w:w="633"/>
        <w:gridCol w:w="1201"/>
        <w:gridCol w:w="1128"/>
      </w:tblGrid>
      <w:tr w:rsidR="00D03323">
        <w:trPr>
          <w:trHeight w:val="676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Sl. No.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Phytochemical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widowControl w:val="0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Pubchem     CID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MW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XLogP3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HBD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NR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α-Thujene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12444324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2.800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α-Pinene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6654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2.800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Camphene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6616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3.300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Sabinene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10887971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β-Pinene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14896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2.3-dehydro 1.8-cineole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523035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152.230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1.900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7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α-Phellandrene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7460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3.200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α-Terpinene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7462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2.800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9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p-Cymene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7463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134.220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1,8-Cineole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2758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154.250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2.500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Limonene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22311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3.400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γ-Terpinene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7461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2.800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Terpinolene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11463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2.800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β-Linalool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6549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154.250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2.700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α-Thujone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261491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152.230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2.300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Camphor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2537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152.230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2.200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17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Verbenol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61126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152.230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1.600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Borneol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6552009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154.250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2.700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19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3-Thujen-2-one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91195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150.220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1.600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Terpinen-4-ol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11230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154.250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2.200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p-Cymene-8-ol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14529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150.220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2.000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Myrtenol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10582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152.230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1.600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α-Terpineol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17100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154.250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1.800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Trans-piperitol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85568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154.250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p-Cumenol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7465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136.190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2.900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lastRenderedPageBreak/>
              <w:t>26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Cis-piperitol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85567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154.250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27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Cuminaldehyde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326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148.200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2.700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Carvyl acetate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7335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194.270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2.600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29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Cumic alcohol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325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150.220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2.300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Carvacrol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10364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150.220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Thymol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6989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150.220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3.300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Bornyl acetate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6448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196.290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3.300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Terpinen-4-ol acetate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68749986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462.700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6.000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Sabinyl acetate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94266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194.270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2.400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Perillic alcohol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10819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152.230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α-Terpineol acetate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111037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196.290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2.400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37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Eugenol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3314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164.200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2.000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38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β-Caryophyllene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5281515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204.350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4.400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39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Calamenene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6429077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202.330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5.100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α-Calacorene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12302243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200.320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4.400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Caryophyllene oxide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1742210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220.350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3.600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Cadalene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10225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198.300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5.600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Sclareol oxide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7057250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262.400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5.700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0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44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Sclareol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163263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308.500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4.900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</w:t>
            </w:r>
          </w:p>
        </w:tc>
      </w:tr>
      <w:tr w:rsidR="00D03323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</w:pPr>
            <w:r>
              <w:t>Native ligand(3-oxo-C12-HSL)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right"/>
            </w:pPr>
            <w:r>
              <w:t>3246941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297.390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4.100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323" w:rsidRDefault="00CA2941">
            <w:pPr>
              <w:pStyle w:val="TableContents"/>
              <w:spacing w:line="360" w:lineRule="auto"/>
              <w:jc w:val="both"/>
            </w:pPr>
            <w:r>
              <w:t>11</w:t>
            </w:r>
          </w:p>
        </w:tc>
      </w:tr>
    </w:tbl>
    <w:p w:rsidR="00D03323" w:rsidRDefault="00D03323">
      <w:pPr>
        <w:spacing w:line="360" w:lineRule="auto"/>
        <w:jc w:val="both"/>
      </w:pPr>
    </w:p>
    <w:p w:rsidR="004121FC" w:rsidRDefault="004121FC" w:rsidP="00A630A2">
      <w:pPr>
        <w:spacing w:line="276" w:lineRule="auto"/>
        <w:jc w:val="both"/>
      </w:pPr>
    </w:p>
    <w:p w:rsidR="00D03323" w:rsidRDefault="00CA2941" w:rsidP="00A630A2">
      <w:pPr>
        <w:spacing w:line="276" w:lineRule="auto"/>
        <w:jc w:val="both"/>
      </w:pPr>
      <w:r>
        <w:rPr>
          <w:rStyle w:val="Emphasis"/>
          <w:b/>
          <w:bCs/>
          <w:i w:val="0"/>
          <w:iCs w:val="0"/>
        </w:rPr>
        <w:t>MW</w:t>
      </w:r>
      <w:r>
        <w:rPr>
          <w:rStyle w:val="Emphasis"/>
          <w:i w:val="0"/>
          <w:iCs w:val="0"/>
        </w:rPr>
        <w:t xml:space="preserve">: Molecular Weight in Daltons, </w:t>
      </w:r>
      <w:r>
        <w:rPr>
          <w:rStyle w:val="Emphasis"/>
          <w:b/>
          <w:bCs/>
          <w:i w:val="0"/>
          <w:iCs w:val="0"/>
        </w:rPr>
        <w:t>XlogP3</w:t>
      </w:r>
      <w:r>
        <w:rPr>
          <w:rStyle w:val="Emphasis"/>
          <w:i w:val="0"/>
          <w:iCs w:val="0"/>
        </w:rPr>
        <w:t xml:space="preserve">: Partition coefficient, </w:t>
      </w:r>
      <w:r>
        <w:rPr>
          <w:rStyle w:val="Emphasis"/>
          <w:b/>
          <w:bCs/>
          <w:i w:val="0"/>
          <w:iCs w:val="0"/>
        </w:rPr>
        <w:t>HBD</w:t>
      </w:r>
      <w:r>
        <w:rPr>
          <w:rStyle w:val="Emphasis"/>
          <w:i w:val="0"/>
          <w:iCs w:val="0"/>
        </w:rPr>
        <w:t>: Hydrogen Bond Donor</w:t>
      </w:r>
    </w:p>
    <w:p w:rsidR="00D03323" w:rsidRDefault="00CA2941" w:rsidP="00A630A2">
      <w:pPr>
        <w:spacing w:line="276" w:lineRule="auto"/>
        <w:jc w:val="both"/>
      </w:pPr>
      <w:r>
        <w:rPr>
          <w:rStyle w:val="Emphasis"/>
          <w:i w:val="0"/>
          <w:iCs w:val="0"/>
        </w:rPr>
        <w:t xml:space="preserve">count, </w:t>
      </w:r>
      <w:r>
        <w:rPr>
          <w:rStyle w:val="Emphasis"/>
          <w:b/>
          <w:bCs/>
          <w:i w:val="0"/>
          <w:iCs w:val="0"/>
        </w:rPr>
        <w:t>HBA</w:t>
      </w:r>
      <w:r>
        <w:rPr>
          <w:rStyle w:val="Emphasis"/>
          <w:i w:val="0"/>
          <w:iCs w:val="0"/>
        </w:rPr>
        <w:t xml:space="preserve">: Hydrogen Bond Acceptor count, </w:t>
      </w:r>
      <w:r>
        <w:rPr>
          <w:rStyle w:val="Emphasis"/>
          <w:b/>
          <w:bCs/>
          <w:i w:val="0"/>
          <w:iCs w:val="0"/>
        </w:rPr>
        <w:t>NR</w:t>
      </w:r>
      <w:r>
        <w:rPr>
          <w:rStyle w:val="Emphasis"/>
          <w:i w:val="0"/>
          <w:iCs w:val="0"/>
        </w:rPr>
        <w:t>: Number of Rotatable bonds</w:t>
      </w:r>
    </w:p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CA2941">
      <w:r>
        <w:rPr>
          <w:noProof/>
          <w:lang w:val="en-US" w:eastAsia="en-US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1066800</wp:posOffset>
            </wp:positionH>
            <wp:positionV relativeFrom="paragraph">
              <wp:posOffset>167640</wp:posOffset>
            </wp:positionV>
            <wp:extent cx="3581400" cy="348488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066" r="9188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D03323"/>
    <w:p w:rsidR="00D03323" w:rsidRDefault="00CA2941" w:rsidP="00A630A2">
      <w:pPr>
        <w:spacing w:line="276" w:lineRule="auto"/>
        <w:jc w:val="both"/>
      </w:pPr>
      <w:r w:rsidRPr="00265121">
        <w:rPr>
          <w:bCs/>
        </w:rPr>
        <w:t>Supplementary Fig. 1</w:t>
      </w:r>
      <w:r w:rsidR="00265121">
        <w:rPr>
          <w:b/>
          <w:bCs/>
        </w:rPr>
        <w:t>.</w:t>
      </w:r>
      <w:r>
        <w:t xml:space="preserve"> Mutation site in the loop region of the modelled LasR_Var2 (</w:t>
      </w:r>
      <w:r w:rsidR="00334973">
        <w:t>Cyan) upon alignment with LasR_C</w:t>
      </w:r>
      <w:r>
        <w:t>an using PDB ID-6MWZ as template</w:t>
      </w:r>
    </w:p>
    <w:p w:rsidR="00D03323" w:rsidRDefault="00D03323"/>
    <w:p w:rsidR="00D03323" w:rsidRDefault="00F941B7">
      <w:r>
        <w:rPr>
          <w:noProof/>
          <w:lang w:val="en-US" w:eastAsia="en-US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-233045</wp:posOffset>
            </wp:positionH>
            <wp:positionV relativeFrom="paragraph">
              <wp:posOffset>382270</wp:posOffset>
            </wp:positionV>
            <wp:extent cx="6049010" cy="2365375"/>
            <wp:effectExtent l="19050" t="0" r="8890" b="0"/>
            <wp:wrapSquare wrapText="largest"/>
            <wp:docPr id="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97" r="1032" b="2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323" w:rsidRDefault="00D03323"/>
    <w:p w:rsidR="00D03323" w:rsidRDefault="00D03323"/>
    <w:p w:rsidR="00D03323" w:rsidRDefault="00D03323"/>
    <w:p w:rsidR="00D03323" w:rsidRDefault="00CA2941"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-142240</wp:posOffset>
            </wp:positionH>
            <wp:positionV relativeFrom="paragraph">
              <wp:posOffset>36830</wp:posOffset>
            </wp:positionV>
            <wp:extent cx="6090920" cy="2286000"/>
            <wp:effectExtent l="0" t="0" r="0" b="0"/>
            <wp:wrapSquare wrapText="largest"/>
            <wp:docPr id="3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818" r="372" b="2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323" w:rsidRDefault="00D03323"/>
    <w:p w:rsidR="00D03323" w:rsidRDefault="00CA2941">
      <w:r>
        <w:rPr>
          <w:noProof/>
          <w:lang w:val="en-US" w:eastAsia="en-US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44450</wp:posOffset>
            </wp:positionH>
            <wp:positionV relativeFrom="paragraph">
              <wp:posOffset>13335</wp:posOffset>
            </wp:positionV>
            <wp:extent cx="5983605" cy="2454910"/>
            <wp:effectExtent l="0" t="0" r="0" b="0"/>
            <wp:wrapSquare wrapText="largest"/>
            <wp:docPr id="4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3" t="3112" r="600" b="3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323" w:rsidRDefault="00CA2941" w:rsidP="00A630A2">
      <w:pPr>
        <w:spacing w:line="276" w:lineRule="auto"/>
        <w:jc w:val="both"/>
      </w:pPr>
      <w:r w:rsidRPr="00265121">
        <w:rPr>
          <w:bCs/>
        </w:rPr>
        <w:t>Supplementary Fig. 2</w:t>
      </w:r>
      <w:r w:rsidR="00265121">
        <w:rPr>
          <w:b/>
          <w:bCs/>
        </w:rPr>
        <w:t>.</w:t>
      </w:r>
      <w:r w:rsidR="00334973">
        <w:rPr>
          <w:b/>
          <w:bCs/>
        </w:rPr>
        <w:t xml:space="preserve"> </w:t>
      </w:r>
      <w:r>
        <w:t>Ramachandran plot, Ramachandran plot statistics and Z score of the modelled proteins; LasR_Can(</w:t>
      </w:r>
      <w:r w:rsidRPr="00265121">
        <w:rPr>
          <w:bCs/>
        </w:rPr>
        <w:t>A,B,C</w:t>
      </w:r>
      <w:r>
        <w:t>), LasR_Var1</w:t>
      </w:r>
      <w:r>
        <w:rPr>
          <w:b/>
          <w:bCs/>
        </w:rPr>
        <w:t>(</w:t>
      </w:r>
      <w:r w:rsidRPr="00265121">
        <w:rPr>
          <w:bCs/>
        </w:rPr>
        <w:t>D,E,F</w:t>
      </w:r>
      <w:r>
        <w:rPr>
          <w:b/>
          <w:bCs/>
        </w:rPr>
        <w:t>)</w:t>
      </w:r>
      <w:r>
        <w:t>, LasR_Var2(</w:t>
      </w:r>
      <w:r w:rsidRPr="00265121">
        <w:rPr>
          <w:bCs/>
        </w:rPr>
        <w:t>G,H,I</w:t>
      </w:r>
      <w:r>
        <w:rPr>
          <w:b/>
          <w:bCs/>
        </w:rPr>
        <w:t xml:space="preserve">) </w:t>
      </w:r>
      <w:r>
        <w:t xml:space="preserve">of </w:t>
      </w:r>
      <w:r>
        <w:rPr>
          <w:i/>
          <w:iCs/>
        </w:rPr>
        <w:t>P.</w:t>
      </w:r>
      <w:r w:rsidR="00A630A2">
        <w:rPr>
          <w:i/>
          <w:iCs/>
        </w:rPr>
        <w:t xml:space="preserve"> </w:t>
      </w:r>
      <w:r>
        <w:rPr>
          <w:i/>
          <w:iCs/>
        </w:rPr>
        <w:t>aeruginosa</w:t>
      </w:r>
    </w:p>
    <w:p w:rsidR="00D03323" w:rsidRDefault="00D03323">
      <w:pPr>
        <w:spacing w:line="360" w:lineRule="auto"/>
        <w:jc w:val="both"/>
        <w:rPr>
          <w:b/>
          <w:bCs/>
        </w:rPr>
      </w:pPr>
    </w:p>
    <w:p w:rsidR="00D03323" w:rsidRDefault="00D03323">
      <w:pPr>
        <w:spacing w:line="360" w:lineRule="auto"/>
        <w:jc w:val="both"/>
        <w:rPr>
          <w:b/>
          <w:bCs/>
        </w:rPr>
      </w:pPr>
    </w:p>
    <w:p w:rsidR="00D03323" w:rsidRDefault="00CA2941" w:rsidP="00A630A2">
      <w:pPr>
        <w:spacing w:line="276" w:lineRule="auto"/>
        <w:jc w:val="both"/>
      </w:pPr>
      <w:r w:rsidRPr="00265121">
        <w:rPr>
          <w:noProof/>
          <w:lang w:val="en-US" w:eastAsia="en-US" w:bidi="ar-SA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75565</wp:posOffset>
            </wp:positionV>
            <wp:extent cx="5845175" cy="3506470"/>
            <wp:effectExtent l="0" t="0" r="0" b="0"/>
            <wp:wrapSquare wrapText="largest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50" t="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5121">
        <w:rPr>
          <w:bCs/>
        </w:rPr>
        <w:t>Supplementary Fig. 3</w:t>
      </w:r>
      <w:r w:rsidR="00265121" w:rsidRPr="00265121">
        <w:rPr>
          <w:bCs/>
        </w:rPr>
        <w:t>.</w:t>
      </w:r>
      <w:r w:rsidR="00265121">
        <w:rPr>
          <w:b/>
          <w:bCs/>
        </w:rPr>
        <w:t xml:space="preserve"> </w:t>
      </w:r>
      <w:r>
        <w:t>Multiple sequence alignment of LasR cannonical and its two variants through Praline server (</w:t>
      </w:r>
      <w:hyperlink r:id="rId12">
        <w:r>
          <w:rPr>
            <w:rStyle w:val="Hyperlink"/>
          </w:rPr>
          <w:t>https://www.ibi.vu.nl/programs/pralinewww/index.php</w:t>
        </w:r>
      </w:hyperlink>
      <w:r>
        <w:t>). “*” refers to the consistency of the results due to same residues in protein alignment. Mutation sites are represented through PyMol.</w:t>
      </w:r>
    </w:p>
    <w:p w:rsidR="00D03323" w:rsidRDefault="00D03323"/>
    <w:sectPr w:rsidR="00D03323" w:rsidSect="00D03323">
      <w:headerReference w:type="default" r:id="rId13"/>
      <w:pgSz w:w="12240" w:h="15840"/>
      <w:pgMar w:top="1440" w:right="1440" w:bottom="1440" w:left="1440" w:header="720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AE0" w:rsidRDefault="00EC7AE0" w:rsidP="00D03323">
      <w:r>
        <w:separator/>
      </w:r>
    </w:p>
  </w:endnote>
  <w:endnote w:type="continuationSeparator" w:id="1">
    <w:p w:rsidR="00EC7AE0" w:rsidRDefault="00EC7AE0" w:rsidP="00D033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erif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AE0" w:rsidRDefault="00EC7AE0" w:rsidP="00D03323">
      <w:r>
        <w:separator/>
      </w:r>
    </w:p>
  </w:footnote>
  <w:footnote w:type="continuationSeparator" w:id="1">
    <w:p w:rsidR="00EC7AE0" w:rsidRDefault="00EC7AE0" w:rsidP="00D033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323" w:rsidRDefault="00D03323">
    <w:pPr>
      <w:pStyle w:val="Header"/>
      <w:rPr>
        <w:lang w:val="en-US"/>
      </w:rPr>
    </w:pPr>
  </w:p>
  <w:p w:rsidR="00D03323" w:rsidRDefault="00D03323">
    <w:pPr>
      <w:pStyle w:val="Head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3323"/>
    <w:rsid w:val="0009124D"/>
    <w:rsid w:val="001B2E00"/>
    <w:rsid w:val="00265121"/>
    <w:rsid w:val="00334973"/>
    <w:rsid w:val="004121FC"/>
    <w:rsid w:val="005C423C"/>
    <w:rsid w:val="00A630A2"/>
    <w:rsid w:val="00A848D1"/>
    <w:rsid w:val="00AD3B35"/>
    <w:rsid w:val="00C3698F"/>
    <w:rsid w:val="00C61156"/>
    <w:rsid w:val="00CA2941"/>
    <w:rsid w:val="00D03323"/>
    <w:rsid w:val="00EC7AE0"/>
    <w:rsid w:val="00F941B7"/>
    <w:rsid w:val="00FF6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EEB"/>
    <w:rPr>
      <w:rFonts w:ascii="Liberation Serif" w:eastAsia="Noto Serif CJK SC" w:hAnsi="Liberation Serif" w:cs="Lohit Devanagari"/>
      <w:kern w:val="2"/>
      <w:sz w:val="24"/>
      <w:szCs w:val="24"/>
      <w:lang w:val="en-IN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E07EEB"/>
    <w:rPr>
      <w:rFonts w:ascii="Liberation Serif" w:eastAsia="Noto Serif CJK SC" w:hAnsi="Liberation Serif" w:cs="Mangal"/>
      <w:kern w:val="2"/>
      <w:sz w:val="24"/>
      <w:szCs w:val="21"/>
      <w:lang w:val="en-IN" w:eastAsia="zh-CN" w:bidi="hi-IN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E07EEB"/>
    <w:rPr>
      <w:rFonts w:ascii="Liberation Serif" w:eastAsia="Noto Serif CJK SC" w:hAnsi="Liberation Serif" w:cs="Mangal"/>
      <w:kern w:val="2"/>
      <w:sz w:val="24"/>
      <w:szCs w:val="21"/>
      <w:lang w:val="en-IN" w:eastAsia="zh-CN" w:bidi="hi-IN"/>
    </w:rPr>
  </w:style>
  <w:style w:type="character" w:styleId="Emphasis">
    <w:name w:val="Emphasis"/>
    <w:uiPriority w:val="20"/>
    <w:qFormat/>
    <w:rsid w:val="00E07EEB"/>
    <w:rPr>
      <w:i/>
      <w:iCs/>
    </w:rPr>
  </w:style>
  <w:style w:type="character" w:styleId="Hyperlink">
    <w:name w:val="Hyperlink"/>
    <w:rsid w:val="00473717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rsid w:val="00D03323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rsid w:val="00D03323"/>
    <w:pPr>
      <w:spacing w:after="140" w:line="276" w:lineRule="auto"/>
    </w:pPr>
  </w:style>
  <w:style w:type="paragraph" w:styleId="List">
    <w:name w:val="List"/>
    <w:basedOn w:val="BodyText"/>
    <w:rsid w:val="00D03323"/>
  </w:style>
  <w:style w:type="paragraph" w:styleId="Caption">
    <w:name w:val="caption"/>
    <w:basedOn w:val="Normal"/>
    <w:qFormat/>
    <w:rsid w:val="00D0332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03323"/>
    <w:pPr>
      <w:suppressLineNumbers/>
    </w:pPr>
  </w:style>
  <w:style w:type="paragraph" w:customStyle="1" w:styleId="TableContents">
    <w:name w:val="Table Contents"/>
    <w:basedOn w:val="Normal"/>
    <w:qFormat/>
    <w:rsid w:val="00E07EEB"/>
    <w:pPr>
      <w:widowControl w:val="0"/>
      <w:suppressLineNumbers/>
    </w:pPr>
  </w:style>
  <w:style w:type="paragraph" w:customStyle="1" w:styleId="HeaderandFooter">
    <w:name w:val="Header and Footer"/>
    <w:basedOn w:val="Normal"/>
    <w:qFormat/>
    <w:rsid w:val="00D03323"/>
  </w:style>
  <w:style w:type="paragraph" w:styleId="Header">
    <w:name w:val="header"/>
    <w:basedOn w:val="Normal"/>
    <w:link w:val="HeaderChar"/>
    <w:uiPriority w:val="99"/>
    <w:semiHidden/>
    <w:unhideWhenUsed/>
    <w:rsid w:val="00E07EEB"/>
    <w:pPr>
      <w:tabs>
        <w:tab w:val="center" w:pos="4680"/>
        <w:tab w:val="right" w:pos="9360"/>
      </w:tabs>
    </w:pPr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semiHidden/>
    <w:unhideWhenUsed/>
    <w:rsid w:val="00E07EEB"/>
    <w:pPr>
      <w:tabs>
        <w:tab w:val="center" w:pos="4680"/>
        <w:tab w:val="right" w:pos="9360"/>
      </w:tabs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ibi.vu.nl/programs/pralinewww/index.ph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EFA8D-61FA-4D52-A504-281F94834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Hp</cp:lastModifiedBy>
  <cp:revision>14</cp:revision>
  <dcterms:created xsi:type="dcterms:W3CDTF">2025-06-23T12:40:00Z</dcterms:created>
  <dcterms:modified xsi:type="dcterms:W3CDTF">2025-09-20T06:22:00Z</dcterms:modified>
  <dc:language>en-IN</dc:language>
</cp:coreProperties>
</file>