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2A511" w14:textId="77777777" w:rsidR="007C781E" w:rsidRPr="007C781E" w:rsidRDefault="007C781E" w:rsidP="007C781E">
      <w:pPr>
        <w:rPr>
          <w:lang w:val="en-GB"/>
        </w:rPr>
      </w:pPr>
      <w:r w:rsidRPr="007C781E">
        <w:rPr>
          <w:b/>
          <w:lang w:val="en-GB"/>
        </w:rPr>
        <w:t>Table 1: Infrastructural Barriers to CHD Diagnosis</w:t>
      </w:r>
    </w:p>
    <w:p w14:paraId="1EB35405" w14:textId="77777777" w:rsidR="007C781E" w:rsidRPr="007C781E" w:rsidRDefault="007C781E" w:rsidP="007C781E">
      <w:pPr>
        <w:rPr>
          <w:lang w:val="en-GB"/>
        </w:rPr>
      </w:pPr>
    </w:p>
    <w:p w14:paraId="60AB0B4C" w14:textId="77777777" w:rsidR="007C781E" w:rsidRPr="007C781E" w:rsidRDefault="007C781E" w:rsidP="007C781E">
      <w:pPr>
        <w:rPr>
          <w:lang w:val="en-GB"/>
        </w:rPr>
      </w:pPr>
      <w:r w:rsidRPr="007C781E">
        <w:rPr>
          <w:b/>
          <w:lang w:val="en-GB"/>
        </w:rPr>
        <w:t>| Barrier Type     | Specific Challenges               | Impact                          |</w:t>
      </w:r>
    </w:p>
    <w:p w14:paraId="1CDD4764" w14:textId="77777777" w:rsidR="007C781E" w:rsidRPr="007C781E" w:rsidRDefault="007C781E" w:rsidP="007C781E">
      <w:pPr>
        <w:rPr>
          <w:lang w:val="en-GB"/>
        </w:rPr>
      </w:pPr>
      <w:r w:rsidRPr="007C781E">
        <w:rPr>
          <w:lang w:val="en-GB"/>
        </w:rPr>
        <w:t>|------------------|-----------------------------------|---------------------------------|</w:t>
      </w:r>
    </w:p>
    <w:p w14:paraId="70088691" w14:textId="77777777" w:rsidR="007C781E" w:rsidRPr="007C781E" w:rsidRDefault="007C781E" w:rsidP="007C781E">
      <w:pPr>
        <w:rPr>
          <w:lang w:val="en-GB"/>
        </w:rPr>
      </w:pPr>
      <w:r w:rsidRPr="007C781E">
        <w:rPr>
          <w:lang w:val="en-GB"/>
        </w:rPr>
        <w:t>| Equipment        | Lack of echocardiography machines | Limited diagnostic   capability   |</w:t>
      </w:r>
    </w:p>
    <w:p w14:paraId="121F4E35" w14:textId="77777777" w:rsidR="007C781E" w:rsidRPr="007C781E" w:rsidRDefault="007C781E" w:rsidP="007C781E">
      <w:pPr>
        <w:rPr>
          <w:lang w:val="en-GB"/>
        </w:rPr>
      </w:pPr>
      <w:r w:rsidRPr="007C781E">
        <w:rPr>
          <w:lang w:val="en-GB"/>
        </w:rPr>
        <w:t>| Facilities       | Absence of specialized centers    | Delayed referral and management |</w:t>
      </w:r>
    </w:p>
    <w:p w14:paraId="5607FF86" w14:textId="77777777" w:rsidR="007C781E" w:rsidRPr="007C781E" w:rsidRDefault="007C781E" w:rsidP="007C781E">
      <w:pPr>
        <w:rPr>
          <w:lang w:val="en-GB"/>
        </w:rPr>
      </w:pPr>
      <w:r w:rsidRPr="007C781E">
        <w:rPr>
          <w:lang w:val="en-GB"/>
        </w:rPr>
        <w:t>| Transportation   | Poor road infrastructure          | Limited access to care          |</w:t>
      </w:r>
    </w:p>
    <w:p w14:paraId="0BE2A155" w14:textId="77777777" w:rsidR="007C781E" w:rsidRPr="007C781E" w:rsidRDefault="007C781E" w:rsidP="007C781E">
      <w:pPr>
        <w:rPr>
          <w:lang w:val="en-GB"/>
        </w:rPr>
      </w:pPr>
      <w:r w:rsidRPr="007C781E">
        <w:rPr>
          <w:lang w:val="en-GB"/>
        </w:rPr>
        <w:t>| Energy Supply    | Unreliable electricity            | Disrupted healthcare services   VG|</w:t>
      </w:r>
    </w:p>
    <w:p w14:paraId="1053F1B4" w14:textId="77777777" w:rsidR="007C781E" w:rsidRPr="007C781E" w:rsidRDefault="007C781E" w:rsidP="007C781E">
      <w:pPr>
        <w:rPr>
          <w:lang w:val="en-GB"/>
        </w:rPr>
      </w:pPr>
    </w:p>
    <w:p w14:paraId="70003D63" w14:textId="24704DEC" w:rsidR="00D52BE0" w:rsidRPr="00D52BE0" w:rsidRDefault="00D52BE0" w:rsidP="00D52BE0">
      <w:pPr>
        <w:rPr>
          <w:lang w:val="en-GB"/>
        </w:rPr>
      </w:pPr>
      <w:r w:rsidRPr="00D52BE0">
        <w:rPr>
          <w:b/>
          <w:lang w:val="en-GB"/>
        </w:rPr>
        <w:t>Table 2: Diagnostic Delays by CHD Type</w:t>
      </w:r>
    </w:p>
    <w:p w14:paraId="543FEE9B" w14:textId="77777777" w:rsidR="00D52BE0" w:rsidRPr="00D52BE0" w:rsidRDefault="00D52BE0" w:rsidP="00D52BE0">
      <w:pPr>
        <w:rPr>
          <w:lang w:val="en-GB"/>
        </w:rPr>
      </w:pPr>
      <w:r w:rsidRPr="00D52BE0">
        <w:rPr>
          <w:b/>
          <w:lang w:val="en-GB"/>
        </w:rPr>
        <w:t>| CHD Type | Median Diagnostic Delay | Common Reasons for Delay         |</w:t>
      </w:r>
    </w:p>
    <w:p w14:paraId="33B1A306" w14:textId="77777777" w:rsidR="00D52BE0" w:rsidRPr="00D52BE0" w:rsidRDefault="00D52BE0" w:rsidP="00D52BE0">
      <w:pPr>
        <w:rPr>
          <w:lang w:val="en-GB"/>
        </w:rPr>
      </w:pPr>
      <w:r w:rsidRPr="00D52BE0">
        <w:rPr>
          <w:b/>
          <w:lang w:val="en-GB"/>
        </w:rPr>
        <w:t>|----------|-------------------------|----------------------------------|</w:t>
      </w:r>
    </w:p>
    <w:p w14:paraId="40C7FA8A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VSD      | 18.5 months             | Absent cyanosis, subtle symptoms |</w:t>
      </w:r>
    </w:p>
    <w:p w14:paraId="52E36669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ASD      | 98 months               | Asymptomatic presentation        |</w:t>
      </w:r>
    </w:p>
    <w:p w14:paraId="78DCA1A8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TOF      | 24 months               | Variable cyanosis patterns       |</w:t>
      </w:r>
    </w:p>
    <w:p w14:paraId="4332B03A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TGA      | 4 months                | Rapid clinical deterioration     |</w:t>
      </w:r>
    </w:p>
    <w:p w14:paraId="0A9F8733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PDA      | 12 months               | Non-specific symptoms            |</w:t>
      </w:r>
    </w:p>
    <w:p w14:paraId="2512791C" w14:textId="77777777" w:rsidR="00D52BE0" w:rsidRPr="00D52BE0" w:rsidRDefault="00D52BE0" w:rsidP="00D52BE0">
      <w:pPr>
        <w:rPr>
          <w:lang w:val="en-GB"/>
        </w:rPr>
      </w:pPr>
    </w:p>
    <w:p w14:paraId="299E5234" w14:textId="036A189A" w:rsidR="00D52BE0" w:rsidRPr="00D52BE0" w:rsidRDefault="00D52BE0" w:rsidP="00D52BE0">
      <w:pPr>
        <w:rPr>
          <w:lang w:val="en-GB"/>
        </w:rPr>
      </w:pPr>
      <w:r w:rsidRPr="00D52BE0">
        <w:rPr>
          <w:b/>
          <w:lang w:val="en-GB"/>
        </w:rPr>
        <w:t>Table 3: Proposed Interventions and Their Potential Impact</w:t>
      </w:r>
    </w:p>
    <w:p w14:paraId="39C45ACD" w14:textId="77777777" w:rsidR="00D52BE0" w:rsidRPr="00D52BE0" w:rsidRDefault="00D52BE0" w:rsidP="00D52BE0">
      <w:pPr>
        <w:rPr>
          <w:lang w:val="en-GB"/>
        </w:rPr>
      </w:pPr>
      <w:r w:rsidRPr="00D52BE0">
        <w:rPr>
          <w:b/>
          <w:lang w:val="en-GB"/>
        </w:rPr>
        <w:t>| Intervention               | Implementation Level | Potential Impact               |</w:t>
      </w:r>
    </w:p>
    <w:p w14:paraId="3CDC3002" w14:textId="77777777" w:rsidR="00D52BE0" w:rsidRPr="00D52BE0" w:rsidRDefault="00D52BE0" w:rsidP="00D52BE0">
      <w:pPr>
        <w:rPr>
          <w:lang w:val="en-GB"/>
        </w:rPr>
      </w:pPr>
      <w:r w:rsidRPr="00D52BE0">
        <w:rPr>
          <w:b/>
          <w:lang w:val="en-GB"/>
        </w:rPr>
        <w:t>|----------------------------|----------------------|--------------------------------|</w:t>
      </w:r>
    </w:p>
    <w:p w14:paraId="662A85C8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Pulse oximetry screening   | Primary care         | 30-40% increase in early detection |</w:t>
      </w:r>
    </w:p>
    <w:p w14:paraId="085B2752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Task-shifting echocardiography | District hospitals | 40% reduction in diagnostic delays |</w:t>
      </w:r>
    </w:p>
    <w:p w14:paraId="2C002A37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Telemedicine networks      | Regional level       | 50% improvement in specialist access |</w:t>
      </w:r>
    </w:p>
    <w:p w14:paraId="1D604704" w14:textId="77777777" w:rsidR="00D52BE0" w:rsidRPr="00D52BE0" w:rsidRDefault="00D52BE0" w:rsidP="00D52BE0">
      <w:pPr>
        <w:rPr>
          <w:lang w:val="en-GB"/>
        </w:rPr>
      </w:pPr>
      <w:r w:rsidRPr="00D52BE0">
        <w:rPr>
          <w:lang w:val="en-GB"/>
        </w:rPr>
        <w:t>| Mobile screening clinics   | Community level      | 60% increase in rural coverage |</w:t>
      </w:r>
    </w:p>
    <w:p w14:paraId="11911F6D" w14:textId="77777777" w:rsidR="00D52BE0" w:rsidRPr="00D52BE0" w:rsidRDefault="00D52BE0" w:rsidP="00D52BE0">
      <w:pPr>
        <w:rPr>
          <w:lang w:val="en-GB"/>
        </w:rPr>
      </w:pPr>
    </w:p>
    <w:p w14:paraId="076F4A34" w14:textId="77777777" w:rsidR="00D52BE0" w:rsidRPr="00D52BE0" w:rsidRDefault="00D52BE0" w:rsidP="00D52BE0">
      <w:pPr>
        <w:rPr>
          <w:lang w:val="en-GB"/>
        </w:rPr>
      </w:pPr>
    </w:p>
    <w:p w14:paraId="537E69CE" w14:textId="77777777" w:rsidR="00D52BE0" w:rsidRPr="00D52BE0" w:rsidRDefault="00D52BE0" w:rsidP="00D52BE0">
      <w:pPr>
        <w:rPr>
          <w:lang w:val="en-GB"/>
        </w:rPr>
      </w:pPr>
    </w:p>
    <w:p w14:paraId="33ADF787" w14:textId="77777777" w:rsidR="00D52BE0" w:rsidRPr="00D52BE0" w:rsidRDefault="00D52BE0" w:rsidP="00D52BE0">
      <w:pPr>
        <w:rPr>
          <w:lang w:val="en-GB"/>
        </w:rPr>
      </w:pPr>
    </w:p>
    <w:p w14:paraId="33FDBAE7" w14:textId="77777777" w:rsidR="00D52BE0" w:rsidRPr="00D52BE0" w:rsidRDefault="00D52BE0" w:rsidP="00D52BE0">
      <w:pPr>
        <w:rPr>
          <w:lang w:val="en-GB"/>
        </w:rPr>
      </w:pPr>
    </w:p>
    <w:p w14:paraId="017975A4" w14:textId="77777777" w:rsidR="00D52BE0" w:rsidRDefault="00D52BE0"/>
    <w:sectPr w:rsidR="00D52B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81E"/>
    <w:rsid w:val="00271925"/>
    <w:rsid w:val="00767E38"/>
    <w:rsid w:val="007C781E"/>
    <w:rsid w:val="00866F7D"/>
    <w:rsid w:val="00D52BE0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43B8"/>
  <w15:chartTrackingRefBased/>
  <w15:docId w15:val="{3C1A0649-0D13-41FE-9460-8A7470E2F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8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8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8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8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8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8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8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8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8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8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8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8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8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8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8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8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8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8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8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8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8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8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8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8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8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8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8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8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8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8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2025-09-23T08:11:00Z</dcterms:created>
  <dcterms:modified xsi:type="dcterms:W3CDTF">2025-09-23T08:14:00Z</dcterms:modified>
</cp:coreProperties>
</file>