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2"/>
          <w:szCs w:val="22"/>
          <w:lang w:val="en-US"/>
        </w:rPr>
      </w:pPr>
      <w:r>
        <w:rPr>
          <w:rFonts w:hint="eastAsia" w:ascii="Times New Roman" w:hAnsi="Times New Roman" w:cs="Times New Roman"/>
          <w:b/>
          <w:bCs/>
          <w:sz w:val="22"/>
          <w:szCs w:val="22"/>
          <w:lang w:val="en-US" w:eastAsia="zh-CN"/>
        </w:rPr>
        <w:t xml:space="preserve">Appendix 1. Process of the </w:t>
      </w:r>
      <w:r>
        <w:rPr>
          <w:rFonts w:hint="default" w:ascii="Times New Roman" w:hAnsi="Times New Roman" w:cs="Times New Roman"/>
          <w:b/>
          <w:bCs/>
          <w:sz w:val="22"/>
          <w:szCs w:val="22"/>
          <w:lang w:val="en-GB"/>
        </w:rPr>
        <w:t>main themes</w:t>
      </w:r>
      <w:r>
        <w:rPr>
          <w:rFonts w:hint="eastAsia" w:ascii="Times New Roman" w:hAnsi="Times New Roman" w:cs="Times New Roman"/>
          <w:b/>
          <w:bCs/>
          <w:sz w:val="22"/>
          <w:szCs w:val="22"/>
          <w:lang w:val="en-US" w:eastAsia="zh-CN"/>
        </w:rPr>
        <w:t xml:space="preserve"> discussion</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cs="Times New Roman"/>
          <w:sz w:val="22"/>
          <w:szCs w:val="22"/>
          <w:lang w:val="en-GB"/>
        </w:rPr>
      </w:pPr>
      <w:r>
        <w:rPr>
          <w:rFonts w:hint="default" w:ascii="Times New Roman" w:hAnsi="Times New Roman" w:cs="Times New Roman"/>
          <w:sz w:val="22"/>
          <w:szCs w:val="22"/>
          <w:lang w:val="en-GB"/>
        </w:rPr>
        <w:t>These</w:t>
      </w:r>
      <w:r>
        <w:rPr>
          <w:rFonts w:hint="eastAsia" w:ascii="Times New Roman" w:hAnsi="Times New Roman" w:cs="Times New Roman"/>
          <w:sz w:val="22"/>
          <w:szCs w:val="22"/>
          <w:lang w:val="en-US" w:eastAsia="zh-CN"/>
        </w:rPr>
        <w:t xml:space="preserve"> main themes</w:t>
      </w:r>
      <w:r>
        <w:rPr>
          <w:rFonts w:hint="default" w:ascii="Times New Roman" w:hAnsi="Times New Roman" w:cs="Times New Roman"/>
          <w:sz w:val="22"/>
          <w:szCs w:val="22"/>
          <w:lang w:val="en-GB"/>
        </w:rPr>
        <w:t xml:space="preserve"> reflected two key points of high-quality visual health management systems: ‘What to build, and how to build’.</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cs="Times New Roman"/>
          <w:sz w:val="22"/>
          <w:szCs w:val="22"/>
          <w:lang w:val="en-GB"/>
        </w:rPr>
      </w:pPr>
      <w:r>
        <w:rPr>
          <w:rFonts w:hint="default" w:ascii="Times New Roman" w:hAnsi="Times New Roman" w:cs="Times New Roman"/>
          <w:sz w:val="22"/>
          <w:szCs w:val="22"/>
          <w:lang w:val="en-GB"/>
        </w:rPr>
        <w:t xml:space="preserve">Participants were first asked a series of general questions about their understanding of AI and using AI to deliver visual health services such as ‘What comes to mind when you think about AI and medicine?’ and ‘How does your institution apply AI to provide visual health services?’ </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cs="Times New Roman"/>
          <w:sz w:val="22"/>
          <w:szCs w:val="22"/>
          <w:lang w:val="en-GB"/>
        </w:rPr>
      </w:pPr>
      <w:r>
        <w:rPr>
          <w:rFonts w:hint="default" w:ascii="Times New Roman" w:hAnsi="Times New Roman" w:cs="Times New Roman"/>
          <w:sz w:val="22"/>
          <w:szCs w:val="22"/>
          <w:lang w:val="en-GB"/>
        </w:rPr>
        <w:t xml:space="preserve">Then, the interview continued on the impact of AI use on current eye disease service provision such as ‘What does AI make the change on the patient experience?’ and ‘What does AI make on the </w:t>
      </w:r>
      <w:r>
        <w:rPr>
          <w:rFonts w:hint="default" w:ascii="Times New Roman" w:hAnsi="Times New Roman" w:cs="Times New Roman"/>
          <w:sz w:val="22"/>
          <w:szCs w:val="22"/>
          <w:lang w:val="en-GB"/>
        </w:rPr>
        <w:t xml:space="preserve">visual service provision?’ </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cs="Times New Roman"/>
          <w:sz w:val="22"/>
          <w:szCs w:val="22"/>
          <w:lang w:val="en-GB"/>
        </w:rPr>
      </w:pPr>
      <w:r>
        <w:rPr>
          <w:rFonts w:hint="default" w:ascii="Times New Roman" w:hAnsi="Times New Roman" w:cs="Times New Roman"/>
          <w:sz w:val="22"/>
          <w:szCs w:val="22"/>
          <w:lang w:val="en-GB"/>
        </w:rPr>
        <w:t>The focus group concluded with a broad discussion of the environmental support required for AI application in visual service provision, including tools support, policy support, platforms support, workforce support, and other conditions includ</w:t>
      </w:r>
      <w:bookmarkStart w:id="0" w:name="_GoBack"/>
      <w:bookmarkEnd w:id="0"/>
      <w:r>
        <w:rPr>
          <w:rFonts w:hint="default" w:ascii="Times New Roman" w:hAnsi="Times New Roman" w:cs="Times New Roman"/>
          <w:sz w:val="22"/>
          <w:szCs w:val="22"/>
          <w:lang w:val="en-GB"/>
        </w:rPr>
        <w:t xml:space="preserve">ing questions such as ‘What software and hardware is required to use AI to provide visual health services, and whether there are difficulties and obstacles?’ and ‘What do you think are the platform requirements of </w:t>
      </w:r>
      <w:r>
        <w:rPr>
          <w:rFonts w:hint="default" w:ascii="Times New Roman" w:hAnsi="Times New Roman" w:cs="Times New Roman"/>
          <w:sz w:val="22"/>
          <w:szCs w:val="22"/>
          <w:lang w:val="en-GB"/>
        </w:rPr>
        <w:t xml:space="preserve">using AI to build a visual health system?’ </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cs="Times New Roman"/>
          <w:sz w:val="22"/>
          <w:szCs w:val="22"/>
          <w:lang w:val="en-GB"/>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YjgzOWM3MDdkNGUxZmFjMjE0MmE0MTQ0NWI5MmYifQ=="/>
  </w:docVars>
  <w:rsids>
    <w:rsidRoot w:val="32AA09B9"/>
    <w:rsid w:val="32AA0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2024-01-22T02:28:00Z</dcterms:created>
  <dc:creator>森林</dc:creator>
  <cp:lastModifiedBy>森林</cp:lastModifiedBy>
  <dcterms:modified xsi:type="dcterms:W3CDTF">2024-01-22T02:31:02Z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CA56D7C4E35E4213B4F60DCD95A25118_11</vt:lpwstr>
  </property>
</Properties>
</file>