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D41E5" w14:textId="77777777" w:rsidR="002A12AD" w:rsidRDefault="002A12AD" w:rsidP="002A12AD">
      <w:pPr>
        <w:pStyle w:val="Heading1"/>
        <w:spacing w:after="0"/>
        <w:jc w:val="both"/>
      </w:pPr>
      <w:r>
        <w:t>Supplemental Material</w:t>
      </w:r>
    </w:p>
    <w:p w14:paraId="39D5AD48" w14:textId="77777777" w:rsidR="002A12AD" w:rsidRDefault="002A12AD" w:rsidP="002A12AD">
      <w:pPr>
        <w:jc w:val="center"/>
      </w:pPr>
      <w:r>
        <w:rPr>
          <w:noProof/>
        </w:rPr>
        <w:drawing>
          <wp:inline distT="114300" distB="114300" distL="114300" distR="114300" wp14:anchorId="10DBFBCF" wp14:editId="625800ED">
            <wp:extent cx="5015965" cy="5024438"/>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
                    <a:srcRect l="7371" t="9039" r="8814" b="6941"/>
                    <a:stretch>
                      <a:fillRect/>
                    </a:stretch>
                  </pic:blipFill>
                  <pic:spPr>
                    <a:xfrm>
                      <a:off x="0" y="0"/>
                      <a:ext cx="5015965" cy="5024438"/>
                    </a:xfrm>
                    <a:prstGeom prst="rect">
                      <a:avLst/>
                    </a:prstGeom>
                    <a:ln/>
                  </pic:spPr>
                </pic:pic>
              </a:graphicData>
            </a:graphic>
          </wp:inline>
        </w:drawing>
      </w:r>
    </w:p>
    <w:p w14:paraId="55657ABF" w14:textId="77777777" w:rsidR="002A12AD" w:rsidRDefault="002A12AD" w:rsidP="002A12AD">
      <w:pPr>
        <w:jc w:val="center"/>
        <w:rPr>
          <w:i/>
        </w:rPr>
      </w:pPr>
      <w:r>
        <w:rPr>
          <w:b/>
          <w:i/>
        </w:rPr>
        <w:t>Figure S1.</w:t>
      </w:r>
      <w:r>
        <w:rPr>
          <w:i/>
        </w:rPr>
        <w:t xml:space="preserve"> Three examples of multiplication for 4 bits of resolution. Signal A is a pulse stream. Signal B is encoded in the time domain. The output of the multipliers (Synapses) are encoded as pulse streams. The neuron will merge the streams and depending and fire if the accumulation crosses its threshold. The figure shows one time-epoch with 16 time slots, while each red line represents a time-slot.  </w:t>
      </w:r>
    </w:p>
    <w:p w14:paraId="3122D831" w14:textId="77777777" w:rsidR="002A12AD" w:rsidRDefault="002A12AD" w:rsidP="002A12AD">
      <w:pPr>
        <w:jc w:val="both"/>
        <w:rPr>
          <w:color w:val="222222"/>
          <w:highlight w:val="white"/>
        </w:rPr>
      </w:pPr>
    </w:p>
    <w:p w14:paraId="20CC8B5F" w14:textId="77777777" w:rsidR="002A12AD" w:rsidRDefault="002A12AD" w:rsidP="002A12AD">
      <w:pPr>
        <w:jc w:val="center"/>
        <w:rPr>
          <w:color w:val="222222"/>
          <w:highlight w:val="white"/>
        </w:rPr>
      </w:pPr>
      <w:r>
        <w:rPr>
          <w:noProof/>
          <w:color w:val="222222"/>
          <w:highlight w:val="white"/>
        </w:rPr>
        <w:lastRenderedPageBreak/>
        <w:drawing>
          <wp:inline distT="114300" distB="114300" distL="114300" distR="114300" wp14:anchorId="65285DEF" wp14:editId="58A891DC">
            <wp:extent cx="3828452" cy="724376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t="11332" b="7417"/>
                    <a:stretch>
                      <a:fillRect/>
                    </a:stretch>
                  </pic:blipFill>
                  <pic:spPr>
                    <a:xfrm>
                      <a:off x="0" y="0"/>
                      <a:ext cx="3828452" cy="7243763"/>
                    </a:xfrm>
                    <a:prstGeom prst="rect">
                      <a:avLst/>
                    </a:prstGeom>
                    <a:ln/>
                  </pic:spPr>
                </pic:pic>
              </a:graphicData>
            </a:graphic>
          </wp:inline>
        </w:drawing>
      </w:r>
    </w:p>
    <w:p w14:paraId="620B7E7F" w14:textId="77777777" w:rsidR="002A12AD" w:rsidRDefault="002A12AD" w:rsidP="002A12AD">
      <w:pPr>
        <w:jc w:val="center"/>
        <w:rPr>
          <w:i/>
          <w:color w:val="222222"/>
          <w:highlight w:val="white"/>
        </w:rPr>
      </w:pPr>
      <w:r>
        <w:rPr>
          <w:b/>
          <w:i/>
          <w:color w:val="222222"/>
          <w:highlight w:val="white"/>
        </w:rPr>
        <w:t>Figure S2.</w:t>
      </w:r>
      <w:r>
        <w:rPr>
          <w:i/>
          <w:color w:val="222222"/>
          <w:highlight w:val="white"/>
        </w:rPr>
        <w:t xml:space="preserve"> Example of neuron operation with three input synapses Y0=0.5, Y1=0, Y2=-0.25. The last row “I Norm” shows the normalized current in the analog buffer’s inductor with capacity for 32 pulses. The current in the inductor increases(decreases) with gl(gl_b). Signals gl(gl_b) are the synaptic and inverted synaptic outputs merged on a single stream.  </w:t>
      </w:r>
    </w:p>
    <w:p w14:paraId="6E00B6CF" w14:textId="77777777" w:rsidR="002A12AD" w:rsidRDefault="002A12AD" w:rsidP="002A12AD">
      <w:pPr>
        <w:jc w:val="center"/>
        <w:rPr>
          <w:i/>
          <w:color w:val="222222"/>
          <w:highlight w:val="white"/>
        </w:rPr>
      </w:pPr>
    </w:p>
    <w:p w14:paraId="2C7219E3" w14:textId="77777777" w:rsidR="002A12AD" w:rsidRDefault="002A12AD" w:rsidP="002A12AD">
      <w:pPr>
        <w:jc w:val="center"/>
        <w:rPr>
          <w:color w:val="222222"/>
          <w:highlight w:val="white"/>
        </w:rPr>
      </w:pPr>
      <w:r>
        <w:rPr>
          <w:noProof/>
          <w:color w:val="222222"/>
          <w:highlight w:val="white"/>
        </w:rPr>
        <w:lastRenderedPageBreak/>
        <w:drawing>
          <wp:inline distT="114300" distB="114300" distL="114300" distR="114300" wp14:anchorId="55F07E4F" wp14:editId="062A914B">
            <wp:extent cx="3662363" cy="2742808"/>
            <wp:effectExtent l="0" t="0" r="0" b="0"/>
            <wp:docPr id="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3662363" cy="2742808"/>
                    </a:xfrm>
                    <a:prstGeom prst="rect">
                      <a:avLst/>
                    </a:prstGeom>
                    <a:ln/>
                  </pic:spPr>
                </pic:pic>
              </a:graphicData>
            </a:graphic>
          </wp:inline>
        </w:drawing>
      </w:r>
    </w:p>
    <w:p w14:paraId="3057E884" w14:textId="77777777" w:rsidR="002A12AD" w:rsidRDefault="002A12AD" w:rsidP="002A12AD">
      <w:pPr>
        <w:jc w:val="center"/>
        <w:rPr>
          <w:i/>
          <w:color w:val="222222"/>
          <w:highlight w:val="white"/>
        </w:rPr>
      </w:pPr>
      <w:r>
        <w:rPr>
          <w:b/>
          <w:i/>
          <w:color w:val="222222"/>
          <w:highlight w:val="white"/>
        </w:rPr>
        <w:t>Figure S3.</w:t>
      </w:r>
      <w:r>
        <w:rPr>
          <w:i/>
          <w:color w:val="222222"/>
          <w:highlight w:val="white"/>
        </w:rPr>
        <w:t xml:space="preserve"> Example of clock phases used for driving three different synapses. Each output stream from the synapse operates on its own phase and won’t collide with the others at the input of the N:1 merger in the neuron. </w:t>
      </w:r>
    </w:p>
    <w:p w14:paraId="377FDBA2" w14:textId="77777777" w:rsidR="002A12AD" w:rsidRDefault="002A12AD" w:rsidP="002A12AD">
      <w:pPr>
        <w:jc w:val="center"/>
        <w:rPr>
          <w:i/>
          <w:color w:val="222222"/>
          <w:highlight w:val="white"/>
        </w:rPr>
      </w:pPr>
    </w:p>
    <w:p w14:paraId="3F199ADC" w14:textId="77777777" w:rsidR="002A12AD" w:rsidRDefault="002A12AD" w:rsidP="002A12AD">
      <w:pPr>
        <w:jc w:val="center"/>
        <w:rPr>
          <w:i/>
          <w:color w:val="222222"/>
          <w:highlight w:val="white"/>
        </w:rPr>
      </w:pPr>
    </w:p>
    <w:p w14:paraId="5456CEED" w14:textId="77777777" w:rsidR="002A12AD" w:rsidRDefault="002A12AD" w:rsidP="002A12AD">
      <w:pPr>
        <w:jc w:val="center"/>
        <w:rPr>
          <w:i/>
          <w:color w:val="222222"/>
          <w:highlight w:val="white"/>
        </w:rPr>
      </w:pPr>
      <w:r>
        <w:rPr>
          <w:i/>
          <w:noProof/>
          <w:color w:val="222222"/>
          <w:highlight w:val="white"/>
        </w:rPr>
        <w:drawing>
          <wp:inline distT="114300" distB="114300" distL="114300" distR="114300" wp14:anchorId="2A148FA3" wp14:editId="71D72C30">
            <wp:extent cx="2070100" cy="2298700"/>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2070100" cy="2298700"/>
                    </a:xfrm>
                    <a:prstGeom prst="rect">
                      <a:avLst/>
                    </a:prstGeom>
                    <a:ln/>
                  </pic:spPr>
                </pic:pic>
              </a:graphicData>
            </a:graphic>
          </wp:inline>
        </w:drawing>
      </w:r>
    </w:p>
    <w:p w14:paraId="214D2E3F" w14:textId="77777777" w:rsidR="002A12AD" w:rsidRDefault="002A12AD" w:rsidP="002A12AD">
      <w:pPr>
        <w:jc w:val="center"/>
        <w:rPr>
          <w:i/>
          <w:color w:val="222222"/>
          <w:highlight w:val="white"/>
        </w:rPr>
      </w:pPr>
      <w:r>
        <w:rPr>
          <w:b/>
          <w:i/>
          <w:color w:val="222222"/>
          <w:highlight w:val="white"/>
        </w:rPr>
        <w:t>Figure S4.</w:t>
      </w:r>
      <w:r>
        <w:rPr>
          <w:i/>
          <w:color w:val="222222"/>
          <w:highlight w:val="white"/>
        </w:rPr>
        <w:t xml:space="preserve"> 2:1 Multiplexer (MUX 2:1) and 1:2 Demultiplexer (DEMUX 1:2) used for the analog double buffer scheme. </w:t>
      </w:r>
    </w:p>
    <w:p w14:paraId="28F3D9B1" w14:textId="77777777" w:rsidR="002A12AD" w:rsidRDefault="002A12AD" w:rsidP="002A12AD">
      <w:pPr>
        <w:jc w:val="center"/>
        <w:rPr>
          <w:color w:val="222222"/>
          <w:highlight w:val="white"/>
        </w:rPr>
      </w:pPr>
    </w:p>
    <w:p w14:paraId="2DF3149F" w14:textId="77777777" w:rsidR="002A12AD" w:rsidRDefault="002A12AD" w:rsidP="002A12AD">
      <w:pPr>
        <w:jc w:val="center"/>
        <w:rPr>
          <w:color w:val="222222"/>
          <w:highlight w:val="white"/>
        </w:rPr>
      </w:pPr>
    </w:p>
    <w:p w14:paraId="616AEFE0" w14:textId="77777777" w:rsidR="002A12AD" w:rsidRDefault="002A12AD" w:rsidP="002A12AD">
      <w:pPr>
        <w:jc w:val="center"/>
        <w:rPr>
          <w:color w:val="222222"/>
          <w:highlight w:val="white"/>
        </w:rPr>
      </w:pPr>
    </w:p>
    <w:p w14:paraId="5E815597" w14:textId="77777777" w:rsidR="002A12AD" w:rsidRDefault="002A12AD" w:rsidP="002A12AD">
      <w:pPr>
        <w:jc w:val="center"/>
        <w:rPr>
          <w:color w:val="222222"/>
          <w:highlight w:val="white"/>
        </w:rPr>
      </w:pPr>
    </w:p>
    <w:p w14:paraId="22BD6D4E" w14:textId="77777777" w:rsidR="002A12AD" w:rsidRDefault="002A12AD" w:rsidP="002A12AD">
      <w:pPr>
        <w:jc w:val="center"/>
        <w:rPr>
          <w:color w:val="222222"/>
          <w:highlight w:val="white"/>
        </w:rPr>
      </w:pPr>
    </w:p>
    <w:p w14:paraId="58170EF1" w14:textId="77777777" w:rsidR="002A12AD" w:rsidRDefault="002A12AD" w:rsidP="002A12AD">
      <w:pPr>
        <w:jc w:val="center"/>
        <w:rPr>
          <w:color w:val="222222"/>
          <w:highlight w:val="white"/>
        </w:rPr>
      </w:pPr>
    </w:p>
    <w:p w14:paraId="07A529F1" w14:textId="77777777" w:rsidR="002A12AD" w:rsidRDefault="002A12AD" w:rsidP="002A12AD">
      <w:pPr>
        <w:jc w:val="center"/>
        <w:rPr>
          <w:color w:val="222222"/>
          <w:highlight w:val="white"/>
        </w:rPr>
      </w:pPr>
    </w:p>
    <w:p w14:paraId="6646B5BA" w14:textId="77777777" w:rsidR="002A12AD" w:rsidRDefault="002A12AD" w:rsidP="002A12AD">
      <w:pPr>
        <w:jc w:val="center"/>
        <w:rPr>
          <w:color w:val="222222"/>
          <w:highlight w:val="white"/>
        </w:rPr>
      </w:pPr>
    </w:p>
    <w:p w14:paraId="41B67CBB" w14:textId="77777777" w:rsidR="002A12AD" w:rsidRDefault="002A12AD" w:rsidP="002A12AD">
      <w:pPr>
        <w:rPr>
          <w:color w:val="222222"/>
          <w:highlight w:val="white"/>
        </w:rPr>
      </w:pPr>
    </w:p>
    <w:p w14:paraId="2136CF6E" w14:textId="77777777" w:rsidR="00F553FF" w:rsidRDefault="00F553FF"/>
    <w:sectPr w:rsidR="00F553FF" w:rsidSect="002A12AD">
      <w:headerReference w:type="default" r:id="rId8"/>
      <w:footerReference w:type="default" r:id="rId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3383B" w14:textId="77777777" w:rsidR="002A12AD" w:rsidRDefault="002A12AD"/>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734AE" w14:textId="77777777" w:rsidR="002A12AD" w:rsidRDefault="002A12AD">
    <w:pPr>
      <w:jc w:val="right"/>
    </w:pPr>
    <w:r>
      <w:fldChar w:fldCharType="begin"/>
    </w:r>
    <w:r>
      <w:instrText>PAGE</w:instrText>
    </w:r>
    <w:r>
      <w:fldChar w:fldCharType="separate"/>
    </w:r>
    <w:r>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2AD"/>
    <w:rsid w:val="00222637"/>
    <w:rsid w:val="002A12AD"/>
    <w:rsid w:val="003C2EF4"/>
    <w:rsid w:val="00446799"/>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7ACB0"/>
  <w15:chartTrackingRefBased/>
  <w15:docId w15:val="{C4289C8C-3172-4D38-B741-867400C24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2AD"/>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2A12A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2A12A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2A12A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2A12A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2A12A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2A12A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2A12A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2A12AD"/>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2A12AD"/>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12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12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12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12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12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12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12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12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12AD"/>
    <w:rPr>
      <w:rFonts w:eastAsiaTheme="majorEastAsia" w:cstheme="majorBidi"/>
      <w:color w:val="272727" w:themeColor="text1" w:themeTint="D8"/>
    </w:rPr>
  </w:style>
  <w:style w:type="paragraph" w:styleId="Title">
    <w:name w:val="Title"/>
    <w:basedOn w:val="Normal"/>
    <w:next w:val="Normal"/>
    <w:link w:val="TitleChar"/>
    <w:uiPriority w:val="10"/>
    <w:qFormat/>
    <w:rsid w:val="002A12AD"/>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2A12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12A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2A12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12AD"/>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2A12AD"/>
    <w:rPr>
      <w:i/>
      <w:iCs/>
      <w:color w:val="404040" w:themeColor="text1" w:themeTint="BF"/>
    </w:rPr>
  </w:style>
  <w:style w:type="paragraph" w:styleId="ListParagraph">
    <w:name w:val="List Paragraph"/>
    <w:basedOn w:val="Normal"/>
    <w:uiPriority w:val="34"/>
    <w:qFormat/>
    <w:rsid w:val="002A12AD"/>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2A12AD"/>
    <w:rPr>
      <w:i/>
      <w:iCs/>
      <w:color w:val="0F4761" w:themeColor="accent1" w:themeShade="BF"/>
    </w:rPr>
  </w:style>
  <w:style w:type="paragraph" w:styleId="IntenseQuote">
    <w:name w:val="Intense Quote"/>
    <w:basedOn w:val="Normal"/>
    <w:next w:val="Normal"/>
    <w:link w:val="IntenseQuoteChar"/>
    <w:uiPriority w:val="30"/>
    <w:qFormat/>
    <w:rsid w:val="002A12A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2A12AD"/>
    <w:rPr>
      <w:i/>
      <w:iCs/>
      <w:color w:val="0F4761" w:themeColor="accent1" w:themeShade="BF"/>
    </w:rPr>
  </w:style>
  <w:style w:type="character" w:styleId="IntenseReference">
    <w:name w:val="Intense Reference"/>
    <w:basedOn w:val="DefaultParagraphFont"/>
    <w:uiPriority w:val="32"/>
    <w:qFormat/>
    <w:rsid w:val="002A12A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170</Words>
  <Characters>974</Characters>
  <Application>Microsoft Office Word</Application>
  <DocSecurity>0</DocSecurity>
  <Lines>8</Lines>
  <Paragraphs>2</Paragraphs>
  <ScaleCrop>false</ScaleCrop>
  <Company>Springer Nature</Company>
  <LinksUpToDate>false</LinksUpToDate>
  <CharactersWithSpaces>1142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2025-11-05T10:41:00Z</dcterms:created>
  <dcterms:modified xsi:type="dcterms:W3CDTF">2025-11-05T10:41:00Z</dcterms:modified>
</cp:coreProperties>
</file>