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D121" w14:textId="77777777" w:rsidR="008626DA" w:rsidRPr="008626DA" w:rsidRDefault="008626DA" w:rsidP="008B75E3">
      <w:pPr>
        <w:pStyle w:val="berschrift2"/>
        <w:spacing w:line="240" w:lineRule="auto"/>
        <w:rPr>
          <w:rFonts w:ascii="Arial" w:hAnsi="Arial" w:cs="Arial"/>
          <w:sz w:val="28"/>
          <w:szCs w:val="28"/>
          <w:lang w:val="en-US"/>
        </w:rPr>
      </w:pPr>
      <w:r w:rsidRPr="008626DA">
        <w:rPr>
          <w:rFonts w:ascii="Arial" w:hAnsi="Arial" w:cs="Arial"/>
          <w:sz w:val="28"/>
          <w:szCs w:val="28"/>
          <w:lang w:val="en-US"/>
        </w:rPr>
        <w:t>Uncovering Immersive Competence as a Hidden Bias in VR-Based Clinical Assessment – A Randomized Controlled Study</w:t>
      </w:r>
    </w:p>
    <w:p w14:paraId="749086B3" w14:textId="77777777" w:rsidR="008626DA" w:rsidRPr="008626DA" w:rsidRDefault="008626DA" w:rsidP="008B75E3">
      <w:pPr>
        <w:pStyle w:val="berschrift2"/>
        <w:spacing w:line="240" w:lineRule="auto"/>
        <w:rPr>
          <w:rFonts w:ascii="Arial" w:hAnsi="Arial" w:cs="Arial"/>
          <w:sz w:val="28"/>
          <w:szCs w:val="28"/>
        </w:rPr>
      </w:pPr>
      <w:r w:rsidRPr="008626DA">
        <w:rPr>
          <w:rFonts w:ascii="Arial" w:hAnsi="Arial" w:cs="Arial"/>
          <w:sz w:val="28"/>
          <w:szCs w:val="28"/>
        </w:rPr>
        <w:t>CONSORT-EHEALTH Checklist (V.1.6.1)</w:t>
      </w:r>
    </w:p>
    <w:p w14:paraId="678C6534" w14:textId="66F192A9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</w:rPr>
      </w:pPr>
    </w:p>
    <w:p w14:paraId="1013768D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TITLE AND ABSTRACT</w:t>
      </w:r>
    </w:p>
    <w:p w14:paraId="55B7BFF6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1a. Identification as a randomized study in the title:</w:t>
      </w:r>
      <w:r w:rsidRPr="008626DA">
        <w:rPr>
          <w:rFonts w:ascii="Arial" w:hAnsi="Arial" w:cs="Arial"/>
          <w:sz w:val="22"/>
          <w:szCs w:val="22"/>
          <w:lang w:val="en-US"/>
        </w:rPr>
        <w:br/>
        <w:t>Yes, the title reads: “Uncovering Immersive Competence as a Hidden Bias in VR-Based Clinical Assessment – A Randomized Controlled Study”.</w:t>
      </w:r>
    </w:p>
    <w:p w14:paraId="054C17D0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1b. Structured summary of trial design, methods, results, and conclusions:</w:t>
      </w:r>
      <w:r w:rsidRPr="008626DA">
        <w:rPr>
          <w:rFonts w:ascii="Arial" w:hAnsi="Arial" w:cs="Arial"/>
          <w:sz w:val="22"/>
          <w:szCs w:val="22"/>
          <w:lang w:val="en-US"/>
        </w:rPr>
        <w:br/>
        <w:t>The abstract includes objectives, participants (n=88), interventions, outcomes, and conclusions.</w:t>
      </w:r>
    </w:p>
    <w:p w14:paraId="533A3910" w14:textId="4CBC1800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</w:rPr>
      </w:pPr>
    </w:p>
    <w:p w14:paraId="7BAC04FC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INTRODUCTION</w:t>
      </w:r>
    </w:p>
    <w:p w14:paraId="11482026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2a. Scientific background and explanation of rationale:</w:t>
      </w:r>
      <w:r w:rsidRPr="008626DA">
        <w:rPr>
          <w:rFonts w:ascii="Arial" w:hAnsi="Arial" w:cs="Arial"/>
          <w:sz w:val="22"/>
          <w:szCs w:val="22"/>
          <w:lang w:val="en-US"/>
        </w:rPr>
        <w:br/>
        <w:t>The introduction explains the significance of immersive competence (IC) as a potential bias in VR-based assessments.</w:t>
      </w:r>
    </w:p>
    <w:p w14:paraId="17061B2A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2b. Specific objectives or hypotheses:</w:t>
      </w:r>
      <w:r w:rsidRPr="008626DA">
        <w:rPr>
          <w:rFonts w:ascii="Arial" w:hAnsi="Arial" w:cs="Arial"/>
          <w:sz w:val="22"/>
          <w:szCs w:val="22"/>
          <w:lang w:val="en-US"/>
        </w:rPr>
        <w:br/>
        <w:t>Four specific hypotheses (H1–H4) are formulated at the end of the introduction.</w:t>
      </w:r>
    </w:p>
    <w:p w14:paraId="604CC710" w14:textId="3E11D243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</w:rPr>
      </w:pPr>
    </w:p>
    <w:p w14:paraId="7C7DA27A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METHODS</w:t>
      </w:r>
    </w:p>
    <w:p w14:paraId="7ACF1136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3. Study Design</w:t>
      </w:r>
    </w:p>
    <w:p w14:paraId="74D43E39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3a. Description of trial design (such as parallel, factorial) including allocation ratio:</w:t>
      </w:r>
      <w:r w:rsidRPr="008626DA">
        <w:rPr>
          <w:rFonts w:ascii="Arial" w:hAnsi="Arial" w:cs="Arial"/>
          <w:sz w:val="22"/>
          <w:szCs w:val="22"/>
          <w:lang w:val="en-US"/>
        </w:rPr>
        <w:br/>
        <w:t>Single-center, three-arm, randomized controlled trial with a parallel-group design. Participants were randomly allocated in a 1:1:1 ratio to one of three groups: (1) general immersive competence (IC) training, (2) general plus specific IC training, or (3) no structured IC training (control group). Randomization used a computer-generated sequence with fixed block sizes (n=9). Performance outcomes were assessed after the intervention in a single VR-based clinical assessment scenario.</w:t>
      </w:r>
    </w:p>
    <w:p w14:paraId="0D64096C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3b. Important changes to methods after trial commencement (such as eligibility criteria), with reasons:</w:t>
      </w:r>
      <w:r w:rsidRPr="008626DA">
        <w:rPr>
          <w:rFonts w:ascii="Arial" w:hAnsi="Arial" w:cs="Arial"/>
          <w:sz w:val="22"/>
          <w:szCs w:val="22"/>
          <w:lang w:val="en-US"/>
        </w:rPr>
        <w:br/>
        <w:t>No major changes to trial methods were made after commencement.</w:t>
      </w:r>
    </w:p>
    <w:p w14:paraId="51CA1953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4. Participants</w:t>
      </w:r>
    </w:p>
    <w:p w14:paraId="513A5B9E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4a. Eligibility criteria for participants:</w:t>
      </w:r>
      <w:r w:rsidRPr="008626DA">
        <w:rPr>
          <w:rFonts w:ascii="Arial" w:hAnsi="Arial" w:cs="Arial"/>
          <w:sz w:val="22"/>
          <w:szCs w:val="22"/>
          <w:lang w:val="en-US"/>
        </w:rPr>
        <w:br/>
        <w:t>Included advanced medical students (from semester 7 onwards); excluded those with epilepsy or severe simulator sickness.</w:t>
      </w:r>
    </w:p>
    <w:p w14:paraId="46D9ADC4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4b. Settings and locations where data were collected:</w:t>
      </w:r>
      <w:r w:rsidRPr="008626DA">
        <w:rPr>
          <w:rFonts w:ascii="Arial" w:hAnsi="Arial" w:cs="Arial"/>
          <w:sz w:val="22"/>
          <w:szCs w:val="22"/>
          <w:lang w:val="en-US"/>
        </w:rPr>
        <w:br/>
        <w:t>The study was conducted in the VR lab of University Hospital Würzburg.</w:t>
      </w:r>
    </w:p>
    <w:p w14:paraId="27EC0B3A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5. Interventions</w:t>
      </w:r>
    </w:p>
    <w:p w14:paraId="25776D70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 xml:space="preserve">5a. The interventions for each group with sufficient details to allow replication, including how and when they were </w:t>
      </w:r>
      <w:proofErr w:type="gramStart"/>
      <w:r w:rsidRPr="008626DA">
        <w:rPr>
          <w:rFonts w:ascii="Arial" w:hAnsi="Arial" w:cs="Arial"/>
          <w:b/>
          <w:bCs/>
          <w:sz w:val="22"/>
          <w:szCs w:val="22"/>
          <w:lang w:val="en-US"/>
        </w:rPr>
        <w:t>actually administered</w:t>
      </w:r>
      <w:proofErr w:type="gramEnd"/>
      <w:r w:rsidRPr="008626DA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Pr="008626DA">
        <w:rPr>
          <w:rFonts w:ascii="Arial" w:hAnsi="Arial" w:cs="Arial"/>
          <w:sz w:val="22"/>
          <w:szCs w:val="22"/>
          <w:lang w:val="en-US"/>
        </w:rPr>
        <w:br/>
        <w:t>Interventions include: I1 – general IC training; I2 – general + specific IC training; CO – no structured training. Each intervention lasted ~25 minutes. Interventions were conducted individually after informed consent and basic VR introduction.</w:t>
      </w:r>
    </w:p>
    <w:p w14:paraId="71AE3275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6. Outcomes</w:t>
      </w:r>
    </w:p>
    <w:p w14:paraId="42D2AB5D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6a. Completely defined pre-specified primary and secondary outcome measures, including how and when they were assessed:</w:t>
      </w:r>
      <w:r w:rsidRPr="008626DA">
        <w:rPr>
          <w:rFonts w:ascii="Arial" w:hAnsi="Arial" w:cs="Arial"/>
          <w:sz w:val="22"/>
          <w:szCs w:val="22"/>
          <w:lang w:val="en-US"/>
        </w:rPr>
        <w:br/>
        <w:t>Primary: clinical performance (adapted OSCE checklist); secondary: procedural efficiency (SPT), cognitive load (NASA-TLX and EDA), usability barriers, acceptance.</w:t>
      </w:r>
    </w:p>
    <w:p w14:paraId="2704E82D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6b. Any changes to trial outcomes after the trial commenced:</w:t>
      </w:r>
      <w:r w:rsidRPr="008626DA">
        <w:rPr>
          <w:rFonts w:ascii="Arial" w:hAnsi="Arial" w:cs="Arial"/>
          <w:sz w:val="22"/>
          <w:szCs w:val="22"/>
          <w:lang w:val="en-US"/>
        </w:rPr>
        <w:br/>
        <w:t>No changes were made.</w:t>
      </w:r>
    </w:p>
    <w:p w14:paraId="024BD494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7. Sample Size</w:t>
      </w:r>
    </w:p>
    <w:p w14:paraId="3226D728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7a. How sample size was determined:</w:t>
      </w:r>
      <w:r w:rsidRPr="008626DA">
        <w:rPr>
          <w:rFonts w:ascii="Arial" w:hAnsi="Arial" w:cs="Arial"/>
          <w:sz w:val="22"/>
          <w:szCs w:val="22"/>
          <w:lang w:val="en-US"/>
        </w:rPr>
        <w:br/>
        <w:t>Based on power analysis (</w:t>
      </w:r>
      <w:r w:rsidRPr="008626DA">
        <w:rPr>
          <w:rFonts w:ascii="Arial" w:hAnsi="Arial" w:cs="Arial"/>
          <w:sz w:val="22"/>
          <w:szCs w:val="22"/>
        </w:rPr>
        <w:t>α</w:t>
      </w:r>
      <w:r w:rsidRPr="008626DA">
        <w:rPr>
          <w:rFonts w:ascii="Arial" w:hAnsi="Arial" w:cs="Arial"/>
          <w:sz w:val="22"/>
          <w:szCs w:val="22"/>
          <w:lang w:val="en-US"/>
        </w:rPr>
        <w:t>=0.05, power=0.8, effect size f=0.25); minimum 84 participants required; 94 enrolled.</w:t>
      </w:r>
    </w:p>
    <w:p w14:paraId="1718E584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7b. When applicable, explanation of any interim analyses and stopping guidelines:</w:t>
      </w:r>
      <w:r w:rsidRPr="008626DA">
        <w:rPr>
          <w:rFonts w:ascii="Arial" w:hAnsi="Arial" w:cs="Arial"/>
          <w:sz w:val="22"/>
          <w:szCs w:val="22"/>
          <w:lang w:val="en-US"/>
        </w:rPr>
        <w:br/>
        <w:t>Not applicable.</w:t>
      </w:r>
    </w:p>
    <w:p w14:paraId="3129A41D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8. Randomization</w:t>
      </w:r>
    </w:p>
    <w:p w14:paraId="2589B7FD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8a. Method used to generate the random allocation sequence:</w:t>
      </w:r>
      <w:r w:rsidRPr="008626DA">
        <w:rPr>
          <w:rFonts w:ascii="Arial" w:hAnsi="Arial" w:cs="Arial"/>
          <w:sz w:val="22"/>
          <w:szCs w:val="22"/>
          <w:lang w:val="en-US"/>
        </w:rPr>
        <w:br/>
        <w:t>Computer-generated sequence with fixed block size n=9.</w:t>
      </w:r>
    </w:p>
    <w:p w14:paraId="2F643B61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8b. Type of randomization and any restrictions:</w:t>
      </w:r>
      <w:r w:rsidRPr="008626DA">
        <w:rPr>
          <w:rFonts w:ascii="Arial" w:hAnsi="Arial" w:cs="Arial"/>
          <w:sz w:val="22"/>
          <w:szCs w:val="22"/>
          <w:lang w:val="en-US"/>
        </w:rPr>
        <w:br/>
        <w:t>1:1:1 allocation; fixed block size.</w:t>
      </w:r>
    </w:p>
    <w:p w14:paraId="3346C33E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9. Allocation concealment mechanism</w:t>
      </w:r>
    </w:p>
    <w:p w14:paraId="3CBCF48B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Mechanism used to implement the random allocation sequence (such as sequentially numbered containers), describing any steps taken to conceal the sequence until interventions were assigned:</w:t>
      </w:r>
      <w:r w:rsidRPr="008626DA">
        <w:rPr>
          <w:rFonts w:ascii="Arial" w:hAnsi="Arial" w:cs="Arial"/>
          <w:sz w:val="22"/>
          <w:szCs w:val="22"/>
          <w:lang w:val="en-US"/>
        </w:rPr>
        <w:br/>
        <w:t>Allocation was concealed until assignment; participants could not be blinded due to visible training differences; outcome raters were blinded.</w:t>
      </w:r>
    </w:p>
    <w:p w14:paraId="37FE5C3A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10. Implementation</w:t>
      </w:r>
    </w:p>
    <w:p w14:paraId="3424EDD8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Who generated the random allocation sequence, who enrolled participants, and who assigned participants to interventions:</w:t>
      </w:r>
      <w:r w:rsidRPr="008626DA">
        <w:rPr>
          <w:rFonts w:ascii="Arial" w:hAnsi="Arial" w:cs="Arial"/>
          <w:sz w:val="22"/>
          <w:szCs w:val="22"/>
          <w:lang w:val="en-US"/>
        </w:rPr>
        <w:br/>
        <w:t>Randomization was computer-generated; study personnel enrolled and assigned participants; raters remained blinded.</w:t>
      </w:r>
    </w:p>
    <w:p w14:paraId="07C549F8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11. Blinding</w:t>
      </w:r>
    </w:p>
    <w:p w14:paraId="36B3620C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11a. Who was blinded after assignment to interventions:</w:t>
      </w:r>
      <w:r w:rsidRPr="008626DA">
        <w:rPr>
          <w:rFonts w:ascii="Arial" w:hAnsi="Arial" w:cs="Arial"/>
          <w:sz w:val="22"/>
          <w:szCs w:val="22"/>
          <w:lang w:val="en-US"/>
        </w:rPr>
        <w:br/>
        <w:t>Outcome raters were blinded; participants were not.</w:t>
      </w:r>
    </w:p>
    <w:p w14:paraId="1AC52D9E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11b. If relevant, description of the similarity of interventions:</w:t>
      </w:r>
      <w:r w:rsidRPr="008626DA">
        <w:rPr>
          <w:rFonts w:ascii="Arial" w:hAnsi="Arial" w:cs="Arial"/>
          <w:sz w:val="22"/>
          <w:szCs w:val="22"/>
          <w:lang w:val="en-US"/>
        </w:rPr>
        <w:br/>
        <w:t>Not relevant, as participants were not blinded.</w:t>
      </w:r>
    </w:p>
    <w:p w14:paraId="1973D646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12. Statistical Methods</w:t>
      </w:r>
    </w:p>
    <w:p w14:paraId="0BF00709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12a. Statistical methods used for primary and secondary outcomes:</w:t>
      </w:r>
      <w:r w:rsidRPr="008626DA">
        <w:rPr>
          <w:rFonts w:ascii="Arial" w:hAnsi="Arial" w:cs="Arial"/>
          <w:sz w:val="22"/>
          <w:szCs w:val="22"/>
          <w:lang w:val="en-US"/>
        </w:rPr>
        <w:br/>
        <w:t xml:space="preserve">Normality tested via Shapiro-Wilk; group comparisons ANOVA or Kruskal-Wallis; post-hoc Mann-Whitney; correlations via Pearson or Spearman; regression analyses with partial </w:t>
      </w:r>
      <w:r w:rsidRPr="008626DA">
        <w:rPr>
          <w:rFonts w:ascii="Arial" w:hAnsi="Arial" w:cs="Arial"/>
          <w:sz w:val="22"/>
          <w:szCs w:val="22"/>
        </w:rPr>
        <w:t>η</w:t>
      </w:r>
      <w:r w:rsidRPr="008626DA">
        <w:rPr>
          <w:rFonts w:ascii="Arial" w:hAnsi="Arial" w:cs="Arial"/>
          <w:sz w:val="22"/>
          <w:szCs w:val="22"/>
          <w:lang w:val="en-US"/>
        </w:rPr>
        <w:t>²; software: R and GraphPad Prism.</w:t>
      </w:r>
    </w:p>
    <w:p w14:paraId="124AA250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12b. Methods for additional analyses:</w:t>
      </w:r>
      <w:r w:rsidRPr="008626DA">
        <w:rPr>
          <w:rFonts w:ascii="Arial" w:hAnsi="Arial" w:cs="Arial"/>
          <w:sz w:val="22"/>
          <w:szCs w:val="22"/>
          <w:lang w:val="en-US"/>
        </w:rPr>
        <w:br/>
        <w:t xml:space="preserve">Interaction effects via regression; interaction analysis incorporating procedural efficiency and cognitive load; interrater reliability via Cohen’s </w:t>
      </w:r>
      <w:r w:rsidRPr="008626DA">
        <w:rPr>
          <w:rFonts w:ascii="Arial" w:hAnsi="Arial" w:cs="Arial"/>
          <w:sz w:val="22"/>
          <w:szCs w:val="22"/>
        </w:rPr>
        <w:t>κ</w:t>
      </w:r>
      <w:r w:rsidRPr="008626DA">
        <w:rPr>
          <w:rFonts w:ascii="Arial" w:hAnsi="Arial" w:cs="Arial"/>
          <w:sz w:val="22"/>
          <w:szCs w:val="22"/>
          <w:lang w:val="en-US"/>
        </w:rPr>
        <w:t>.</w:t>
      </w:r>
    </w:p>
    <w:p w14:paraId="544199D3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X26. Ethics and Informed Consent</w:t>
      </w:r>
    </w:p>
    <w:p w14:paraId="73B7076B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8626DA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i</w:t>
      </w:r>
      <w:proofErr w:type="spellEnd"/>
      <w:r w:rsidRPr="008626DA">
        <w:rPr>
          <w:rFonts w:ascii="Arial" w:hAnsi="Arial" w:cs="Arial"/>
          <w:b/>
          <w:bCs/>
          <w:sz w:val="22"/>
          <w:szCs w:val="22"/>
          <w:lang w:val="en-US"/>
        </w:rPr>
        <w:t>) Ethics approval:</w:t>
      </w:r>
      <w:r w:rsidRPr="008626DA">
        <w:rPr>
          <w:rFonts w:ascii="Arial" w:hAnsi="Arial" w:cs="Arial"/>
          <w:sz w:val="22"/>
          <w:szCs w:val="22"/>
          <w:lang w:val="en-US"/>
        </w:rPr>
        <w:t xml:space="preserve"> Approved by Ethics Committee of University of Würzburg (Proposal No. 2024-316-ka).</w:t>
      </w:r>
      <w:r w:rsidRPr="008626DA">
        <w:rPr>
          <w:rFonts w:ascii="Arial" w:hAnsi="Arial" w:cs="Arial"/>
          <w:sz w:val="22"/>
          <w:szCs w:val="22"/>
          <w:lang w:val="en-US"/>
        </w:rPr>
        <w:br/>
      </w:r>
      <w:r w:rsidRPr="008626DA">
        <w:rPr>
          <w:rFonts w:ascii="Arial" w:hAnsi="Arial" w:cs="Arial"/>
          <w:b/>
          <w:bCs/>
          <w:sz w:val="22"/>
          <w:szCs w:val="22"/>
          <w:lang w:val="en-US"/>
        </w:rPr>
        <w:t>ii) Consent:</w:t>
      </w:r>
      <w:r w:rsidRPr="008626DA">
        <w:rPr>
          <w:rFonts w:ascii="Arial" w:hAnsi="Arial" w:cs="Arial"/>
          <w:sz w:val="22"/>
          <w:szCs w:val="22"/>
          <w:lang w:val="en-US"/>
        </w:rPr>
        <w:t xml:space="preserve"> Written informed consent obtained in person (offline). Participants were informed about study purpose, procedures, risks/benefits, voluntary participation, and withdrawal rights.</w:t>
      </w:r>
      <w:r w:rsidRPr="008626DA">
        <w:rPr>
          <w:rFonts w:ascii="Arial" w:hAnsi="Arial" w:cs="Arial"/>
          <w:sz w:val="22"/>
          <w:szCs w:val="22"/>
          <w:lang w:val="en-US"/>
        </w:rPr>
        <w:br/>
      </w:r>
      <w:r w:rsidRPr="008626DA">
        <w:rPr>
          <w:rFonts w:ascii="Arial" w:hAnsi="Arial" w:cs="Arial"/>
          <w:b/>
          <w:bCs/>
          <w:sz w:val="22"/>
          <w:szCs w:val="22"/>
          <w:lang w:val="en-US"/>
        </w:rPr>
        <w:t>iii) Safety &amp; Security:</w:t>
      </w:r>
      <w:r w:rsidRPr="008626DA">
        <w:rPr>
          <w:rFonts w:ascii="Arial" w:hAnsi="Arial" w:cs="Arial"/>
          <w:sz w:val="22"/>
          <w:szCs w:val="22"/>
          <w:lang w:val="en-US"/>
        </w:rPr>
        <w:t xml:space="preserve"> Screening for epilepsy or severe simulator sickness, supervised VR sessions in controlled lab, data anonymized, encrypted, and stored securely.</w:t>
      </w:r>
    </w:p>
    <w:p w14:paraId="4FA496EC" w14:textId="797FFCCA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</w:rPr>
      </w:pPr>
    </w:p>
    <w:p w14:paraId="783EA9BB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RESULTS</w:t>
      </w:r>
    </w:p>
    <w:p w14:paraId="17026E83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13. Participant Flow</w:t>
      </w:r>
    </w:p>
    <w:p w14:paraId="53564991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13a. Numbers of participants randomized, received treatment, analyzed for primary outcome:</w:t>
      </w:r>
      <w:r w:rsidRPr="008626DA">
        <w:rPr>
          <w:rFonts w:ascii="Arial" w:hAnsi="Arial" w:cs="Arial"/>
          <w:sz w:val="22"/>
          <w:szCs w:val="22"/>
          <w:lang w:val="en-US"/>
        </w:rPr>
        <w:br/>
        <w:t>94 enrolled, 88 analyzed (I1=28, I2=30, CO=30); exclusions due to VR issues, missing videos, incomplete questionnaires. Flow diagram included (Figure 1).</w:t>
      </w:r>
    </w:p>
    <w:p w14:paraId="30511F6F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13b. Losses and exclusions after randomization:</w:t>
      </w:r>
      <w:r w:rsidRPr="008626DA">
        <w:rPr>
          <w:rFonts w:ascii="Arial" w:hAnsi="Arial" w:cs="Arial"/>
          <w:sz w:val="22"/>
          <w:szCs w:val="22"/>
          <w:lang w:val="en-US"/>
        </w:rPr>
        <w:br/>
        <w:t>Six datasets excluded due to technical problems.</w:t>
      </w:r>
    </w:p>
    <w:p w14:paraId="332FC469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14. Recruitment</w:t>
      </w:r>
    </w:p>
    <w:p w14:paraId="4A8EB6E0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14a. Dates defining recruitment and follow-up:</w:t>
      </w:r>
      <w:r w:rsidRPr="008626DA">
        <w:rPr>
          <w:rFonts w:ascii="Arial" w:hAnsi="Arial" w:cs="Arial"/>
          <w:sz w:val="22"/>
          <w:szCs w:val="22"/>
          <w:lang w:val="en-US"/>
        </w:rPr>
        <w:br/>
        <w:t>Recruitment from January to August 2025.</w:t>
      </w:r>
    </w:p>
    <w:p w14:paraId="600A9B32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14b. Why the trial ended or was stopped:</w:t>
      </w:r>
      <w:r w:rsidRPr="008626DA">
        <w:rPr>
          <w:rFonts w:ascii="Arial" w:hAnsi="Arial" w:cs="Arial"/>
          <w:sz w:val="22"/>
          <w:szCs w:val="22"/>
          <w:lang w:val="en-US"/>
        </w:rPr>
        <w:br/>
        <w:t>Completed as planned; no early stopping.</w:t>
      </w:r>
    </w:p>
    <w:p w14:paraId="11F0B59E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15. Baseline Data</w:t>
      </w:r>
    </w:p>
    <w:p w14:paraId="5A7429D1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Baseline demographic and clinical characteristics for each group:</w:t>
      </w:r>
      <w:r w:rsidRPr="008626DA">
        <w:rPr>
          <w:rFonts w:ascii="Arial" w:hAnsi="Arial" w:cs="Arial"/>
          <w:sz w:val="22"/>
          <w:szCs w:val="22"/>
          <w:lang w:val="en-US"/>
        </w:rPr>
        <w:br/>
        <w:t>Age, gender, exam results, 3D/VR experience reported (Table 1).</w:t>
      </w:r>
    </w:p>
    <w:p w14:paraId="35751257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16. Numbers Analyzed</w:t>
      </w:r>
    </w:p>
    <w:p w14:paraId="674D5E28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Number of participants included in each analysis, whether by original assigned groups:</w:t>
      </w:r>
      <w:r w:rsidRPr="008626DA">
        <w:rPr>
          <w:rFonts w:ascii="Arial" w:hAnsi="Arial" w:cs="Arial"/>
          <w:sz w:val="22"/>
          <w:szCs w:val="22"/>
          <w:lang w:val="en-US"/>
        </w:rPr>
        <w:br/>
        <w:t>n=88; analyzed according to intention-to-treat by assigned groups.</w:t>
      </w:r>
    </w:p>
    <w:p w14:paraId="1E221A79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17. Outcomes and Estimation</w:t>
      </w:r>
    </w:p>
    <w:p w14:paraId="1D5E43B0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17a. Results for each primary and secondary outcome, effect size:</w:t>
      </w:r>
      <w:r w:rsidRPr="008626DA">
        <w:rPr>
          <w:rFonts w:ascii="Arial" w:hAnsi="Arial" w:cs="Arial"/>
          <w:sz w:val="22"/>
          <w:szCs w:val="22"/>
          <w:lang w:val="en-US"/>
        </w:rPr>
        <w:br/>
        <w:t>Primary: clinical performance: I2=28.3±10.3%, I1=19.9±10.6%, CO=21.2±10.8%, p=.010, d=0.67; secondary: SPT trained/untrained, cognitive load TLX1/TLX2, usability barriers.</w:t>
      </w:r>
    </w:p>
    <w:p w14:paraId="44578576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17b. For binary outcomes, presentation of both absolute and relative effect sizes:</w:t>
      </w:r>
      <w:r w:rsidRPr="008626DA">
        <w:rPr>
          <w:rFonts w:ascii="Arial" w:hAnsi="Arial" w:cs="Arial"/>
          <w:sz w:val="22"/>
          <w:szCs w:val="22"/>
          <w:lang w:val="en-US"/>
        </w:rPr>
        <w:br/>
        <w:t>No binary outcomes reported.</w:t>
      </w:r>
    </w:p>
    <w:p w14:paraId="6CA7E77E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18. Ancillary Analyses</w:t>
      </w:r>
    </w:p>
    <w:p w14:paraId="0068AEA2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Subgroup or exploratory analyses:</w:t>
      </w:r>
      <w:r w:rsidRPr="008626DA">
        <w:rPr>
          <w:rFonts w:ascii="Arial" w:hAnsi="Arial" w:cs="Arial"/>
          <w:sz w:val="22"/>
          <w:szCs w:val="22"/>
          <w:lang w:val="en-US"/>
        </w:rPr>
        <w:br/>
        <w:t>Correlation between 3D experience and clinical performance and interaction via procedural efficiency and cognitive load were performed for each subgroup.</w:t>
      </w:r>
    </w:p>
    <w:p w14:paraId="4B003905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19. Harms</w:t>
      </w:r>
    </w:p>
    <w:p w14:paraId="6298492F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Important adverse events or unintended effects:</w:t>
      </w:r>
      <w:r w:rsidRPr="008626DA">
        <w:rPr>
          <w:rFonts w:ascii="Arial" w:hAnsi="Arial" w:cs="Arial"/>
          <w:sz w:val="22"/>
          <w:szCs w:val="22"/>
          <w:lang w:val="en-US"/>
        </w:rPr>
        <w:br/>
        <w:t>Technical problems reported in Figure 1; minor simulator complaints not specifically reported.</w:t>
      </w:r>
    </w:p>
    <w:p w14:paraId="073C8C89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22. Interpretation consistent with results, balancing benefits and harms:</w:t>
      </w:r>
    </w:p>
    <w:p w14:paraId="38E80BEF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sz w:val="22"/>
          <w:szCs w:val="22"/>
          <w:lang w:val="en-US"/>
        </w:rPr>
        <w:lastRenderedPageBreak/>
        <w:t>Discussion highlights causal effect of IC, benefits of specific training, limitations</w:t>
      </w:r>
      <w:proofErr w:type="gramStart"/>
      <w:r w:rsidRPr="008626DA">
        <w:rPr>
          <w:rFonts w:ascii="Arial" w:hAnsi="Arial" w:cs="Arial"/>
          <w:sz w:val="22"/>
          <w:szCs w:val="22"/>
          <w:lang w:val="en-US"/>
        </w:rPr>
        <w:t>, implications</w:t>
      </w:r>
      <w:proofErr w:type="gramEnd"/>
      <w:r w:rsidRPr="008626DA">
        <w:rPr>
          <w:rFonts w:ascii="Arial" w:hAnsi="Arial" w:cs="Arial"/>
          <w:sz w:val="22"/>
          <w:szCs w:val="22"/>
          <w:lang w:val="en-US"/>
        </w:rPr>
        <w:t xml:space="preserve"> for equity in VR assessment.</w:t>
      </w:r>
    </w:p>
    <w:p w14:paraId="391E9116" w14:textId="532625AB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</w:rPr>
      </w:pPr>
    </w:p>
    <w:p w14:paraId="64B0DAD9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8626DA">
        <w:rPr>
          <w:rFonts w:ascii="Arial" w:hAnsi="Arial" w:cs="Arial"/>
          <w:b/>
          <w:bCs/>
          <w:sz w:val="22"/>
          <w:szCs w:val="22"/>
        </w:rPr>
        <w:t>DISCUSSION</w:t>
      </w:r>
    </w:p>
    <w:p w14:paraId="6FC89936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8626DA">
        <w:rPr>
          <w:rFonts w:ascii="Arial" w:hAnsi="Arial" w:cs="Arial"/>
          <w:b/>
          <w:bCs/>
          <w:sz w:val="22"/>
          <w:szCs w:val="22"/>
        </w:rPr>
        <w:t xml:space="preserve">20. </w:t>
      </w:r>
      <w:proofErr w:type="spellStart"/>
      <w:r w:rsidRPr="008626DA">
        <w:rPr>
          <w:rFonts w:ascii="Arial" w:hAnsi="Arial" w:cs="Arial"/>
          <w:b/>
          <w:bCs/>
          <w:sz w:val="22"/>
          <w:szCs w:val="22"/>
        </w:rPr>
        <w:t>Limitations</w:t>
      </w:r>
      <w:proofErr w:type="spellEnd"/>
    </w:p>
    <w:p w14:paraId="7DAA9969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sz w:val="22"/>
          <w:szCs w:val="22"/>
          <w:lang w:val="en-US"/>
        </w:rPr>
        <w:t>Limited by its single-center design, brief single-session IC training, and scenario focus on internal medicine emergencies, which may restrict generalizability. Cognitive load measures were partly subjective or non-specific, and some analyses were exploratory, introducing potential bias and imprecision.</w:t>
      </w:r>
    </w:p>
    <w:p w14:paraId="14CC4776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21. Generalizability</w:t>
      </w:r>
    </w:p>
    <w:p w14:paraId="7BDE2626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sz w:val="22"/>
          <w:szCs w:val="22"/>
          <w:lang w:val="en-US"/>
        </w:rPr>
        <w:t>Conducted in a cohort of medical students; limitations for other populations noted.</w:t>
      </w:r>
    </w:p>
    <w:p w14:paraId="146A670F" w14:textId="11D929D2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</w:rPr>
      </w:pPr>
    </w:p>
    <w:p w14:paraId="5100699D" w14:textId="77777777" w:rsidR="008626DA" w:rsidRPr="008626DA" w:rsidRDefault="008626DA" w:rsidP="008B75E3">
      <w:pPr>
        <w:spacing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OTHER INFORMATION</w:t>
      </w:r>
    </w:p>
    <w:p w14:paraId="17E08A99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23. Registration number and name of trial registry:</w:t>
      </w:r>
      <w:r w:rsidRPr="008626DA">
        <w:rPr>
          <w:rFonts w:ascii="Arial" w:hAnsi="Arial" w:cs="Arial"/>
          <w:sz w:val="22"/>
          <w:szCs w:val="22"/>
          <w:lang w:val="en-US"/>
        </w:rPr>
        <w:br/>
        <w:t>Study was a non-clinical educational research trial and was not registered in a clinical trial registry.</w:t>
      </w:r>
    </w:p>
    <w:p w14:paraId="1C31CBE7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24. Protocol:</w:t>
      </w:r>
      <w:r w:rsidRPr="008626DA">
        <w:rPr>
          <w:rFonts w:ascii="Arial" w:hAnsi="Arial" w:cs="Arial"/>
          <w:sz w:val="22"/>
          <w:szCs w:val="22"/>
          <w:lang w:val="en-US"/>
        </w:rPr>
        <w:br/>
        <w:t>Not reported.</w:t>
      </w:r>
    </w:p>
    <w:p w14:paraId="3D6818DC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25. Funding:</w:t>
      </w:r>
      <w:r w:rsidRPr="008626DA">
        <w:rPr>
          <w:rFonts w:ascii="Arial" w:hAnsi="Arial" w:cs="Arial"/>
          <w:sz w:val="22"/>
          <w:szCs w:val="22"/>
          <w:lang w:val="en-US"/>
        </w:rPr>
        <w:br/>
        <w:t>Study received no funding.</w:t>
      </w:r>
    </w:p>
    <w:p w14:paraId="5D8E95BF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26. Conflicts of interest:</w:t>
      </w:r>
      <w:r w:rsidRPr="008626DA">
        <w:rPr>
          <w:rFonts w:ascii="Arial" w:hAnsi="Arial" w:cs="Arial"/>
          <w:sz w:val="22"/>
          <w:szCs w:val="22"/>
          <w:lang w:val="en-US"/>
        </w:rPr>
        <w:br/>
        <w:t>TM involved in development of STEP-VR software; others declare none.</w:t>
      </w:r>
    </w:p>
    <w:p w14:paraId="4213BAD2" w14:textId="77777777" w:rsidR="008626DA" w:rsidRPr="008626DA" w:rsidRDefault="008626DA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8626DA">
        <w:rPr>
          <w:rFonts w:ascii="Arial" w:hAnsi="Arial" w:cs="Arial"/>
          <w:b/>
          <w:bCs/>
          <w:sz w:val="22"/>
          <w:szCs w:val="22"/>
          <w:lang w:val="en-US"/>
        </w:rPr>
        <w:t>27. Access to data:</w:t>
      </w:r>
      <w:r w:rsidRPr="008626DA">
        <w:rPr>
          <w:rFonts w:ascii="Arial" w:hAnsi="Arial" w:cs="Arial"/>
          <w:sz w:val="22"/>
          <w:szCs w:val="22"/>
          <w:lang w:val="en-US"/>
        </w:rPr>
        <w:br/>
        <w:t>Data available as Supplementary Data 1; video recordings on request.</w:t>
      </w:r>
    </w:p>
    <w:p w14:paraId="2E5E92FE" w14:textId="77777777" w:rsidR="00582701" w:rsidRPr="008626DA" w:rsidRDefault="00582701" w:rsidP="008B75E3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sectPr w:rsidR="00582701" w:rsidRPr="008626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DA"/>
    <w:rsid w:val="001A022E"/>
    <w:rsid w:val="00582701"/>
    <w:rsid w:val="008626DA"/>
    <w:rsid w:val="008B75E3"/>
    <w:rsid w:val="009328A7"/>
    <w:rsid w:val="00B95C7F"/>
    <w:rsid w:val="00D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8623"/>
  <w15:chartTrackingRefBased/>
  <w15:docId w15:val="{0FCF72DD-2E94-4989-AA0D-DFDC769B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62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62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62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62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2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2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2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2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2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2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62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6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6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6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6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6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6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62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62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2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2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62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626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626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626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2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26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62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6651</Characters>
  <Application>Microsoft Office Word</Application>
  <DocSecurity>0</DocSecurity>
  <Lines>55</Lines>
  <Paragraphs>15</Paragraphs>
  <ScaleCrop>false</ScaleCrop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Mühling, Tobias</dc:creator>
  <cp:keywords/>
  <dc:description/>
  <cp:lastModifiedBy>Mühling, Tobias</cp:lastModifiedBy>
  <cp:revision>2</cp:revision>
  <dcterms:created xsi:type="dcterms:W3CDTF">2025-09-19T14:21:00Z</dcterms:created>
  <dcterms:modified xsi:type="dcterms:W3CDTF">2025-09-19T14:23:00Z</dcterms:modified>
</cp:coreProperties>
</file>