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8"/>
        <w:gridCol w:w="1758"/>
        <w:gridCol w:w="1757"/>
        <w:gridCol w:w="1757"/>
        <w:gridCol w:w="1757"/>
        <w:gridCol w:w="1757"/>
        <w:gridCol w:w="1757"/>
        <w:gridCol w:w="1757"/>
        <w:gridCol w:w="229"/>
      </w:tblGrid>
      <w:tr w:rsidR="00177368" w:rsidRPr="00177368" w:rsidTr="00177368">
        <w:trPr>
          <w:trHeight w:val="26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it-IT"/>
              </w:rPr>
              <w:t>Supplementary Table 1 - Characterization of genes differentially modulated after ablative treatement in the PBMCs of patients with CR and PR.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177368" w:rsidRPr="00177368" w:rsidTr="00177368">
        <w:trPr>
          <w:trHeight w:val="26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it-IT"/>
              </w:rPr>
              <w:t>(A) List of up- and down-regulated genes in patients with CR; (B) List of up- and down-regulated genes in patients with PR; (C) List of differentially expressed genes between patients with CR and PR at T0; (D) List of differentially expressed genes between patients with CR and PR at T1;  </w:t>
            </w:r>
          </w:p>
        </w:tc>
      </w:tr>
      <w:tr w:rsidR="00177368" w:rsidRPr="00177368" w:rsidTr="00177368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177368" w:rsidRPr="00177368" w:rsidTr="00177368">
        <w:trPr>
          <w:trHeight w:val="260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it-IT"/>
              </w:rPr>
              <w:t xml:space="preserve">Supplementary Table 1A - List of up- and down-regulated genes in CR patients.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:rsidR="00C96CF1" w:rsidRDefault="00177368">
      <w:r w:rsidRPr="00177368">
        <w:drawing>
          <wp:inline distT="0" distB="0" distL="0" distR="0">
            <wp:extent cx="9791870" cy="4698679"/>
            <wp:effectExtent l="0" t="0" r="0" b="698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0437" cy="4726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0"/>
        <w:gridCol w:w="4044"/>
        <w:gridCol w:w="299"/>
        <w:gridCol w:w="299"/>
      </w:tblGrid>
      <w:tr w:rsidR="00177368" w:rsidRPr="00177368" w:rsidTr="00177368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Legend: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177368" w:rsidRPr="00177368" w:rsidTr="00177368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CRM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Complete response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177368" w:rsidRPr="00177368" w:rsidTr="00177368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Fold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Fold Change T1 vs. T0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177368" w:rsidRPr="00177368" w:rsidTr="00177368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lastRenderedPageBreak/>
              <w:t>P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Significance at the Wilcoxon signed-rank test (T0 vs. T1)</w:t>
            </w:r>
          </w:p>
        </w:tc>
        <w:bookmarkStart w:id="0" w:name="_GoBack"/>
        <w:bookmarkEnd w:id="0"/>
      </w:tr>
      <w:tr w:rsidR="00177368" w:rsidRPr="00177368" w:rsidTr="00177368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FDR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False Discovery Rete (T0 vs. T1)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</w:tr>
      <w:tr w:rsidR="00177368" w:rsidRPr="00177368" w:rsidTr="00177368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CRM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177368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Chromosome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7368" w:rsidRPr="00177368" w:rsidRDefault="00177368" w:rsidP="0017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:rsidR="00177368" w:rsidRDefault="00177368"/>
    <w:sectPr w:rsidR="00177368" w:rsidSect="00177368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49E5" w:rsidRDefault="00C949E5" w:rsidP="00177368">
      <w:pPr>
        <w:spacing w:after="0" w:line="240" w:lineRule="auto"/>
      </w:pPr>
      <w:r>
        <w:separator/>
      </w:r>
    </w:p>
  </w:endnote>
  <w:endnote w:type="continuationSeparator" w:id="0">
    <w:p w:rsidR="00C949E5" w:rsidRDefault="00C949E5" w:rsidP="001773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49E5" w:rsidRDefault="00C949E5" w:rsidP="00177368">
      <w:pPr>
        <w:spacing w:after="0" w:line="240" w:lineRule="auto"/>
      </w:pPr>
      <w:r>
        <w:separator/>
      </w:r>
    </w:p>
  </w:footnote>
  <w:footnote w:type="continuationSeparator" w:id="0">
    <w:p w:rsidR="00C949E5" w:rsidRDefault="00C949E5" w:rsidP="001773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368"/>
    <w:rsid w:val="00177368"/>
    <w:rsid w:val="00C949E5"/>
    <w:rsid w:val="00C9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3B0E1"/>
  <w15:chartTrackingRefBased/>
  <w15:docId w15:val="{CD8F55A3-35BF-431B-8D57-D1C438569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736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7368"/>
  </w:style>
  <w:style w:type="paragraph" w:styleId="Pidipagina">
    <w:name w:val="footer"/>
    <w:basedOn w:val="Normale"/>
    <w:link w:val="PidipaginaCarattere"/>
    <w:uiPriority w:val="99"/>
    <w:unhideWhenUsed/>
    <w:rsid w:val="0017736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73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9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B5D6F-8294-42FF-AEBA-10B5D5D56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1</cp:revision>
  <dcterms:created xsi:type="dcterms:W3CDTF">2020-01-08T16:14:00Z</dcterms:created>
  <dcterms:modified xsi:type="dcterms:W3CDTF">2020-01-08T16:20:00Z</dcterms:modified>
</cp:coreProperties>
</file>