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6072" w14:textId="217E21C3" w:rsidR="009179FD" w:rsidRPr="00962F42" w:rsidRDefault="009179FD" w:rsidP="009179FD">
      <w:pPr>
        <w:spacing w:line="480" w:lineRule="auto"/>
        <w:ind w:hanging="640"/>
        <w:rPr>
          <w:rFonts w:eastAsia="Times New Roman" w:cstheme="minorHAnsi"/>
          <w:b/>
          <w:bCs/>
        </w:rPr>
      </w:pPr>
      <w:r w:rsidRPr="00962F42">
        <w:rPr>
          <w:rFonts w:eastAsia="Times New Roman" w:cstheme="minorHAnsi"/>
          <w:b/>
          <w:bCs/>
        </w:rPr>
        <w:t xml:space="preserve">Supplementary </w:t>
      </w:r>
      <w:r w:rsidR="00693957">
        <w:rPr>
          <w:rFonts w:eastAsia="Times New Roman" w:cstheme="minorHAnsi"/>
          <w:b/>
          <w:bCs/>
        </w:rPr>
        <w:t>material</w:t>
      </w:r>
    </w:p>
    <w:p w14:paraId="05CED254" w14:textId="77777777" w:rsidR="009179FD" w:rsidRPr="003555E2" w:rsidRDefault="009179FD" w:rsidP="009179FD">
      <w:pPr>
        <w:pStyle w:val="Caption"/>
        <w:keepNext/>
        <w:spacing w:line="480" w:lineRule="auto"/>
        <w:rPr>
          <w:rFonts w:cstheme="minorHAnsi"/>
          <w:b/>
          <w:bCs/>
          <w:i w:val="0"/>
          <w:iCs w:val="0"/>
          <w:color w:val="auto"/>
          <w:sz w:val="22"/>
          <w:szCs w:val="22"/>
        </w:rPr>
      </w:pPr>
      <w:r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Supplementary </w:t>
      </w:r>
      <w:r w:rsidRPr="003555E2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Table </w:t>
      </w:r>
      <w:r>
        <w:rPr>
          <w:rFonts w:cstheme="minorHAnsi"/>
          <w:b/>
          <w:bCs/>
          <w:i w:val="0"/>
          <w:iCs w:val="0"/>
          <w:color w:val="auto"/>
          <w:sz w:val="22"/>
          <w:szCs w:val="22"/>
        </w:rPr>
        <w:t>1</w:t>
      </w:r>
      <w:r w:rsidRPr="003555E2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: Table of analysis themes, sub-themes and codes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1594"/>
        <w:gridCol w:w="1691"/>
        <w:gridCol w:w="5731"/>
      </w:tblGrid>
      <w:tr w:rsidR="009179FD" w:rsidRPr="003555E2" w14:paraId="43F127E5" w14:textId="77777777" w:rsidTr="00595661">
        <w:tc>
          <w:tcPr>
            <w:tcW w:w="1594" w:type="dxa"/>
          </w:tcPr>
          <w:p w14:paraId="6A679CFB" w14:textId="77777777" w:rsidR="009179FD" w:rsidRPr="003555E2" w:rsidRDefault="009179FD" w:rsidP="00595661">
            <w:pPr>
              <w:spacing w:line="240" w:lineRule="auto"/>
              <w:contextualSpacing/>
              <w:rPr>
                <w:rFonts w:cstheme="minorHAnsi"/>
                <w:b/>
                <w:bCs/>
              </w:rPr>
            </w:pPr>
            <w:r w:rsidRPr="003555E2">
              <w:rPr>
                <w:rFonts w:eastAsia="Calibri" w:cstheme="minorHAnsi"/>
                <w:b/>
                <w:bCs/>
              </w:rPr>
              <w:t>Theme</w:t>
            </w:r>
          </w:p>
        </w:tc>
        <w:tc>
          <w:tcPr>
            <w:tcW w:w="1691" w:type="dxa"/>
          </w:tcPr>
          <w:p w14:paraId="23FE396E" w14:textId="77777777" w:rsidR="009179FD" w:rsidRPr="003555E2" w:rsidRDefault="009179FD" w:rsidP="00595661">
            <w:pPr>
              <w:spacing w:line="240" w:lineRule="auto"/>
              <w:contextualSpacing/>
              <w:rPr>
                <w:rFonts w:cstheme="minorHAnsi"/>
                <w:b/>
                <w:bCs/>
              </w:rPr>
            </w:pPr>
            <w:r w:rsidRPr="003555E2">
              <w:rPr>
                <w:rFonts w:eastAsia="Calibri" w:cstheme="minorHAnsi"/>
                <w:b/>
                <w:bCs/>
              </w:rPr>
              <w:t>Sub-theme</w:t>
            </w:r>
          </w:p>
        </w:tc>
        <w:tc>
          <w:tcPr>
            <w:tcW w:w="5731" w:type="dxa"/>
          </w:tcPr>
          <w:p w14:paraId="6AEDE82E" w14:textId="77777777" w:rsidR="009179FD" w:rsidRPr="003555E2" w:rsidRDefault="009179FD" w:rsidP="00595661">
            <w:pPr>
              <w:spacing w:line="240" w:lineRule="auto"/>
              <w:contextualSpacing/>
              <w:rPr>
                <w:rFonts w:cstheme="minorHAnsi"/>
                <w:b/>
                <w:bCs/>
              </w:rPr>
            </w:pPr>
            <w:r w:rsidRPr="003555E2">
              <w:rPr>
                <w:rFonts w:eastAsia="Calibri" w:cstheme="minorHAnsi"/>
                <w:b/>
                <w:bCs/>
              </w:rPr>
              <w:t>Codes</w:t>
            </w:r>
          </w:p>
        </w:tc>
      </w:tr>
      <w:tr w:rsidR="009179FD" w:rsidRPr="003555E2" w14:paraId="6773C216" w14:textId="77777777" w:rsidTr="00595661">
        <w:tc>
          <w:tcPr>
            <w:tcW w:w="1594" w:type="dxa"/>
            <w:vMerge w:val="restart"/>
          </w:tcPr>
          <w:p w14:paraId="15944759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Mpox characteristics</w:t>
            </w:r>
          </w:p>
        </w:tc>
        <w:tc>
          <w:tcPr>
            <w:tcW w:w="1691" w:type="dxa"/>
          </w:tcPr>
          <w:p w14:paraId="7481DBEC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Natural history and pathogenesis</w:t>
            </w:r>
          </w:p>
        </w:tc>
        <w:tc>
          <w:tcPr>
            <w:tcW w:w="5731" w:type="dxa"/>
          </w:tcPr>
          <w:p w14:paraId="34DEEE96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>diagnosis information, disease outcomes, disease outcomes in children, strain of clade, incubation period, symptom description, treatment</w:t>
            </w:r>
          </w:p>
        </w:tc>
      </w:tr>
      <w:tr w:rsidR="009179FD" w:rsidRPr="003555E2" w14:paraId="40482681" w14:textId="77777777" w:rsidTr="00595661">
        <w:tc>
          <w:tcPr>
            <w:tcW w:w="1594" w:type="dxa"/>
            <w:vMerge/>
          </w:tcPr>
          <w:p w14:paraId="5EE9BEC6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691" w:type="dxa"/>
          </w:tcPr>
          <w:p w14:paraId="4848AAA4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>Epidemiology</w:t>
            </w:r>
          </w:p>
        </w:tc>
        <w:tc>
          <w:tcPr>
            <w:tcW w:w="5731" w:type="dxa"/>
          </w:tcPr>
          <w:p w14:paraId="26C720F5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>number of cases, decline in cases, situation in the UK and other high-income countries, current situation in Africa</w:t>
            </w:r>
          </w:p>
        </w:tc>
      </w:tr>
      <w:tr w:rsidR="009179FD" w:rsidRPr="003555E2" w14:paraId="5B36FE1E" w14:textId="77777777" w:rsidTr="00595661">
        <w:tc>
          <w:tcPr>
            <w:tcW w:w="1594" w:type="dxa"/>
            <w:vMerge/>
          </w:tcPr>
          <w:p w14:paraId="2AF9F1FD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691" w:type="dxa"/>
          </w:tcPr>
          <w:p w14:paraId="51C5498E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 xml:space="preserve">Origins </w:t>
            </w:r>
          </w:p>
        </w:tc>
        <w:tc>
          <w:tcPr>
            <w:tcW w:w="5731" w:type="dxa"/>
          </w:tcPr>
          <w:p w14:paraId="18A3B3D7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 xml:space="preserve">lab monkeys, first human cases, first identified in West Africa, geographical history, animal transmission, </w:t>
            </w:r>
            <w:r>
              <w:rPr>
                <w:rFonts w:cstheme="minorHAnsi"/>
              </w:rPr>
              <w:t>GB</w:t>
            </w:r>
            <w:r>
              <w:rPr>
                <w:rFonts w:eastAsia="Calibri" w:cstheme="minorHAnsi"/>
              </w:rPr>
              <w:t>MSM</w:t>
            </w:r>
            <w:r w:rsidRPr="003555E2">
              <w:rPr>
                <w:rFonts w:eastAsia="Calibri" w:cstheme="minorHAnsi"/>
              </w:rPr>
              <w:t xml:space="preserve"> festivals and events</w:t>
            </w:r>
          </w:p>
        </w:tc>
      </w:tr>
      <w:tr w:rsidR="009179FD" w:rsidRPr="003555E2" w14:paraId="45ABDC2B" w14:textId="77777777" w:rsidTr="00595661">
        <w:tc>
          <w:tcPr>
            <w:tcW w:w="1594" w:type="dxa"/>
            <w:vMerge/>
          </w:tcPr>
          <w:p w14:paraId="67BFBBE2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691" w:type="dxa"/>
          </w:tcPr>
          <w:p w14:paraId="4197B806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>Global emergency</w:t>
            </w:r>
          </w:p>
        </w:tc>
        <w:tc>
          <w:tcPr>
            <w:tcW w:w="5731" w:type="dxa"/>
          </w:tcPr>
          <w:p w14:paraId="747B9FBC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>global public health response, renaming monkeypox</w:t>
            </w:r>
          </w:p>
        </w:tc>
      </w:tr>
      <w:tr w:rsidR="009179FD" w:rsidRPr="003555E2" w14:paraId="34429933" w14:textId="77777777" w:rsidTr="00595661">
        <w:trPr>
          <w:trHeight w:val="1621"/>
        </w:trPr>
        <w:tc>
          <w:tcPr>
            <w:tcW w:w="1594" w:type="dxa"/>
            <w:vMerge w:val="restart"/>
          </w:tcPr>
          <w:p w14:paraId="6D2A349C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Delivery of health promotion</w:t>
            </w:r>
          </w:p>
        </w:tc>
        <w:tc>
          <w:tcPr>
            <w:tcW w:w="1691" w:type="dxa"/>
          </w:tcPr>
          <w:p w14:paraId="07314075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>Public health messaging</w:t>
            </w:r>
          </w:p>
        </w:tc>
        <w:tc>
          <w:tcPr>
            <w:tcW w:w="5731" w:type="dxa"/>
          </w:tcPr>
          <w:p w14:paraId="07827EAE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>disease management and advice {advice about contagiousness, advice to isolate, be alert for symptoms, contact tracing, health seeking advice, risk reduction advice, hard to get advice} sexual health as first line service, public health and health response</w:t>
            </w:r>
          </w:p>
        </w:tc>
      </w:tr>
      <w:tr w:rsidR="009179FD" w:rsidRPr="003555E2" w14:paraId="52307902" w14:textId="77777777" w:rsidTr="00595661">
        <w:tc>
          <w:tcPr>
            <w:tcW w:w="1594" w:type="dxa"/>
            <w:vMerge/>
          </w:tcPr>
          <w:p w14:paraId="79FC1802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691" w:type="dxa"/>
          </w:tcPr>
          <w:p w14:paraId="573206CD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>Risk</w:t>
            </w:r>
          </w:p>
        </w:tc>
        <w:tc>
          <w:tcPr>
            <w:tcW w:w="5731" w:type="dxa"/>
          </w:tcPr>
          <w:p w14:paraId="353BCCE7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 xml:space="preserve">anyone can get mpox, men having casual sex at risk, multiple sexual partners, population affected are gay men, risk of mpox becoming endemic, symptoms minimised as no death </w:t>
            </w:r>
          </w:p>
        </w:tc>
      </w:tr>
      <w:tr w:rsidR="009179FD" w:rsidRPr="003555E2" w14:paraId="1063A76D" w14:textId="77777777" w:rsidTr="00595661">
        <w:tc>
          <w:tcPr>
            <w:tcW w:w="1594" w:type="dxa"/>
            <w:vMerge/>
          </w:tcPr>
          <w:p w14:paraId="289F1952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691" w:type="dxa"/>
          </w:tcPr>
          <w:p w14:paraId="7A9B1F39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>Transmission</w:t>
            </w:r>
          </w:p>
        </w:tc>
        <w:tc>
          <w:tcPr>
            <w:tcW w:w="5731" w:type="dxa"/>
          </w:tcPr>
          <w:p w14:paraId="2C09D601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>animal or bushmeat transmission, community transmission, child transmission, respiratory transmission, sexual transmission &amp; sexual networks, transmission through human-to-human close contact</w:t>
            </w:r>
          </w:p>
        </w:tc>
      </w:tr>
      <w:tr w:rsidR="009179FD" w:rsidRPr="003555E2" w14:paraId="04C9C2FB" w14:textId="77777777" w:rsidTr="00595661">
        <w:tc>
          <w:tcPr>
            <w:tcW w:w="1594" w:type="dxa"/>
            <w:vMerge/>
          </w:tcPr>
          <w:p w14:paraId="5A1AC9E0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691" w:type="dxa"/>
          </w:tcPr>
          <w:p w14:paraId="50BF88F1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>Vaccination</w:t>
            </w:r>
          </w:p>
        </w:tc>
        <w:tc>
          <w:tcPr>
            <w:tcW w:w="5731" w:type="dxa"/>
          </w:tcPr>
          <w:p w14:paraId="5EF554F9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>global vaccine access and demand, running out of vaccine, second dose of vaccine, smallpox vaccination as protection, vaccination access and demand, vaccination effectiveness, vaccine allocation – global equity, vaccine allocation - UK</w:t>
            </w:r>
          </w:p>
        </w:tc>
      </w:tr>
      <w:tr w:rsidR="009179FD" w:rsidRPr="003555E2" w14:paraId="63046096" w14:textId="77777777" w:rsidTr="00595661">
        <w:tc>
          <w:tcPr>
            <w:tcW w:w="1594" w:type="dxa"/>
            <w:vMerge w:val="restart"/>
          </w:tcPr>
          <w:p w14:paraId="4B49C796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Anchoring to other infectious diseases</w:t>
            </w:r>
          </w:p>
        </w:tc>
        <w:tc>
          <w:tcPr>
            <w:tcW w:w="1691" w:type="dxa"/>
          </w:tcPr>
          <w:p w14:paraId="687AAC5E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>Comparison to COVID-19</w:t>
            </w:r>
          </w:p>
        </w:tc>
        <w:tc>
          <w:tcPr>
            <w:tcW w:w="5731" w:type="dxa"/>
            <w:vMerge w:val="restart"/>
          </w:tcPr>
          <w:p w14:paraId="45337B0C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9179FD" w:rsidRPr="003555E2" w14:paraId="2C85426C" w14:textId="77777777" w:rsidTr="00595661">
        <w:tc>
          <w:tcPr>
            <w:tcW w:w="1594" w:type="dxa"/>
            <w:vMerge/>
          </w:tcPr>
          <w:p w14:paraId="39FA438B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691" w:type="dxa"/>
          </w:tcPr>
          <w:p w14:paraId="50FDF84C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>Comparisons to HIV</w:t>
            </w:r>
          </w:p>
        </w:tc>
        <w:tc>
          <w:tcPr>
            <w:tcW w:w="5731" w:type="dxa"/>
            <w:vMerge/>
          </w:tcPr>
          <w:p w14:paraId="3A2B5C6B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9179FD" w:rsidRPr="003555E2" w14:paraId="1E8AD2C5" w14:textId="77777777" w:rsidTr="00595661">
        <w:tc>
          <w:tcPr>
            <w:tcW w:w="1594" w:type="dxa"/>
            <w:vMerge/>
          </w:tcPr>
          <w:p w14:paraId="0F520300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691" w:type="dxa"/>
          </w:tcPr>
          <w:p w14:paraId="5849E1B4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  <w:r w:rsidRPr="003555E2">
              <w:rPr>
                <w:rFonts w:eastAsia="Calibri" w:cstheme="minorHAnsi"/>
              </w:rPr>
              <w:t>Comparisons to smallpox</w:t>
            </w:r>
          </w:p>
        </w:tc>
        <w:tc>
          <w:tcPr>
            <w:tcW w:w="5731" w:type="dxa"/>
            <w:vMerge/>
          </w:tcPr>
          <w:p w14:paraId="256493E7" w14:textId="77777777" w:rsidR="009179FD" w:rsidRPr="003555E2" w:rsidRDefault="009179FD" w:rsidP="00595661">
            <w:pPr>
              <w:spacing w:line="240" w:lineRule="auto"/>
              <w:rPr>
                <w:rFonts w:eastAsia="Calibri" w:cstheme="minorHAnsi"/>
              </w:rPr>
            </w:pPr>
          </w:p>
        </w:tc>
      </w:tr>
    </w:tbl>
    <w:p w14:paraId="4EC49ED7" w14:textId="77777777" w:rsidR="009179FD" w:rsidRPr="003555E2" w:rsidRDefault="009179FD" w:rsidP="009179FD">
      <w:pPr>
        <w:spacing w:after="0" w:line="480" w:lineRule="auto"/>
        <w:rPr>
          <w:rFonts w:eastAsia="Calibri" w:cstheme="minorHAnsi"/>
          <w:color w:val="000000" w:themeColor="text1"/>
        </w:rPr>
      </w:pPr>
    </w:p>
    <w:p w14:paraId="680E7EB0" w14:textId="77777777" w:rsidR="009179FD" w:rsidRPr="003555E2" w:rsidRDefault="009179FD" w:rsidP="009179FD">
      <w:pPr>
        <w:spacing w:line="480" w:lineRule="auto"/>
        <w:ind w:hanging="640"/>
        <w:rPr>
          <w:rFonts w:eastAsia="Times New Roman" w:cstheme="minorHAnsi"/>
        </w:rPr>
      </w:pPr>
    </w:p>
    <w:p w14:paraId="0E7E400F" w14:textId="77777777" w:rsidR="00F258D0" w:rsidRDefault="00F258D0"/>
    <w:sectPr w:rsidR="00F25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FD"/>
    <w:rsid w:val="006138E7"/>
    <w:rsid w:val="00693957"/>
    <w:rsid w:val="009179FD"/>
    <w:rsid w:val="00C05058"/>
    <w:rsid w:val="00E141F5"/>
    <w:rsid w:val="00F2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9623"/>
  <w15:chartTrackingRefBased/>
  <w15:docId w15:val="{283E192E-7610-4D45-9A84-61AC3B32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9FD"/>
    <w:pPr>
      <w:suppressAutoHyphens/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9F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9F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9FD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9FD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9FD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9FD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9FD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9FD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9FD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9F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7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9FD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7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9FD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7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9FD"/>
    <w:pPr>
      <w:suppressAutoHyphens w:val="0"/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7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9FD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9179F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9179FD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Prevost, Marthe</dc:creator>
  <cp:keywords/>
  <dc:description/>
  <cp:lastModifiedBy>Le Prevost, Marthe</cp:lastModifiedBy>
  <cp:revision>2</cp:revision>
  <dcterms:created xsi:type="dcterms:W3CDTF">2025-09-19T12:30:00Z</dcterms:created>
  <dcterms:modified xsi:type="dcterms:W3CDTF">2025-09-19T12:32:00Z</dcterms:modified>
</cp:coreProperties>
</file>