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21257" w14:textId="77777777" w:rsidR="006B7D14" w:rsidRPr="00512AD2" w:rsidRDefault="006B7D14" w:rsidP="006B7D14">
      <w:pPr>
        <w:pStyle w:val="ae"/>
        <w:rPr>
          <w:rFonts w:ascii="Arial" w:eastAsia="Quattrocento Sans" w:hAnsi="Arial" w:cs="Arial"/>
          <w:b/>
          <w:color w:val="333333"/>
          <w:sz w:val="36"/>
          <w:szCs w:val="36"/>
          <w:lang w:eastAsia="en-GB"/>
        </w:rPr>
      </w:pPr>
      <w:r w:rsidRPr="00512AD2">
        <w:rPr>
          <w:rFonts w:ascii="Arial" w:eastAsia="Quattrocento Sans" w:hAnsi="Arial" w:cs="Arial"/>
          <w:b/>
          <w:color w:val="333333"/>
          <w:sz w:val="36"/>
          <w:szCs w:val="36"/>
          <w:lang w:eastAsia="en-GB"/>
        </w:rPr>
        <w:t>Supplementary Material</w:t>
      </w:r>
    </w:p>
    <w:p w14:paraId="5A377369" w14:textId="5B035F66" w:rsidR="005A6362" w:rsidRDefault="006B7D14" w:rsidP="006B7D14">
      <w:pPr>
        <w:jc w:val="center"/>
      </w:pPr>
      <w:r>
        <w:rPr>
          <w:rFonts w:hint="eastAsia"/>
          <w:noProof/>
        </w:rPr>
        <w:drawing>
          <wp:inline distT="0" distB="0" distL="0" distR="0" wp14:anchorId="2B6FA0E0" wp14:editId="190C71D8">
            <wp:extent cx="4172181" cy="1752600"/>
            <wp:effectExtent l="0" t="0" r="6350" b="0"/>
            <wp:docPr id="1695553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53547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8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A1BE" w14:textId="645C6616" w:rsidR="006B7D14" w:rsidRPr="00512AD2" w:rsidRDefault="006B7D14" w:rsidP="006B7D14">
      <w:pPr>
        <w:pStyle w:val="ae"/>
        <w:rPr>
          <w:rFonts w:ascii="Arial" w:eastAsiaTheme="minorEastAsia" w:hAnsi="Arial" w:cs="Arial"/>
          <w:sz w:val="24"/>
        </w:rPr>
      </w:pPr>
      <w:bookmarkStart w:id="0" w:name="图1"/>
      <w:r w:rsidRPr="00512AD2">
        <w:rPr>
          <w:rFonts w:ascii="Arial" w:eastAsiaTheme="minorEastAsia" w:hAnsi="Arial" w:cs="Arial"/>
          <w:b/>
          <w:bCs/>
          <w:sz w:val="24"/>
        </w:rPr>
        <w:t>Fig. S1</w:t>
      </w:r>
      <w:r w:rsidRPr="00512AD2">
        <w:rPr>
          <w:rFonts w:ascii="Arial" w:eastAsiaTheme="minorEastAsia" w:hAnsi="Arial" w:cs="Arial"/>
          <w:sz w:val="24"/>
        </w:rPr>
        <w:t xml:space="preserve"> </w:t>
      </w:r>
      <w:r w:rsidRPr="00512AD2">
        <w:rPr>
          <w:rFonts w:ascii="Arial" w:hAnsi="Arial" w:cs="Arial"/>
          <w:sz w:val="24"/>
        </w:rPr>
        <w:t xml:space="preserve">Association of GA-related genes with overall survival. </w:t>
      </w:r>
      <w:r w:rsidRPr="00512AD2">
        <w:rPr>
          <w:rFonts w:ascii="Arial" w:hAnsi="Arial" w:cs="Arial"/>
          <w:b/>
          <w:bCs/>
          <w:sz w:val="24"/>
        </w:rPr>
        <w:t>A</w:t>
      </w:r>
      <w:r w:rsidRPr="00512AD2">
        <w:rPr>
          <w:rFonts w:ascii="Arial" w:hAnsi="Arial" w:cs="Arial"/>
          <w:sz w:val="24"/>
        </w:rPr>
        <w:t xml:space="preserve"> Forest plot of hazard ratios for candidate genes in univariate Cox regression. </w:t>
      </w:r>
      <w:r w:rsidRPr="00512AD2">
        <w:rPr>
          <w:rFonts w:ascii="Arial" w:hAnsi="Arial" w:cs="Arial"/>
          <w:b/>
          <w:bCs/>
          <w:sz w:val="24"/>
        </w:rPr>
        <w:t>B</w:t>
      </w:r>
      <w:r w:rsidRPr="00512AD2">
        <w:rPr>
          <w:rFonts w:ascii="Arial" w:hAnsi="Arial" w:cs="Arial"/>
          <w:sz w:val="24"/>
        </w:rPr>
        <w:t xml:space="preserve"> </w:t>
      </w:r>
      <w:proofErr w:type="gramStart"/>
      <w:r w:rsidRPr="00512AD2">
        <w:rPr>
          <w:rFonts w:ascii="Arial" w:hAnsi="Arial" w:cs="Arial"/>
          <w:sz w:val="24"/>
        </w:rPr>
        <w:t>Random forest</w:t>
      </w:r>
      <w:proofErr w:type="gramEnd"/>
      <w:r w:rsidRPr="00512AD2">
        <w:rPr>
          <w:rFonts w:ascii="Arial" w:hAnsi="Arial" w:cs="Arial"/>
          <w:sz w:val="24"/>
        </w:rPr>
        <w:t xml:space="preserve"> variable importance ranking</w:t>
      </w:r>
    </w:p>
    <w:bookmarkEnd w:id="0"/>
    <w:p w14:paraId="6D4743AC" w14:textId="304A8B8C" w:rsidR="006B7D14" w:rsidRDefault="006B7D14" w:rsidP="006B7D14">
      <w:pPr>
        <w:jc w:val="center"/>
      </w:pPr>
      <w:r>
        <w:rPr>
          <w:rFonts w:hint="eastAsia"/>
          <w:noProof/>
        </w:rPr>
        <w:drawing>
          <wp:inline distT="0" distB="0" distL="0" distR="0" wp14:anchorId="36D83C66" wp14:editId="08FAD00F">
            <wp:extent cx="4178808" cy="4125911"/>
            <wp:effectExtent l="0" t="0" r="0" b="1905"/>
            <wp:docPr id="17831969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96935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08" cy="412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34C3" w14:textId="5E264FDD" w:rsidR="006B7D14" w:rsidRPr="00512AD2" w:rsidRDefault="006B7D14" w:rsidP="006B7D14">
      <w:pPr>
        <w:pStyle w:val="ae"/>
        <w:rPr>
          <w:rFonts w:ascii="Arial" w:eastAsiaTheme="minorEastAsia" w:hAnsi="Arial" w:cs="Arial"/>
          <w:sz w:val="24"/>
        </w:rPr>
      </w:pPr>
      <w:r w:rsidRPr="00512AD2">
        <w:rPr>
          <w:rFonts w:ascii="Arial" w:eastAsiaTheme="minorEastAsia" w:hAnsi="Arial" w:cs="Arial"/>
          <w:b/>
          <w:bCs/>
          <w:sz w:val="24"/>
        </w:rPr>
        <w:t>Fig. S2</w:t>
      </w:r>
      <w:r w:rsidRPr="00512AD2">
        <w:rPr>
          <w:rFonts w:ascii="Arial" w:eastAsiaTheme="minorEastAsia" w:hAnsi="Arial" w:cs="Arial"/>
          <w:sz w:val="24"/>
        </w:rPr>
        <w:t xml:space="preserve"> Prognostic value of the GA signature across clinical subgroups. Kaplan–Meier survival curves for high- vs. low-risk groups stratified by gender, stage (I–II), T stage (T1–2 vs. T3–4), N stage (N0 vs. N1–2), and M stage (M0 vs. M1)</w:t>
      </w:r>
    </w:p>
    <w:p w14:paraId="7B180513" w14:textId="77777777" w:rsidR="006B7D14" w:rsidRPr="006B7D14" w:rsidRDefault="006B7D14" w:rsidP="006B7D14">
      <w:pPr>
        <w:jc w:val="center"/>
      </w:pPr>
    </w:p>
    <w:sectPr w:rsidR="006B7D14" w:rsidRPr="006B7D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D14"/>
    <w:rsid w:val="000352D1"/>
    <w:rsid w:val="00052A66"/>
    <w:rsid w:val="00202DD7"/>
    <w:rsid w:val="002A537F"/>
    <w:rsid w:val="002B0F64"/>
    <w:rsid w:val="00512AD2"/>
    <w:rsid w:val="005A6362"/>
    <w:rsid w:val="005F483B"/>
    <w:rsid w:val="006B7D14"/>
    <w:rsid w:val="009621D1"/>
    <w:rsid w:val="00975242"/>
    <w:rsid w:val="00981771"/>
    <w:rsid w:val="00A8462D"/>
    <w:rsid w:val="00A945F8"/>
    <w:rsid w:val="00AE2B8C"/>
    <w:rsid w:val="00DB2395"/>
    <w:rsid w:val="00DB7487"/>
    <w:rsid w:val="00E76182"/>
    <w:rsid w:val="00FC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6212"/>
  <w15:chartTrackingRefBased/>
  <w15:docId w15:val="{AC178C6D-8F29-46F1-8ECD-0241CE318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B7D1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7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7D1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D1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7D1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7D1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7D1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7D1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7D1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B7D1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B7D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B7D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B7D1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B7D14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B7D1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B7D1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B7D1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B7D1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B7D1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B7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7D1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B7D1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B7D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B7D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B7D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B7D1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B7D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B7D1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B7D14"/>
    <w:rPr>
      <w:b/>
      <w:bCs/>
      <w:smallCaps/>
      <w:color w:val="2F5496" w:themeColor="accent1" w:themeShade="BF"/>
      <w:spacing w:val="5"/>
    </w:rPr>
  </w:style>
  <w:style w:type="paragraph" w:styleId="ae">
    <w:name w:val="Body Text"/>
    <w:basedOn w:val="a"/>
    <w:link w:val="af"/>
    <w:qFormat/>
    <w:rsid w:val="006B7D14"/>
    <w:pPr>
      <w:widowControl/>
      <w:spacing w:after="200" w:line="276" w:lineRule="auto"/>
    </w:pPr>
    <w:rPr>
      <w:rFonts w:eastAsia="Calibri"/>
      <w:kern w:val="0"/>
      <w:sz w:val="20"/>
      <w:szCs w:val="24"/>
    </w:rPr>
  </w:style>
  <w:style w:type="character" w:customStyle="1" w:styleId="af">
    <w:name w:val="正文文本 字符"/>
    <w:basedOn w:val="a0"/>
    <w:link w:val="ae"/>
    <w:rsid w:val="006B7D14"/>
    <w:rPr>
      <w:rFonts w:eastAsia="Calibri"/>
      <w:kern w:val="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2B161-80EA-4053-907C-DC4E3F43A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 何</dc:creator>
  <cp:keywords/>
  <dc:description/>
  <cp:lastModifiedBy>帅熠 吴</cp:lastModifiedBy>
  <cp:revision>4</cp:revision>
  <dcterms:created xsi:type="dcterms:W3CDTF">2025-09-11T13:22:00Z</dcterms:created>
  <dcterms:modified xsi:type="dcterms:W3CDTF">2025-09-15T07:48:00Z</dcterms:modified>
</cp:coreProperties>
</file>