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D64F8" w14:textId="43B1A1B1" w:rsidR="002322AE" w:rsidRDefault="002322AE" w:rsidP="002322AE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22AE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0AA5B3E6" w14:textId="77777777" w:rsidR="002322AE" w:rsidRPr="00730519" w:rsidRDefault="002322AE" w:rsidP="002322AE">
      <w:pPr>
        <w:suppressLineNumbers/>
        <w:spacing w:after="0" w:line="480" w:lineRule="auto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0F62D1">
        <w:rPr>
          <w:rFonts w:ascii="Times New Roman" w:eastAsia="Times New Roman" w:hAnsi="Times New Roman"/>
          <w:b/>
          <w:sz w:val="24"/>
          <w:szCs w:val="24"/>
        </w:rPr>
        <w:t xml:space="preserve">Layered Polymeric Carbon Nitride as a </w:t>
      </w:r>
      <w:r>
        <w:rPr>
          <w:rFonts w:ascii="Times New Roman" w:eastAsia="Times New Roman" w:hAnsi="Times New Roman"/>
          <w:b/>
          <w:sz w:val="24"/>
          <w:szCs w:val="24"/>
        </w:rPr>
        <w:t>Green</w:t>
      </w:r>
      <w:r w:rsidRPr="000F62D1">
        <w:rPr>
          <w:rFonts w:ascii="Times New Roman" w:eastAsia="Times New Roman" w:hAnsi="Times New Roman"/>
          <w:b/>
          <w:sz w:val="24"/>
          <w:szCs w:val="24"/>
        </w:rPr>
        <w:t xml:space="preserve"> Support for Cellulase Immobilization: Improved Stability, Activity, and Reusability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14:paraId="11F347FD" w14:textId="77777777" w:rsidR="002322AE" w:rsidRPr="00730519" w:rsidRDefault="002322AE" w:rsidP="002322AE">
      <w:pPr>
        <w:suppressLineNumbers/>
        <w:spacing w:after="0" w:line="480" w:lineRule="auto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Nuri Gulesci</w:t>
      </w:r>
      <w:r>
        <w:rPr>
          <w:rFonts w:ascii="Times New Roman" w:eastAsia="Times New Roman" w:hAnsi="Times New Roman"/>
          <w:b/>
          <w:bCs/>
          <w:sz w:val="24"/>
          <w:szCs w:val="24"/>
          <w:vertAlign w:val="superscript"/>
        </w:rPr>
        <w:t>a*</w:t>
      </w:r>
      <w:r>
        <w:rPr>
          <w:rFonts w:ascii="Times New Roman" w:eastAsia="Times New Roman" w:hAnsi="Times New Roman"/>
          <w:b/>
          <w:bCs/>
          <w:sz w:val="24"/>
          <w:szCs w:val="24"/>
        </w:rPr>
        <w:t>, Orhan Altan</w:t>
      </w:r>
      <w:r>
        <w:rPr>
          <w:rFonts w:ascii="Times New Roman" w:eastAsia="Times New Roman" w:hAnsi="Times New Roman"/>
          <w:b/>
          <w:bCs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/>
          <w:b/>
          <w:bCs/>
          <w:sz w:val="24"/>
          <w:szCs w:val="24"/>
        </w:rPr>
        <w:t>, Ali Toprak</w:t>
      </w:r>
      <w:r w:rsidRPr="00956A3B">
        <w:rPr>
          <w:rFonts w:ascii="Times New Roman" w:eastAsia="Times New Roman" w:hAnsi="Times New Roman"/>
          <w:b/>
          <w:bCs/>
          <w:sz w:val="24"/>
          <w:szCs w:val="24"/>
          <w:vertAlign w:val="superscript"/>
        </w:rPr>
        <w:t>c</w:t>
      </w:r>
      <w:r>
        <w:rPr>
          <w:rFonts w:ascii="Times New Roman" w:eastAsia="Times New Roman" w:hAnsi="Times New Roman"/>
          <w:b/>
          <w:bCs/>
          <w:sz w:val="24"/>
          <w:szCs w:val="24"/>
        </w:rPr>
        <w:t>, Mustafa Serkan Yalcin</w:t>
      </w:r>
      <w:r w:rsidRPr="00956A3B">
        <w:rPr>
          <w:rFonts w:ascii="Times New Roman" w:eastAsia="Times New Roman" w:hAnsi="Times New Roman"/>
          <w:b/>
          <w:bCs/>
          <w:sz w:val="24"/>
          <w:szCs w:val="24"/>
          <w:vertAlign w:val="superscript"/>
        </w:rPr>
        <w:t>d</w:t>
      </w:r>
      <w:r>
        <w:rPr>
          <w:rFonts w:ascii="Times New Roman" w:eastAsia="Times New Roman" w:hAnsi="Times New Roman"/>
          <w:b/>
          <w:bCs/>
          <w:sz w:val="24"/>
          <w:szCs w:val="24"/>
        </w:rPr>
        <w:t>, Ramazan Bilgin</w:t>
      </w:r>
      <w:r w:rsidRPr="00956A3B">
        <w:rPr>
          <w:rFonts w:ascii="Times New Roman" w:eastAsia="Times New Roman" w:hAnsi="Times New Roman"/>
          <w:b/>
          <w:bCs/>
          <w:sz w:val="24"/>
          <w:szCs w:val="24"/>
          <w:vertAlign w:val="superscript"/>
        </w:rPr>
        <w:t>e</w:t>
      </w:r>
      <w:r>
        <w:rPr>
          <w:rFonts w:ascii="Times New Roman" w:eastAsia="Times New Roman" w:hAnsi="Times New Roman"/>
          <w:b/>
          <w:bCs/>
          <w:sz w:val="24"/>
          <w:szCs w:val="24"/>
        </w:rPr>
        <w:t>, Deniz Yildirim</w:t>
      </w:r>
      <w:r w:rsidRPr="00956A3B">
        <w:rPr>
          <w:rFonts w:ascii="Times New Roman" w:eastAsia="Times New Roman" w:hAnsi="Times New Roman"/>
          <w:b/>
          <w:bCs/>
          <w:sz w:val="24"/>
          <w:szCs w:val="24"/>
          <w:vertAlign w:val="superscript"/>
        </w:rPr>
        <w:t>f</w:t>
      </w:r>
      <w:r>
        <w:rPr>
          <w:rFonts w:ascii="Times New Roman" w:eastAsia="Times New Roman" w:hAnsi="Times New Roman"/>
          <w:b/>
          <w:bCs/>
          <w:sz w:val="24"/>
          <w:szCs w:val="24"/>
          <w:vertAlign w:val="superscript"/>
        </w:rPr>
        <w:t>*</w:t>
      </w:r>
    </w:p>
    <w:p w14:paraId="3D1D68B0" w14:textId="77777777" w:rsidR="002322AE" w:rsidRDefault="002322AE" w:rsidP="002322AE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Department of Occupational Health and Safety, Faculty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</w:rPr>
        <w:t>of Health Sciences</w:t>
      </w:r>
      <w:r w:rsidRPr="001043DE">
        <w:rPr>
          <w:rFonts w:ascii="Times New Roman" w:eastAsia="Times New Roman" w:hAnsi="Times New Roman"/>
          <w:bCs/>
          <w:sz w:val="24"/>
          <w:szCs w:val="24"/>
        </w:rPr>
        <w:t xml:space="preserve">, University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of </w:t>
      </w:r>
      <w:r w:rsidRPr="001043DE">
        <w:rPr>
          <w:rFonts w:ascii="Times New Roman" w:eastAsia="Times New Roman" w:hAnsi="Times New Roman"/>
          <w:bCs/>
          <w:sz w:val="24"/>
          <w:szCs w:val="24"/>
        </w:rPr>
        <w:t>Gumushane, Gumushane, Turk</w:t>
      </w:r>
      <w:r>
        <w:rPr>
          <w:rFonts w:ascii="Times New Roman" w:eastAsia="Times New Roman" w:hAnsi="Times New Roman"/>
          <w:bCs/>
          <w:sz w:val="24"/>
          <w:szCs w:val="24"/>
        </w:rPr>
        <w:t>iye</w:t>
      </w:r>
    </w:p>
    <w:p w14:paraId="2C45EF1F" w14:textId="77777777" w:rsidR="002322AE" w:rsidRDefault="002322AE" w:rsidP="002322AE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vertAlign w:val="superscript"/>
        </w:rPr>
        <w:t>b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EF701A">
        <w:rPr>
          <w:rFonts w:ascii="Times New Roman" w:eastAsia="Times New Roman" w:hAnsi="Times New Roman"/>
          <w:bCs/>
          <w:sz w:val="24"/>
          <w:szCs w:val="24"/>
        </w:rPr>
        <w:t xml:space="preserve">Department of Chemistry and Chemical Processing Technologies, Vocational School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of </w:t>
      </w:r>
      <w:r w:rsidRPr="00EF701A">
        <w:rPr>
          <w:rFonts w:ascii="Times New Roman" w:eastAsia="Times New Roman" w:hAnsi="Times New Roman"/>
          <w:bCs/>
          <w:sz w:val="24"/>
          <w:szCs w:val="24"/>
        </w:rPr>
        <w:t>Technical Science, University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of </w:t>
      </w:r>
      <w:r w:rsidRPr="00EF701A">
        <w:rPr>
          <w:rFonts w:ascii="Times New Roman" w:eastAsia="Times New Roman" w:hAnsi="Times New Roman"/>
          <w:bCs/>
          <w:sz w:val="24"/>
          <w:szCs w:val="24"/>
        </w:rPr>
        <w:t>Mersin, Mersin, Turk</w:t>
      </w:r>
      <w:r>
        <w:rPr>
          <w:rFonts w:ascii="Times New Roman" w:eastAsia="Times New Roman" w:hAnsi="Times New Roman"/>
          <w:bCs/>
          <w:sz w:val="24"/>
          <w:szCs w:val="24"/>
        </w:rPr>
        <w:t>iye</w:t>
      </w:r>
    </w:p>
    <w:p w14:paraId="11F3412C" w14:textId="77777777" w:rsidR="002322AE" w:rsidRDefault="002322AE" w:rsidP="002322AE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1043DE">
        <w:rPr>
          <w:rFonts w:ascii="Times New Roman" w:eastAsia="Times New Roman" w:hAnsi="Times New Roman"/>
          <w:bCs/>
          <w:sz w:val="24"/>
          <w:szCs w:val="24"/>
          <w:vertAlign w:val="superscript"/>
        </w:rPr>
        <w:t>c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Department of Chemistry and Chemical Processing Technologies,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 xml:space="preserve">Vocational School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of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 xml:space="preserve">Acigol, University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of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>Nevsehir Haci Bektas Veli, Nevsehir, Turk</w:t>
      </w:r>
      <w:r>
        <w:rPr>
          <w:rFonts w:ascii="Times New Roman" w:eastAsia="Times New Roman" w:hAnsi="Times New Roman"/>
          <w:bCs/>
          <w:sz w:val="24"/>
          <w:szCs w:val="24"/>
        </w:rPr>
        <w:t>iye</w:t>
      </w:r>
    </w:p>
    <w:p w14:paraId="3C17DE58" w14:textId="77777777" w:rsidR="002322AE" w:rsidRDefault="002322AE" w:rsidP="002322AE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EF701A">
        <w:rPr>
          <w:rFonts w:ascii="Times New Roman" w:eastAsia="Times New Roman" w:hAnsi="Times New Roman"/>
          <w:bCs/>
          <w:sz w:val="24"/>
          <w:szCs w:val="24"/>
          <w:vertAlign w:val="superscript"/>
        </w:rPr>
        <w:t>d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EF701A">
        <w:rPr>
          <w:rFonts w:ascii="Times New Roman" w:eastAsia="Times New Roman" w:hAnsi="Times New Roman"/>
          <w:bCs/>
          <w:sz w:val="24"/>
          <w:szCs w:val="24"/>
        </w:rPr>
        <w:t xml:space="preserve">Department of Chemistry and Chemical Processing Technologies, Vocational School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of </w:t>
      </w:r>
      <w:r w:rsidRPr="00EF701A">
        <w:rPr>
          <w:rFonts w:ascii="Times New Roman" w:eastAsia="Times New Roman" w:hAnsi="Times New Roman"/>
          <w:bCs/>
          <w:sz w:val="24"/>
          <w:szCs w:val="24"/>
        </w:rPr>
        <w:t>Technical Science, University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of </w:t>
      </w:r>
      <w:r w:rsidRPr="00EF701A">
        <w:rPr>
          <w:rFonts w:ascii="Times New Roman" w:eastAsia="Times New Roman" w:hAnsi="Times New Roman"/>
          <w:bCs/>
          <w:sz w:val="24"/>
          <w:szCs w:val="24"/>
        </w:rPr>
        <w:t>Mersin, Mersin, Turk</w:t>
      </w:r>
      <w:r>
        <w:rPr>
          <w:rFonts w:ascii="Times New Roman" w:eastAsia="Times New Roman" w:hAnsi="Times New Roman"/>
          <w:bCs/>
          <w:sz w:val="24"/>
          <w:szCs w:val="24"/>
        </w:rPr>
        <w:t>iye</w:t>
      </w:r>
    </w:p>
    <w:p w14:paraId="7AB9B9FF" w14:textId="77777777" w:rsidR="002322AE" w:rsidRDefault="002322AE" w:rsidP="002322AE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56A3B">
        <w:rPr>
          <w:rFonts w:ascii="Times New Roman" w:eastAsia="Times New Roman" w:hAnsi="Times New Roman"/>
          <w:bCs/>
          <w:sz w:val="24"/>
          <w:szCs w:val="24"/>
          <w:vertAlign w:val="superscript"/>
        </w:rPr>
        <w:t>e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 xml:space="preserve">Department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of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>Chemistry,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 xml:space="preserve">Faculty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of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 xml:space="preserve">Sciences &amp; Letters, University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of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>Cukurova, Adana, Turk</w:t>
      </w:r>
      <w:r>
        <w:rPr>
          <w:rFonts w:ascii="Times New Roman" w:eastAsia="Times New Roman" w:hAnsi="Times New Roman"/>
          <w:bCs/>
          <w:sz w:val="24"/>
          <w:szCs w:val="24"/>
        </w:rPr>
        <w:t>iye</w:t>
      </w:r>
    </w:p>
    <w:p w14:paraId="42215848" w14:textId="77777777" w:rsidR="002322AE" w:rsidRDefault="002322AE" w:rsidP="002322AE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1043DE">
        <w:rPr>
          <w:rFonts w:ascii="Times New Roman" w:eastAsia="Times New Roman" w:hAnsi="Times New Roman"/>
          <w:bCs/>
          <w:sz w:val="24"/>
          <w:szCs w:val="24"/>
          <w:vertAlign w:val="superscript"/>
        </w:rPr>
        <w:t>f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 xml:space="preserve">Department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of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>Chemi</w:t>
      </w:r>
      <w:r>
        <w:rPr>
          <w:rFonts w:ascii="Times New Roman" w:eastAsia="Times New Roman" w:hAnsi="Times New Roman"/>
          <w:bCs/>
          <w:sz w:val="24"/>
          <w:szCs w:val="24"/>
        </w:rPr>
        <w:t>cal Engineering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>,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 xml:space="preserve">Faculty </w:t>
      </w:r>
      <w:r>
        <w:rPr>
          <w:rFonts w:ascii="Times New Roman" w:eastAsia="Times New Roman" w:hAnsi="Times New Roman"/>
          <w:bCs/>
          <w:sz w:val="24"/>
          <w:szCs w:val="24"/>
        </w:rPr>
        <w:t>of Engineering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 xml:space="preserve">, University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of </w:t>
      </w:r>
      <w:r w:rsidRPr="00956A3B">
        <w:rPr>
          <w:rFonts w:ascii="Times New Roman" w:eastAsia="Times New Roman" w:hAnsi="Times New Roman"/>
          <w:bCs/>
          <w:sz w:val="24"/>
          <w:szCs w:val="24"/>
        </w:rPr>
        <w:t>Cukurova, Adana, Turk</w:t>
      </w:r>
      <w:r>
        <w:rPr>
          <w:rFonts w:ascii="Times New Roman" w:eastAsia="Times New Roman" w:hAnsi="Times New Roman"/>
          <w:bCs/>
          <w:sz w:val="24"/>
          <w:szCs w:val="24"/>
        </w:rPr>
        <w:t>iye</w:t>
      </w:r>
    </w:p>
    <w:p w14:paraId="74D6F4E3" w14:textId="77777777" w:rsidR="002322AE" w:rsidRDefault="002322AE" w:rsidP="002322AE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FDE752" w14:textId="77777777" w:rsidR="002322AE" w:rsidRDefault="002322AE" w:rsidP="002322AE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0CDDBE" w14:textId="77777777" w:rsidR="002322AE" w:rsidRDefault="002322AE" w:rsidP="002322AE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350F40" w14:textId="77777777" w:rsidR="002322AE" w:rsidRDefault="002322AE" w:rsidP="002322AE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BB7571" w14:textId="77777777" w:rsidR="002322AE" w:rsidRDefault="002322AE" w:rsidP="002322AE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710848" w14:textId="77777777" w:rsidR="002322AE" w:rsidRDefault="002322AE" w:rsidP="002322AE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DEE498" w14:textId="77777777" w:rsidR="002322AE" w:rsidRDefault="002322AE" w:rsidP="002322AE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B1C3D7" w14:textId="77777777" w:rsidR="002322AE" w:rsidRDefault="002322AE" w:rsidP="002322AE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F030FC" w14:textId="3BC67159" w:rsidR="002322AE" w:rsidRDefault="002322AE" w:rsidP="002322AE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Methods</w:t>
      </w:r>
    </w:p>
    <w:p w14:paraId="730B6B5D" w14:textId="1822B511" w:rsidR="002322AE" w:rsidRPr="002322AE" w:rsidRDefault="002322AE" w:rsidP="002322AE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Instrumental analysis</w:t>
      </w:r>
    </w:p>
    <w:p w14:paraId="2A640983" w14:textId="6A1AEE85" w:rsidR="00536FF9" w:rsidRDefault="00E52EA5" w:rsidP="002322AE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52EA5">
        <w:rPr>
          <w:rFonts w:ascii="Times New Roman" w:hAnsi="Times New Roman"/>
          <w:sz w:val="24"/>
          <w:szCs w:val="24"/>
        </w:rPr>
        <w:t>The Attenuated Total Reflectance (ATR) method was used to perform FT-IR analysis of bare PCN support and immobilized cellulase preparations. Spectra were collected over the 400-4000 cm</w:t>
      </w:r>
      <w:r w:rsidRPr="00E52EA5">
        <w:rPr>
          <w:rFonts w:ascii="Times New Roman" w:eastAsia="Times New Roman" w:hAnsi="Times New Roman"/>
          <w:sz w:val="24"/>
          <w:szCs w:val="24"/>
          <w:vertAlign w:val="superscript"/>
        </w:rPr>
        <w:t>-</w:t>
      </w:r>
      <w:r w:rsidRPr="00E52EA5">
        <w:rPr>
          <w:rFonts w:ascii="Times New Roman" w:hAnsi="Times New Roman"/>
          <w:sz w:val="24"/>
          <w:szCs w:val="24"/>
          <w:vertAlign w:val="superscript"/>
        </w:rPr>
        <w:t>1</w:t>
      </w:r>
      <w:r w:rsidRPr="00E52EA5">
        <w:rPr>
          <w:rFonts w:ascii="Times New Roman" w:hAnsi="Times New Roman"/>
          <w:sz w:val="24"/>
          <w:szCs w:val="24"/>
        </w:rPr>
        <w:t xml:space="preserve"> range using a Perkin Elmer Spectrum 100 FT–IR spectrometer equipped with a sampling module (ZnSe/diamond) and single reflection detector at room temperature. Recording was done 32 scans at 4 cm</w:t>
      </w:r>
      <w:r w:rsidRPr="00E52EA5">
        <w:rPr>
          <w:rFonts w:ascii="Times New Roman" w:eastAsia="Times New Roman" w:hAnsi="Times New Roman"/>
          <w:sz w:val="24"/>
          <w:szCs w:val="24"/>
          <w:vertAlign w:val="superscript"/>
        </w:rPr>
        <w:t>-</w:t>
      </w:r>
      <w:r w:rsidRPr="00E52EA5">
        <w:rPr>
          <w:rFonts w:ascii="Times New Roman" w:hAnsi="Times New Roman"/>
          <w:sz w:val="24"/>
          <w:szCs w:val="24"/>
          <w:vertAlign w:val="superscript"/>
        </w:rPr>
        <w:t>1</w:t>
      </w:r>
      <w:r w:rsidRPr="00E52EA5">
        <w:rPr>
          <w:rFonts w:ascii="Times New Roman" w:hAnsi="Times New Roman"/>
          <w:sz w:val="24"/>
          <w:szCs w:val="24"/>
        </w:rPr>
        <w:t xml:space="preserve"> resolution for each spectrum. The background spectra were obtained as a control using the same acquisition parameters for each sample measurement.</w:t>
      </w:r>
    </w:p>
    <w:p w14:paraId="2987DF54" w14:textId="77777777" w:rsidR="00E52EA5" w:rsidRDefault="00E52EA5" w:rsidP="00E52EA5">
      <w:pPr>
        <w:spacing w:after="0" w:line="48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F0A1E">
        <w:rPr>
          <w:rFonts w:ascii="Times New Roman" w:hAnsi="Times New Roman"/>
          <w:sz w:val="24"/>
          <w:szCs w:val="24"/>
        </w:rPr>
        <w:t xml:space="preserve">The surface morphology of supports </w:t>
      </w:r>
      <w:r>
        <w:rPr>
          <w:rFonts w:ascii="Times New Roman" w:hAnsi="Times New Roman"/>
          <w:sz w:val="24"/>
          <w:szCs w:val="24"/>
        </w:rPr>
        <w:t>before and after cellulase</w:t>
      </w:r>
      <w:r w:rsidRPr="000F0A1E">
        <w:rPr>
          <w:rFonts w:ascii="Times New Roman" w:hAnsi="Times New Roman"/>
          <w:sz w:val="24"/>
          <w:szCs w:val="24"/>
        </w:rPr>
        <w:t xml:space="preserve"> immobilization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0A1E">
        <w:rPr>
          <w:rFonts w:ascii="Times New Roman" w:hAnsi="Times New Roman"/>
          <w:sz w:val="24"/>
          <w:szCs w:val="24"/>
        </w:rPr>
        <w:t>was investigated by scanning electron microscopy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0A1E">
        <w:rPr>
          <w:rFonts w:ascii="Times New Roman" w:hAnsi="Times New Roman"/>
          <w:sz w:val="24"/>
          <w:szCs w:val="24"/>
        </w:rPr>
        <w:t>(SEM, Quanta 650 Field Emission SEM). Samples were sputtered with a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0A1E">
        <w:rPr>
          <w:rFonts w:ascii="Times New Roman" w:hAnsi="Times New Roman"/>
          <w:sz w:val="24"/>
          <w:szCs w:val="24"/>
        </w:rPr>
        <w:t>layer of gold to minimize charging effects. SEM was operated at 10 kV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0A1E">
        <w:rPr>
          <w:rFonts w:ascii="Times New Roman" w:hAnsi="Times New Roman"/>
          <w:sz w:val="24"/>
          <w:szCs w:val="24"/>
        </w:rPr>
        <w:t>and the images of samples were recorded at different magnification</w:t>
      </w:r>
      <w:r>
        <w:rPr>
          <w:rFonts w:ascii="Times New Roman" w:hAnsi="Times New Roman"/>
          <w:sz w:val="24"/>
          <w:szCs w:val="24"/>
        </w:rPr>
        <w:t xml:space="preserve">s </w:t>
      </w:r>
      <w:r w:rsidRPr="000F0A1E">
        <w:rPr>
          <w:rFonts w:ascii="Times New Roman" w:hAnsi="Times New Roman"/>
          <w:sz w:val="24"/>
          <w:szCs w:val="24"/>
        </w:rPr>
        <w:t>(10000x-100000x).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931D0">
        <w:rPr>
          <w:rFonts w:ascii="Times New Roman" w:hAnsi="Times New Roman"/>
          <w:sz w:val="24"/>
          <w:szCs w:val="24"/>
        </w:rPr>
        <w:t>The morphology of immobilized enzymes was also evaluated by transmission electron microscopy (TEM) (JEOL</w:t>
      </w:r>
      <w:r w:rsidRPr="00E931D0">
        <w:t xml:space="preserve"> </w:t>
      </w:r>
      <w:r w:rsidRPr="00E931D0">
        <w:rPr>
          <w:rFonts w:ascii="Times New Roman" w:hAnsi="Times New Roman"/>
          <w:sz w:val="24"/>
          <w:szCs w:val="24"/>
        </w:rPr>
        <w:t>JEM-2100PLUS) operated at an acceleration voltage of 200kV.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221B7DAF" w14:textId="20D93A85" w:rsidR="00E52EA5" w:rsidRDefault="00E52EA5" w:rsidP="00E52EA5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E4929">
        <w:rPr>
          <w:rFonts w:ascii="Times New Roman" w:hAnsi="Times New Roman"/>
          <w:b/>
          <w:bCs/>
          <w:sz w:val="24"/>
          <w:szCs w:val="24"/>
        </w:rPr>
        <w:t>Cellulase assay</w:t>
      </w:r>
    </w:p>
    <w:p w14:paraId="13B156F4" w14:textId="66F22473" w:rsidR="00E52EA5" w:rsidRDefault="00E52EA5" w:rsidP="00E52EA5">
      <w:pPr>
        <w:spacing w:after="0" w:line="48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4929"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z w:val="24"/>
          <w:szCs w:val="24"/>
        </w:rPr>
        <w:t xml:space="preserve"> cellulase</w:t>
      </w:r>
      <w:r w:rsidRPr="00DE4929">
        <w:rPr>
          <w:rFonts w:ascii="Times New Roman" w:hAnsi="Times New Roman"/>
          <w:sz w:val="24"/>
          <w:szCs w:val="24"/>
        </w:rPr>
        <w:t xml:space="preserve"> activity was measured according to Miller with slight modification</w:t>
      </w:r>
      <w:r>
        <w:rPr>
          <w:rFonts w:ascii="Times New Roman" w:hAnsi="Times New Roman"/>
          <w:sz w:val="24"/>
          <w:szCs w:val="24"/>
        </w:rPr>
        <w:t xml:space="preserve"> </w:t>
      </w:r>
      <w:r w:rsidR="002322AE">
        <w:rPr>
          <w:rFonts w:ascii="Times New Roman" w:hAnsi="Times New Roman"/>
          <w:sz w:val="24"/>
          <w:szCs w:val="24"/>
        </w:rPr>
        <w:fldChar w:fldCharType="begin"/>
      </w:r>
      <w:r w:rsidR="002322AE">
        <w:rPr>
          <w:rFonts w:ascii="Times New Roman" w:hAnsi="Times New Roman"/>
          <w:sz w:val="24"/>
          <w:szCs w:val="24"/>
        </w:rPr>
        <w:instrText xml:space="preserve"> ADDIN EN.CITE &lt;EndNote&gt;&lt;Cite&gt;&lt;Author&gt;Miller&lt;/Author&gt;&lt;Year&gt;1959&lt;/Year&gt;&lt;RecNum&gt;31&lt;/RecNum&gt;&lt;DisplayText&gt;[30]&lt;/DisplayText&gt;&lt;record&gt;&lt;rec-number&gt;31&lt;/rec-number&gt;&lt;foreign-keys&gt;&lt;key app="EN" db-id="xtp2xsxelfw9r7etfdk522tp02e5trxe0taw" timestamp="1756979685"&gt;31&lt;/key&gt;&lt;/foreign-keys&gt;&lt;ref-type name="Journal Article"&gt;17&lt;/ref-type&gt;&lt;contributors&gt;&lt;authors&gt;&lt;author&gt;Miller, G. L.&lt;/author&gt;&lt;/authors&gt;&lt;/contributors&gt;&lt;titles&gt;&lt;title&gt;Use of Dinitrosalicylic Acid Reagent for Determination of Reducing Sugar&lt;/title&gt;&lt;secondary-title&gt;Analytical Chemistry&lt;/secondary-title&gt;&lt;/titles&gt;&lt;periodical&gt;&lt;full-title&gt;Analytical Chemistry&lt;/full-title&gt;&lt;/periodical&gt;&lt;pages&gt;426-428&lt;/pages&gt;&lt;volume&gt;31&lt;/volume&gt;&lt;number&gt;3&lt;/number&gt;&lt;dates&gt;&lt;year&gt;1959&lt;/year&gt;&lt;pub-dates&gt;&lt;date&gt;1959/03/01&lt;/date&gt;&lt;/pub-dates&gt;&lt;/dates&gt;&lt;publisher&gt;American Chemical Society&lt;/publisher&gt;&lt;isbn&gt;0003-2700&lt;/isbn&gt;&lt;urls&gt;&lt;related-urls&gt;&lt;url&gt;https://doi.org/10.1021/ac60147a030&lt;/url&gt;&lt;/related-urls&gt;&lt;/urls&gt;&lt;electronic-resource-num&gt;10.1021/ac60147a030&lt;/electronic-resource-num&gt;&lt;/record&gt;&lt;/Cite&gt;&lt;/EndNote&gt;</w:instrText>
      </w:r>
      <w:r w:rsidR="002322AE">
        <w:rPr>
          <w:rFonts w:ascii="Times New Roman" w:hAnsi="Times New Roman"/>
          <w:sz w:val="24"/>
          <w:szCs w:val="24"/>
        </w:rPr>
        <w:fldChar w:fldCharType="separate"/>
      </w:r>
      <w:r w:rsidR="002322AE">
        <w:rPr>
          <w:rFonts w:ascii="Times New Roman" w:hAnsi="Times New Roman"/>
          <w:noProof/>
          <w:sz w:val="24"/>
          <w:szCs w:val="24"/>
        </w:rPr>
        <w:t>[30]</w:t>
      </w:r>
      <w:r w:rsidR="002322AE">
        <w:rPr>
          <w:rFonts w:ascii="Times New Roman" w:hAnsi="Times New Roman"/>
          <w:sz w:val="24"/>
          <w:szCs w:val="24"/>
        </w:rPr>
        <w:fldChar w:fldCharType="end"/>
      </w:r>
      <w:r w:rsidRPr="00DE492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4929">
        <w:rPr>
          <w:rFonts w:ascii="Times New Roman" w:hAnsi="Times New Roman"/>
          <w:sz w:val="24"/>
          <w:szCs w:val="24"/>
        </w:rPr>
        <w:t xml:space="preserve">Briefly, 50 μL of free </w:t>
      </w:r>
      <w:r>
        <w:rPr>
          <w:rFonts w:ascii="Times New Roman" w:hAnsi="Times New Roman"/>
          <w:sz w:val="24"/>
          <w:szCs w:val="24"/>
        </w:rPr>
        <w:t>cellulase</w:t>
      </w:r>
      <w:r w:rsidRPr="00DE49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(1 mg/mL </w:t>
      </w:r>
      <w:r w:rsidRPr="00DE4929">
        <w:rPr>
          <w:rFonts w:ascii="Times New Roman" w:hAnsi="Times New Roman"/>
          <w:sz w:val="24"/>
          <w:szCs w:val="24"/>
        </w:rPr>
        <w:t>in pH 5.0 acetate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4929">
        <w:rPr>
          <w:rFonts w:ascii="Times New Roman" w:hAnsi="Times New Roman"/>
          <w:sz w:val="24"/>
          <w:szCs w:val="24"/>
        </w:rPr>
        <w:t xml:space="preserve">buffer) or 5 mg of immobilized </w:t>
      </w:r>
      <w:r>
        <w:rPr>
          <w:rFonts w:ascii="Times New Roman" w:hAnsi="Times New Roman"/>
          <w:sz w:val="24"/>
          <w:szCs w:val="24"/>
        </w:rPr>
        <w:t>cellulase</w:t>
      </w:r>
      <w:r w:rsidRPr="00DE4929">
        <w:rPr>
          <w:rFonts w:ascii="Times New Roman" w:hAnsi="Times New Roman"/>
          <w:sz w:val="24"/>
          <w:szCs w:val="24"/>
        </w:rPr>
        <w:t xml:space="preserve"> preparation was added to 250 μL of</w:t>
      </w:r>
      <w:r>
        <w:rPr>
          <w:rFonts w:ascii="Times New Roman" w:hAnsi="Times New Roman"/>
          <w:sz w:val="24"/>
          <w:szCs w:val="24"/>
        </w:rPr>
        <w:t xml:space="preserve"> cellulose</w:t>
      </w:r>
      <w:r w:rsidRPr="00DE4929">
        <w:rPr>
          <w:rFonts w:ascii="Times New Roman" w:hAnsi="Times New Roman"/>
          <w:sz w:val="24"/>
          <w:szCs w:val="24"/>
        </w:rPr>
        <w:t xml:space="preserve"> solution (1.0 mg/mL in pH 5.0 acetate buffer) in a test tube at 30 °C. The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4929">
        <w:rPr>
          <w:rFonts w:ascii="Times New Roman" w:hAnsi="Times New Roman"/>
          <w:sz w:val="24"/>
          <w:szCs w:val="24"/>
        </w:rPr>
        <w:t xml:space="preserve">mixture was gently shaken </w:t>
      </w:r>
      <w:r>
        <w:rPr>
          <w:rFonts w:ascii="Times New Roman" w:hAnsi="Times New Roman"/>
          <w:sz w:val="24"/>
          <w:szCs w:val="24"/>
        </w:rPr>
        <w:t>for</w:t>
      </w:r>
      <w:r w:rsidRPr="00DE4929">
        <w:rPr>
          <w:rFonts w:ascii="Times New Roman" w:hAnsi="Times New Roman"/>
          <w:sz w:val="24"/>
          <w:szCs w:val="24"/>
        </w:rPr>
        <w:t xml:space="preserve"> 30 min reaction time, and then, 300 μL of DNS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4929">
        <w:rPr>
          <w:rFonts w:ascii="Times New Roman" w:hAnsi="Times New Roman"/>
          <w:sz w:val="24"/>
          <w:szCs w:val="24"/>
        </w:rPr>
        <w:t>solution was added onto the reaction mixture. Then, the samples were kept in the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4929">
        <w:rPr>
          <w:rFonts w:ascii="Times New Roman" w:hAnsi="Times New Roman"/>
          <w:sz w:val="24"/>
          <w:szCs w:val="24"/>
        </w:rPr>
        <w:t>boiling water for 10 min and cooled in an ice bath</w:t>
      </w:r>
      <w:r>
        <w:rPr>
          <w:rFonts w:ascii="Times New Roman" w:hAnsi="Times New Roman"/>
          <w:sz w:val="24"/>
          <w:szCs w:val="24"/>
        </w:rPr>
        <w:t>.</w:t>
      </w:r>
      <w:r w:rsidRPr="00DE49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Subsequently,</w:t>
      </w:r>
      <w:r w:rsidRPr="00DE4929">
        <w:rPr>
          <w:rFonts w:ascii="Times New Roman" w:hAnsi="Times New Roman"/>
          <w:sz w:val="24"/>
          <w:szCs w:val="24"/>
        </w:rPr>
        <w:t xml:space="preserve"> 3.4 mL of distilled water was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4929">
        <w:rPr>
          <w:rFonts w:ascii="Times New Roman" w:hAnsi="Times New Roman"/>
          <w:sz w:val="24"/>
          <w:szCs w:val="24"/>
        </w:rPr>
        <w:t xml:space="preserve">added onto </w:t>
      </w:r>
      <w:r>
        <w:rPr>
          <w:rFonts w:ascii="Times New Roman" w:hAnsi="Times New Roman"/>
          <w:sz w:val="24"/>
          <w:szCs w:val="24"/>
        </w:rPr>
        <w:t>the samples</w:t>
      </w:r>
      <w:r w:rsidRPr="00DE4929">
        <w:rPr>
          <w:rFonts w:ascii="Times New Roman" w:hAnsi="Times New Roman"/>
          <w:sz w:val="24"/>
          <w:szCs w:val="24"/>
        </w:rPr>
        <w:t>. The released amount of reducing sugar was spectrophotometrically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4929">
        <w:rPr>
          <w:rFonts w:ascii="Times New Roman" w:hAnsi="Times New Roman"/>
          <w:sz w:val="24"/>
          <w:szCs w:val="24"/>
        </w:rPr>
        <w:t xml:space="preserve">determined at 540 nm. A blank reaction containing no free or </w:t>
      </w:r>
      <w:r w:rsidRPr="00DE4929">
        <w:rPr>
          <w:rFonts w:ascii="Times New Roman" w:hAnsi="Times New Roman"/>
          <w:sz w:val="24"/>
          <w:szCs w:val="24"/>
        </w:rPr>
        <w:lastRenderedPageBreak/>
        <w:t xml:space="preserve">immobilized </w:t>
      </w:r>
      <w:r>
        <w:rPr>
          <w:rFonts w:ascii="Times New Roman" w:hAnsi="Times New Roman"/>
          <w:sz w:val="24"/>
          <w:szCs w:val="24"/>
        </w:rPr>
        <w:t xml:space="preserve">cellulase </w:t>
      </w:r>
      <w:r w:rsidRPr="00DE4929">
        <w:rPr>
          <w:rFonts w:ascii="Times New Roman" w:hAnsi="Times New Roman"/>
          <w:sz w:val="24"/>
          <w:szCs w:val="24"/>
        </w:rPr>
        <w:t xml:space="preserve">was run in parallel. The </w:t>
      </w:r>
      <w:r>
        <w:rPr>
          <w:rFonts w:ascii="Times New Roman" w:hAnsi="Times New Roman"/>
          <w:sz w:val="24"/>
          <w:szCs w:val="24"/>
        </w:rPr>
        <w:t>cellulase</w:t>
      </w:r>
      <w:r w:rsidRPr="00DE4929">
        <w:rPr>
          <w:rFonts w:ascii="Times New Roman" w:hAnsi="Times New Roman"/>
          <w:sz w:val="24"/>
          <w:szCs w:val="24"/>
        </w:rPr>
        <w:t xml:space="preserve"> activity </w:t>
      </w:r>
      <w:r>
        <w:rPr>
          <w:rFonts w:ascii="Times New Roman" w:hAnsi="Times New Roman"/>
          <w:sz w:val="24"/>
          <w:szCs w:val="24"/>
        </w:rPr>
        <w:t xml:space="preserve">is </w:t>
      </w:r>
      <w:r w:rsidRPr="00DE4929">
        <w:rPr>
          <w:rFonts w:ascii="Times New Roman" w:hAnsi="Times New Roman"/>
          <w:sz w:val="24"/>
          <w:szCs w:val="24"/>
        </w:rPr>
        <w:t>defined as the amount of enzyme that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4929">
        <w:rPr>
          <w:rFonts w:ascii="Times New Roman" w:hAnsi="Times New Roman"/>
          <w:sz w:val="24"/>
          <w:szCs w:val="24"/>
        </w:rPr>
        <w:t>releases 1 μmol reducing sugar in the assay conditions.</w:t>
      </w:r>
    </w:p>
    <w:p w14:paraId="271350DE" w14:textId="77777777" w:rsidR="0050135B" w:rsidRDefault="0050135B" w:rsidP="00E52EA5">
      <w:pPr>
        <w:spacing w:after="0" w:line="48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B1B3C6B" w14:textId="1D380245" w:rsidR="00E52EA5" w:rsidRDefault="0050135B" w:rsidP="00E52EA5">
      <w:pPr>
        <w:spacing w:line="480" w:lineRule="auto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60AF7C7" wp14:editId="7C4B7208">
                <wp:simplePos x="0" y="0"/>
                <wp:positionH relativeFrom="column">
                  <wp:posOffset>4681855</wp:posOffset>
                </wp:positionH>
                <wp:positionV relativeFrom="paragraph">
                  <wp:posOffset>208915</wp:posOffset>
                </wp:positionV>
                <wp:extent cx="523875" cy="390525"/>
                <wp:effectExtent l="0" t="0" r="9525" b="9525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902144" w14:textId="48BC6191" w:rsidR="0050135B" w:rsidRPr="0050135B" w:rsidRDefault="0050135B" w:rsidP="0050135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0135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0AF7C7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68.65pt;margin-top:16.45pt;width:41.25pt;height:30.7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Re7DAIAAPUDAAAOAAAAZHJzL2Uyb0RvYy54bWysU9tu2zAMfR+wfxD0vthJkzUx4hRdugwD&#10;ugvQ7QMUWY6FyaJGKbG7ry8lu2m2vQ3TgyCK1CF5eLS+6VvDTgq9Blvy6STnTFkJlbaHkn//tnuz&#10;5MwHYSthwKqSPyrPbzavX607V6gZNGAqhYxArC86V/ImBFdkmZeNaoWfgFOWnDVgKwKZeMgqFB2h&#10;tyab5fnbrAOsHIJU3tPt3eDkm4Rf10qGL3XtVWCm5FRbSDumfR/3bLMWxQGFa7QcyxD/UEUrtKWk&#10;Z6g7EQQ7ov4LqtUSwUMdJhLaDOpaS5V6oG6m+R/dPDTCqdQLkePdmSb//2Dl59OD+4os9O+gpwGm&#10;Jry7B/nDMwvbRtiDukWErlGiosTTSFnWOV+MTyPVvvARZN99goqGLI4BElBfYxtZoT4ZodMAHs+k&#10;qz4wSZeL2dXyesGZJNfVKl/MFimDKJ4fO/Thg4KWxUPJkWaawMXp3odYjCieQ2IuD0ZXO21MMvCw&#10;3xpkJ0Hz36U1ov8WZizrSr6KueMrC/F9kkarA+nT6LbkyzyuQTGRjPe2SiFBaDOcqRJjR3YiIQM1&#10;od/3FBhZ2kP1SDwhDDqkf0OHBvAXZx1psOT+51Gg4sx8tMT1ajqfR9EmY764npGBl579pUdYSVAl&#10;D5wNx21IQh86uqWZ1Drx9VLJWCtpK9E4/oMo3ks7Rb381s0TAAAA//8DAFBLAwQUAAYACAAAACEA&#10;9x7BxN4AAAAJAQAADwAAAGRycy9kb3ducmV2LnhtbEyP0U6DQBBF3038h82Y+GLs0oKlUIZGTTS+&#10;tvYDFnYLpOwsYbeF/r3jkz5O5uTec4vdbHtxNaPvHCEsFxEIQ7XTHTUIx++P5w0IHxRp1TsyCDfj&#10;YVfe3xUq126ivbkeQiM4hHyuENoQhlxKX7fGKr9wgyH+ndxoVeBzbKQe1cThtperKFpLqzrihlYN&#10;5r019flwsQinr+npJZuqz3BM98n6TXVp5W6Ijw/z6xZEMHP4g+FXn9WhZKfKXUh70SOkcRozihCv&#10;MhAMbJYZb6kQsiQBWRby/4LyBwAA//8DAFBLAQItABQABgAIAAAAIQC2gziS/gAAAOEBAAATAAAA&#10;AAAAAAAAAAAAAAAAAABbQ29udGVudF9UeXBlc10ueG1sUEsBAi0AFAAGAAgAAAAhADj9If/WAAAA&#10;lAEAAAsAAAAAAAAAAAAAAAAALwEAAF9yZWxzLy5yZWxzUEsBAi0AFAAGAAgAAAAhAN0ZF7sMAgAA&#10;9QMAAA4AAAAAAAAAAAAAAAAALgIAAGRycy9lMm9Eb2MueG1sUEsBAi0AFAAGAAgAAAAhAPcewcTe&#10;AAAACQEAAA8AAAAAAAAAAAAAAAAAZgQAAGRycy9kb3ducmV2LnhtbFBLBQYAAAAABAAEAPMAAABx&#10;BQAAAAA=&#10;" stroked="f">
                <v:textbox>
                  <w:txbxContent>
                    <w:p w14:paraId="7F902144" w14:textId="48BC6191" w:rsidR="0050135B" w:rsidRPr="0050135B" w:rsidRDefault="0050135B" w:rsidP="0050135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50135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EC47BA">
        <w:object w:dxaOrig="7560" w:dyaOrig="6750" w14:anchorId="2CDC5F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8" type="#_x0000_t75" style="width:378pt;height:337.5pt" o:ole="">
            <v:imagedata r:id="rId4" o:title=""/>
          </v:shape>
          <o:OLEObject Type="Embed" ProgID="SigmaPlotGraphicObject.11" ShapeID="_x0000_i1038" DrawAspect="Content" ObjectID="_1819393093" r:id="rId5"/>
        </w:object>
      </w:r>
    </w:p>
    <w:p w14:paraId="73A6AE22" w14:textId="0780DBE5" w:rsidR="00DC520F" w:rsidRDefault="00DC520F" w:rsidP="00E52EA5">
      <w:pPr>
        <w:spacing w:line="480" w:lineRule="auto"/>
        <w:jc w:val="both"/>
      </w:pPr>
    </w:p>
    <w:p w14:paraId="4E65B1A9" w14:textId="558435AD" w:rsidR="00DC520F" w:rsidRDefault="00DC520F" w:rsidP="00E52EA5">
      <w:pPr>
        <w:spacing w:line="480" w:lineRule="auto"/>
        <w:jc w:val="both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66468173" wp14:editId="04BE5EDB">
                <wp:simplePos x="0" y="0"/>
                <wp:positionH relativeFrom="column">
                  <wp:posOffset>4972050</wp:posOffset>
                </wp:positionH>
                <wp:positionV relativeFrom="paragraph">
                  <wp:posOffset>258445</wp:posOffset>
                </wp:positionV>
                <wp:extent cx="523875" cy="390525"/>
                <wp:effectExtent l="0" t="0" r="9525" b="9525"/>
                <wp:wrapNone/>
                <wp:docPr id="180632490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AFB58" w14:textId="764BCFDA" w:rsidR="00DC520F" w:rsidRPr="0050135B" w:rsidRDefault="00DC520F" w:rsidP="00DC520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0135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50135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468173" id="_x0000_s1027" type="#_x0000_t202" style="position:absolute;left:0;text-align:left;margin-left:391.5pt;margin-top:20.35pt;width:41.25pt;height:30.7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WirDgIAAPwDAAAOAAAAZHJzL2Uyb0RvYy54bWysU9tu2zAMfR+wfxD0vthJkzUx4hRdugwD&#10;ugvQ7QMUWY6FyaJGKbG7ry8lu2m2vQ3TgyCK4iF5eLS+6VvDTgq9Blvy6STnTFkJlbaHkn//tnuz&#10;5MwHYSthwKqSPyrPbzavX607V6gZNGAqhYxArC86V/ImBFdkmZeNaoWfgFOWnDVgKwKZeMgqFB2h&#10;tyab5fnbrAOsHIJU3tPt3eDkm4Rf10qGL3XtVWCm5FRbSDumfR/3bLMWxQGFa7QcyxD/UEUrtKWk&#10;Z6g7EQQ7ov4LqtUSwUMdJhLaDOpaS5V6oG6m+R/dPDTCqdQLkePdmSb//2Dl59OD+4os9O+gpwGm&#10;Jry7B/nDMwvbRtiDukWErlGiosTTSFnWOV+MoZFqX/gIsu8+QUVDFscACaivsY2sUJ+M0GkAj2fS&#10;VR+YpMvF7Gp5veBMkutqlS9mi5RBFM/BDn34oKBl8VBypJkmcHG69yEWI4rnJzGXB6OrnTYmGXjY&#10;bw2yk6D579Ia0X97ZizrSr6KuWOUhRifpNHqQPo0ui35Mo9rUEwk472t0pMgtBnOVImxIzuRkIGa&#10;0O97pquRukjWHqpHogthkCN9Hzo0gL8460iKJfc/jwIVZ+ajJcpX0/k8ajcZ88X1jAy89OwvPcJK&#10;gip54Gw4bkPS+9DYLY2m1om2l0rGkkliic3xO0QNX9rp1cun3TwBAAD//wMAUEsDBBQABgAIAAAA&#10;IQDORMXh3wAAAAoBAAAPAAAAZHJzL2Rvd25yZXYueG1sTI/LTsMwEEX3SPyDNUhsEHUIzYMQpwKk&#10;IrYt/YBJPE0iYjuK3Sb9e6YrWI7m6N5zy81iBnGmyffOKnhaRSDINk73tlVw+N4+5iB8QKtxcJYU&#10;XMjDprq9KbHQbrY7Ou9DKzjE+gIVdCGMhZS+6cigX7mRLP+ObjIY+JxaqSecOdwMMo6iVBrsLTd0&#10;ONJHR83P/mQUHL/mh+Rlrj/DIdut03fss9pdlLq/W95eQQRawh8MV31Wh4qdaney2otBQZY/85ag&#10;YB1lIBjI0yQBUTMZxTHIqpT/J1S/AAAA//8DAFBLAQItABQABgAIAAAAIQC2gziS/gAAAOEBAAAT&#10;AAAAAAAAAAAAAAAAAAAAAABbQ29udGVudF9UeXBlc10ueG1sUEsBAi0AFAAGAAgAAAAhADj9If/W&#10;AAAAlAEAAAsAAAAAAAAAAAAAAAAALwEAAF9yZWxzLy5yZWxzUEsBAi0AFAAGAAgAAAAhAPMhaKsO&#10;AgAA/AMAAA4AAAAAAAAAAAAAAAAALgIAAGRycy9lMm9Eb2MueG1sUEsBAi0AFAAGAAgAAAAhAM5E&#10;xeHfAAAACgEAAA8AAAAAAAAAAAAAAAAAaAQAAGRycy9kb3ducmV2LnhtbFBLBQYAAAAABAAEAPMA&#10;AAB0BQAAAAA=&#10;" stroked="f">
                <v:textbox>
                  <w:txbxContent>
                    <w:p w14:paraId="1DAAFB58" w14:textId="764BCFDA" w:rsidR="00DC520F" w:rsidRPr="0050135B" w:rsidRDefault="00DC520F" w:rsidP="00DC520F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50135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50135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object w:dxaOrig="7560" w:dyaOrig="6750" w14:anchorId="2C578EED">
          <v:shape id="_x0000_i1026" type="#_x0000_t75" style="width:378pt;height:337.5pt" o:ole="">
            <v:imagedata r:id="rId6" o:title=""/>
          </v:shape>
          <o:OLEObject Type="Embed" ProgID="SigmaPlotGraphicObject.11" ShapeID="_x0000_i1026" DrawAspect="Content" ObjectID="_1819393094" r:id="rId7"/>
        </w:object>
      </w:r>
    </w:p>
    <w:p w14:paraId="6ADB7ABB" w14:textId="31A2F3C7" w:rsidR="006012BA" w:rsidRDefault="006012BA" w:rsidP="00E52EA5">
      <w:pPr>
        <w:spacing w:line="480" w:lineRule="auto"/>
        <w:jc w:val="both"/>
      </w:pPr>
    </w:p>
    <w:p w14:paraId="044AD396" w14:textId="250E2F46" w:rsidR="006012BA" w:rsidRDefault="006012BA" w:rsidP="00E52EA5">
      <w:pPr>
        <w:spacing w:line="480" w:lineRule="auto"/>
        <w:jc w:val="both"/>
      </w:pPr>
    </w:p>
    <w:p w14:paraId="3B86D03C" w14:textId="011DBCEE" w:rsidR="006012BA" w:rsidRDefault="006012BA" w:rsidP="00E52EA5">
      <w:pPr>
        <w:spacing w:line="480" w:lineRule="auto"/>
        <w:jc w:val="both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22377353" wp14:editId="2F7FA34A">
                <wp:simplePos x="0" y="0"/>
                <wp:positionH relativeFrom="column">
                  <wp:posOffset>4714875</wp:posOffset>
                </wp:positionH>
                <wp:positionV relativeFrom="paragraph">
                  <wp:posOffset>93345</wp:posOffset>
                </wp:positionV>
                <wp:extent cx="523875" cy="390525"/>
                <wp:effectExtent l="0" t="0" r="9525" b="9525"/>
                <wp:wrapNone/>
                <wp:docPr id="41820652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7E2DEC" w14:textId="551F4D0A" w:rsidR="006012BA" w:rsidRPr="0050135B" w:rsidRDefault="006012BA" w:rsidP="006012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0135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50135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77353" id="_x0000_s1028" type="#_x0000_t202" style="position:absolute;left:0;text-align:left;margin-left:371.25pt;margin-top:7.35pt;width:41.25pt;height:30.7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6pqEAIAAPwDAAAOAAAAZHJzL2Uyb0RvYy54bWysU9uO2yAQfa/Uf0C8N3a8STexQlbbbFNV&#10;2l6kbT8AYxyjYoYCib39+h2wN5u2b1V5QAzDnJk5c9jcDJ0mJ+m8AsPofJZTIo2AWpkDo9+/7d+s&#10;KPGBm5prMJLRR+npzfb1q01vS1lAC7qWjiCI8WVvGW1DsGWWedHKjvsZWGnQ2YDreEDTHbLa8R7R&#10;O50Vef4268HV1oGQ3uPt3eik24TfNFKEL03jZSCaUawtpN2lvYp7tt3w8uC4bZWYyuD/UEXHlcGk&#10;Z6g7Hjg5OvUXVKeEAw9NmAnoMmgaJWTqAbuZ539089ByK1MvSI63Z5r8/4MVn08P9qsjYXgHAw4w&#10;NeHtPYgfnhjYtdwc5K1z0LeS15h4HinLeuvLKTRS7UsfQar+E9Q4ZH4MkICGxnWRFeyTIDoO4PFM&#10;uhwCEXi5LK5W10tKBLqu1vmyWKYMvHwOts6HDxI6Eg+MOpxpAuenex9iMbx8fhJzedCq3iutk+EO&#10;1U47cuI4/31aE/pvz7QhPaPrmDtGGYjxSRqdCqhPrTpGV3lco2IiGe9NnZ4ErvR4xkq0mdiJhIzU&#10;hKEaiKoZLWJsJKuC+hHpcjDKEb8PHlpwvyjpUYqM+p9H7iQl+qNBytfzxSJqNxmL5XWBhrv0VJce&#10;bgRCMRooGY+7kPQ+NnaLo2lUou2lkqlklFhic/oOUcOXdnr18mm3TwAAAP//AwBQSwMEFAAGAAgA&#10;AAAhAH7djPndAAAACQEAAA8AAABkcnMvZG93bnJldi54bWxMj8tOwzAQRfdI/IM1SGwQdYjyKGmc&#10;CpBAbPv4gEk8TaLGdhS7Tfr3DCtYju7RnXPL7WIGcaXJ984qeFlFIMg2Tve2VXA8fD6vQfiAVuPg&#10;LCm4kYdtdX9XYqHdbHd03YdWcIn1BSroQhgLKX3TkUG/ciNZzk5uMhj4nFqpJ5y53AwyjqJMGuwt&#10;f+hwpI+OmvP+YhScvuen9HWuv8Ix3yXZO/Z57W5KPT4sbxsQgZbwB8OvPqtDxU61u1jtxaAgT+KU&#10;UQ6SHAQD6zjlcTUnWQyyKuX/BdUPAAAA//8DAFBLAQItABQABgAIAAAAIQC2gziS/gAAAOEBAAAT&#10;AAAAAAAAAAAAAAAAAAAAAABbQ29udGVudF9UeXBlc10ueG1sUEsBAi0AFAAGAAgAAAAhADj9If/W&#10;AAAAlAEAAAsAAAAAAAAAAAAAAAAALwEAAF9yZWxzLy5yZWxzUEsBAi0AFAAGAAgAAAAhAMT/qmoQ&#10;AgAA/AMAAA4AAAAAAAAAAAAAAAAALgIAAGRycy9lMm9Eb2MueG1sUEsBAi0AFAAGAAgAAAAhAH7d&#10;jPndAAAACQEAAA8AAAAAAAAAAAAAAAAAagQAAGRycy9kb3ducmV2LnhtbFBLBQYAAAAABAAEAPMA&#10;AAB0BQAAAAA=&#10;" stroked="f">
                <v:textbox>
                  <w:txbxContent>
                    <w:p w14:paraId="0A7E2DEC" w14:textId="551F4D0A" w:rsidR="006012BA" w:rsidRPr="0050135B" w:rsidRDefault="006012BA" w:rsidP="006012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50135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50135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object w:dxaOrig="7560" w:dyaOrig="6750" w14:anchorId="03067F49">
          <v:shape id="_x0000_i1030" type="#_x0000_t75" style="width:378pt;height:337.5pt" o:ole="">
            <v:imagedata r:id="rId8" o:title=""/>
          </v:shape>
          <o:OLEObject Type="Embed" ProgID="SigmaPlotGraphicObject.11" ShapeID="_x0000_i1030" DrawAspect="Content" ObjectID="_1819393095" r:id="rId9"/>
        </w:object>
      </w:r>
    </w:p>
    <w:p w14:paraId="73F7E923" w14:textId="5629B8AA" w:rsidR="006012BA" w:rsidRDefault="006012BA" w:rsidP="00E52EA5">
      <w:pPr>
        <w:spacing w:line="480" w:lineRule="auto"/>
        <w:jc w:val="both"/>
      </w:pPr>
    </w:p>
    <w:p w14:paraId="0F177DEC" w14:textId="645B882A" w:rsidR="006012BA" w:rsidRDefault="006012BA" w:rsidP="00E52EA5">
      <w:pPr>
        <w:spacing w:line="480" w:lineRule="auto"/>
        <w:jc w:val="both"/>
      </w:pPr>
    </w:p>
    <w:p w14:paraId="10A8E85B" w14:textId="0F0C73E5" w:rsidR="006012BA" w:rsidRDefault="006012BA" w:rsidP="00E52EA5">
      <w:pPr>
        <w:spacing w:line="480" w:lineRule="auto"/>
        <w:jc w:val="both"/>
      </w:pPr>
    </w:p>
    <w:p w14:paraId="3B6E2A2D" w14:textId="22EB981B" w:rsidR="006012BA" w:rsidRDefault="006012BA" w:rsidP="00E52EA5">
      <w:pPr>
        <w:spacing w:line="480" w:lineRule="auto"/>
        <w:jc w:val="both"/>
      </w:pPr>
    </w:p>
    <w:p w14:paraId="2DB65B73" w14:textId="2B9D3609" w:rsidR="006012BA" w:rsidRDefault="006012BA" w:rsidP="00E52EA5">
      <w:pPr>
        <w:spacing w:line="480" w:lineRule="auto"/>
        <w:jc w:val="both"/>
      </w:pPr>
    </w:p>
    <w:p w14:paraId="523FA49A" w14:textId="53066763" w:rsidR="006012BA" w:rsidRDefault="006012BA" w:rsidP="00E52EA5">
      <w:pPr>
        <w:spacing w:line="480" w:lineRule="auto"/>
        <w:jc w:val="both"/>
      </w:pPr>
    </w:p>
    <w:p w14:paraId="39326507" w14:textId="54570ED8" w:rsidR="006012BA" w:rsidRDefault="006012BA" w:rsidP="00E52EA5">
      <w:pPr>
        <w:spacing w:line="480" w:lineRule="auto"/>
        <w:jc w:val="both"/>
      </w:pPr>
    </w:p>
    <w:p w14:paraId="763DA9FB" w14:textId="5695A754" w:rsidR="006012BA" w:rsidRDefault="006012BA" w:rsidP="00E52EA5">
      <w:pPr>
        <w:spacing w:line="480" w:lineRule="auto"/>
        <w:jc w:val="both"/>
      </w:pPr>
    </w:p>
    <w:p w14:paraId="6F638B18" w14:textId="31C95C4F" w:rsidR="006012BA" w:rsidRDefault="006012BA" w:rsidP="00E52EA5">
      <w:pPr>
        <w:spacing w:line="480" w:lineRule="auto"/>
        <w:jc w:val="both"/>
      </w:pPr>
    </w:p>
    <w:p w14:paraId="0BF0C8B1" w14:textId="39E6B3B1" w:rsidR="006012BA" w:rsidRDefault="006012BA" w:rsidP="00E52EA5">
      <w:pPr>
        <w:spacing w:line="480" w:lineRule="auto"/>
        <w:jc w:val="both"/>
      </w:pPr>
    </w:p>
    <w:p w14:paraId="28C5E7BF" w14:textId="00B9D31E" w:rsidR="006012BA" w:rsidRDefault="006012BA" w:rsidP="00E52EA5">
      <w:pPr>
        <w:spacing w:line="480" w:lineRule="auto"/>
        <w:jc w:val="both"/>
      </w:pPr>
    </w:p>
    <w:p w14:paraId="19463407" w14:textId="2AE155F4" w:rsidR="006012BA" w:rsidRDefault="00B6265E" w:rsidP="00E52EA5">
      <w:pPr>
        <w:spacing w:line="480" w:lineRule="auto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1457AEE9" wp14:editId="2BA0AA16">
                <wp:simplePos x="0" y="0"/>
                <wp:positionH relativeFrom="column">
                  <wp:posOffset>4710430</wp:posOffset>
                </wp:positionH>
                <wp:positionV relativeFrom="paragraph">
                  <wp:posOffset>133985</wp:posOffset>
                </wp:positionV>
                <wp:extent cx="523875" cy="390525"/>
                <wp:effectExtent l="0" t="0" r="9525" b="9525"/>
                <wp:wrapNone/>
                <wp:docPr id="191607446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2EA7C" w14:textId="3F8A8CC0" w:rsidR="00B6265E" w:rsidRPr="0050135B" w:rsidRDefault="00B6265E" w:rsidP="00B6265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0135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 w:rsidRPr="0050135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7AEE9" id="_x0000_s1029" type="#_x0000_t202" style="position:absolute;left:0;text-align:left;margin-left:370.9pt;margin-top:10.55pt;width:41.25pt;height:30.75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MScDwIAAPwDAAAOAAAAZHJzL2Uyb0RvYy54bWysU9tu2zAMfR+wfxD0vthJkzUx4hRdugwD&#10;ugvQ7QMUWY6FyaJGKbG7ry8lu2m2vQ3TgyCK4iF5eLS+6VvDTgq9Blvy6STnTFkJlbaHkn//tnuz&#10;5MwHYSthwKqSPyrPbzavX607V6gZNGAqhYxArC86V/ImBFdkmZeNaoWfgFOWnDVgKwKZeMgqFB2h&#10;tyab5fnbrAOsHIJU3tPt3eDkm4Rf10qGL3XtVWCm5FRbSDumfR/3bLMWxQGFa7QcyxD/UEUrtKWk&#10;Z6g7EQQ7ov4LqtUSwUMdJhLaDOpaS5V6oG6m+R/dPDTCqdQLkePdmSb//2Dl59OD+4os9O+gpwGm&#10;Jry7B/nDMwvbRtiDukWErlGiosTTSFnWOV+MoZFqX/gIsu8+QUVDFscACaivsY2sUJ+M0GkAj2fS&#10;VR+YpMvF7Gp5veBMkutqlS9mi5RBFM/BDn34oKBl8VBypJkmcHG69yEWI4rnJzGXB6OrnTYmGXjY&#10;bw2yk6D579Ia0X97ZizrSr6KuWOUhRifpNHqQPo0ui35Mo9rUEwk472t0pMgtBnOVImxIzuRkIGa&#10;0O97pivqLsZGsvZQPRJdCIMc6fvQoQH8xVlHUiy5/3kUqDgzHy1RvprO51G7yZgvrmdk4KVnf+kR&#10;VhJUyQNnw3Ebkt6Hxm5pNLVOtL1UMpZMEktsjt8havjSTq9ePu3mCQAA//8DAFBLAwQUAAYACAAA&#10;ACEAILDF/d4AAAAJAQAADwAAAGRycy9kb3ducmV2LnhtbEyPQU+DQBCF7yb+h82YeDF2AREqsjRq&#10;oum1tT9gYKdAZGcJuy3037s96W1e5uW975WbxQziTJPrLSuIVxEI4sbqnlsFh+/PxzUI55E1DpZJ&#10;wYUcbKrbmxILbWfe0XnvWxFC2BWooPN+LKR0TUcG3cqOxOF3tJNBH+TUSj3hHMLNIJMoyqTBnkND&#10;hyN9dNT87E9GwXE7Pzy/zPWXP+S7NHvHPq/tRan7u+XtFYSnxf+Z4Yof0KEKTLU9sXZiUJCncUD3&#10;CpI4BhEM6yR9AlFfjwxkVcr/C6pfAAAA//8DAFBLAQItABQABgAIAAAAIQC2gziS/gAAAOEBAAAT&#10;AAAAAAAAAAAAAAAAAAAAAABbQ29udGVudF9UeXBlc10ueG1sUEsBAi0AFAAGAAgAAAAhADj9If/W&#10;AAAAlAEAAAsAAAAAAAAAAAAAAAAALwEAAF9yZWxzLy5yZWxzUEsBAi0AFAAGAAgAAAAhABZIxJwP&#10;AgAA/AMAAA4AAAAAAAAAAAAAAAAALgIAAGRycy9lMm9Eb2MueG1sUEsBAi0AFAAGAAgAAAAhACCw&#10;xf3eAAAACQEAAA8AAAAAAAAAAAAAAAAAaQQAAGRycy9kb3ducmV2LnhtbFBLBQYAAAAABAAEAPMA&#10;AAB0BQAAAAA=&#10;" stroked="f">
                <v:textbox>
                  <w:txbxContent>
                    <w:p w14:paraId="0842EA7C" w14:textId="3F8A8CC0" w:rsidR="00B6265E" w:rsidRPr="0050135B" w:rsidRDefault="00B6265E" w:rsidP="00B6265E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50135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 w:rsidRPr="0050135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object w:dxaOrig="7560" w:dyaOrig="6750" w14:anchorId="0D4BF00C">
          <v:shape id="_x0000_i1034" type="#_x0000_t75" style="width:378pt;height:337.5pt" o:ole="">
            <v:imagedata r:id="rId10" o:title=""/>
          </v:shape>
          <o:OLEObject Type="Embed" ProgID="SigmaPlotGraphicObject.11" ShapeID="_x0000_i1034" DrawAspect="Content" ObjectID="_1819393096" r:id="rId11"/>
        </w:object>
      </w:r>
    </w:p>
    <w:p w14:paraId="70D8CB72" w14:textId="63FAA413" w:rsidR="00611D82" w:rsidRPr="00EC47BA" w:rsidRDefault="00EC47BA" w:rsidP="00EC47B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7BA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EC47B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C47BA"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14156">
        <w:rPr>
          <w:rFonts w:ascii="Times New Roman" w:hAnsi="Times New Roman"/>
          <w:sz w:val="24"/>
          <w:szCs w:val="24"/>
        </w:rPr>
        <w:t>Lineweaver-Burk plot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/>
          <w:sz w:val="24"/>
          <w:szCs w:val="24"/>
        </w:rPr>
        <w:t>free cellulase</w:t>
      </w:r>
      <w:r>
        <w:rPr>
          <w:rFonts w:ascii="Times New Roman" w:hAnsi="Times New Roman"/>
          <w:sz w:val="24"/>
          <w:szCs w:val="24"/>
        </w:rPr>
        <w:t xml:space="preserve"> (A)</w:t>
      </w:r>
      <w:r>
        <w:rPr>
          <w:rFonts w:ascii="Times New Roman" w:hAnsi="Times New Roman"/>
          <w:sz w:val="24"/>
          <w:szCs w:val="24"/>
        </w:rPr>
        <w:t>, PCN@cellulase</w:t>
      </w:r>
      <w:r>
        <w:rPr>
          <w:rFonts w:ascii="Times New Roman" w:hAnsi="Times New Roman"/>
          <w:sz w:val="24"/>
          <w:szCs w:val="24"/>
        </w:rPr>
        <w:t xml:space="preserve"> (B)</w:t>
      </w:r>
      <w:r>
        <w:rPr>
          <w:rFonts w:ascii="Times New Roman" w:hAnsi="Times New Roman"/>
          <w:sz w:val="24"/>
          <w:szCs w:val="24"/>
        </w:rPr>
        <w:t>, PCN@cellulase/Glu</w:t>
      </w:r>
      <w:r>
        <w:rPr>
          <w:rFonts w:ascii="Times New Roman" w:hAnsi="Times New Roman"/>
          <w:sz w:val="24"/>
          <w:szCs w:val="24"/>
        </w:rPr>
        <w:t xml:space="preserve"> (C)</w:t>
      </w:r>
      <w:r>
        <w:rPr>
          <w:rFonts w:ascii="Times New Roman" w:hAnsi="Times New Roman"/>
          <w:sz w:val="24"/>
          <w:szCs w:val="24"/>
        </w:rPr>
        <w:t>, and PCN/Glu@cellulase</w:t>
      </w:r>
      <w:r>
        <w:rPr>
          <w:rFonts w:ascii="Times New Roman" w:hAnsi="Times New Roman"/>
          <w:sz w:val="24"/>
          <w:szCs w:val="24"/>
        </w:rPr>
        <w:t xml:space="preserve"> (D).</w:t>
      </w:r>
    </w:p>
    <w:sectPr w:rsidR="00611D82" w:rsidRPr="00EC47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E7E"/>
    <w:rsid w:val="002322AE"/>
    <w:rsid w:val="00344FD6"/>
    <w:rsid w:val="00394CB4"/>
    <w:rsid w:val="0050135B"/>
    <w:rsid w:val="005244D7"/>
    <w:rsid w:val="00536FF9"/>
    <w:rsid w:val="00591EDC"/>
    <w:rsid w:val="005F1427"/>
    <w:rsid w:val="006012BA"/>
    <w:rsid w:val="00611D82"/>
    <w:rsid w:val="007028DC"/>
    <w:rsid w:val="00B6265E"/>
    <w:rsid w:val="00C95F1E"/>
    <w:rsid w:val="00CC1E7E"/>
    <w:rsid w:val="00D2373F"/>
    <w:rsid w:val="00DC520F"/>
    <w:rsid w:val="00E52EA5"/>
    <w:rsid w:val="00EC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D2B49"/>
  <w15:chartTrackingRefBased/>
  <w15:docId w15:val="{FC196110-CC53-4AF5-8FC7-8593C7DDA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CC1E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C1E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C1E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C1E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C1E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C1E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C1E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C1E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C1E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C1E7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C1E7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CC1E7E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CC1E7E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CC1E7E"/>
    <w:rPr>
      <w:rFonts w:eastAsiaTheme="majorEastAsia" w:cstheme="majorBidi"/>
      <w:color w:val="2F5496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CC1E7E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C1E7E"/>
    <w:rPr>
      <w:rFonts w:eastAsiaTheme="majorEastAsia" w:cstheme="majorBidi"/>
      <w:color w:val="595959" w:themeColor="text1" w:themeTint="A6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C1E7E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C1E7E"/>
    <w:rPr>
      <w:rFonts w:eastAsiaTheme="majorEastAsia" w:cstheme="majorBidi"/>
      <w:color w:val="272727" w:themeColor="text1" w:themeTint="D8"/>
      <w:lang w:val="en-US"/>
    </w:rPr>
  </w:style>
  <w:style w:type="paragraph" w:styleId="KonuBal">
    <w:name w:val="Title"/>
    <w:basedOn w:val="Normal"/>
    <w:next w:val="Normal"/>
    <w:link w:val="KonuBalChar"/>
    <w:uiPriority w:val="10"/>
    <w:qFormat/>
    <w:rsid w:val="00CC1E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C1E7E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ltyaz">
    <w:name w:val="Subtitle"/>
    <w:basedOn w:val="Normal"/>
    <w:next w:val="Normal"/>
    <w:link w:val="AltyazChar"/>
    <w:uiPriority w:val="11"/>
    <w:qFormat/>
    <w:rsid w:val="00CC1E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CC1E7E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Alnt">
    <w:name w:val="Quote"/>
    <w:basedOn w:val="Normal"/>
    <w:next w:val="Normal"/>
    <w:link w:val="AlntChar"/>
    <w:uiPriority w:val="29"/>
    <w:qFormat/>
    <w:rsid w:val="00CC1E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CC1E7E"/>
    <w:rPr>
      <w:i/>
      <w:iCs/>
      <w:color w:val="404040" w:themeColor="text1" w:themeTint="BF"/>
      <w:lang w:val="en-US"/>
    </w:rPr>
  </w:style>
  <w:style w:type="paragraph" w:styleId="ListeParagraf">
    <w:name w:val="List Paragraph"/>
    <w:basedOn w:val="Normal"/>
    <w:uiPriority w:val="34"/>
    <w:qFormat/>
    <w:rsid w:val="00CC1E7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CC1E7E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CC1E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CC1E7E"/>
    <w:rPr>
      <w:i/>
      <w:iCs/>
      <w:color w:val="2F5496" w:themeColor="accent1" w:themeShade="BF"/>
      <w:lang w:val="en-US"/>
    </w:rPr>
  </w:style>
  <w:style w:type="character" w:styleId="GlBavuru">
    <w:name w:val="Intense Reference"/>
    <w:basedOn w:val="VarsaylanParagrafYazTipi"/>
    <w:uiPriority w:val="32"/>
    <w:qFormat/>
    <w:rsid w:val="00CC1E7E"/>
    <w:rPr>
      <w:b/>
      <w:bCs/>
      <w:smallCaps/>
      <w:color w:val="2F5496" w:themeColor="accent1" w:themeShade="BF"/>
      <w:spacing w:val="5"/>
    </w:rPr>
  </w:style>
  <w:style w:type="character" w:styleId="Kpr">
    <w:name w:val="Hyperlink"/>
    <w:uiPriority w:val="99"/>
    <w:unhideWhenUsed/>
    <w:rsid w:val="00E52EA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642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Prof.Dr. Deniz YILDIRIM</dc:creator>
  <cp:keywords/>
  <dc:description/>
  <cp:lastModifiedBy>Prof.Dr. Deniz YILDIRIM</cp:lastModifiedBy>
  <cp:revision>9</cp:revision>
  <dcterms:created xsi:type="dcterms:W3CDTF">2025-09-03T18:18:00Z</dcterms:created>
  <dcterms:modified xsi:type="dcterms:W3CDTF">2025-09-14T19:11:00Z</dcterms:modified>
</cp:coreProperties>
</file>