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B544" w14:textId="77777777" w:rsidR="00ED2E4A" w:rsidRPr="00ED2E4A" w:rsidRDefault="00ED2E4A" w:rsidP="00ED2E4A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i/>
          <w:szCs w:val="26"/>
          <w:lang w:val="en-GB"/>
          <w14:ligatures w14:val="none"/>
        </w:rPr>
      </w:pPr>
      <w:r w:rsidRPr="00ED2E4A">
        <w:rPr>
          <w:rFonts w:ascii="Times New Roman" w:eastAsia="Times New Roman" w:hAnsi="Times New Roman" w:cs="Times New Roman"/>
          <w:b/>
          <w:i/>
          <w:szCs w:val="26"/>
          <w:lang w:val="en-GB"/>
          <w14:ligatures w14:val="none"/>
        </w:rPr>
        <w:t>Highlights</w:t>
      </w:r>
    </w:p>
    <w:p w14:paraId="42DEB2D1" w14:textId="77777777" w:rsidR="00ED2E4A" w:rsidRPr="00ED2E4A" w:rsidRDefault="00ED2E4A" w:rsidP="00ED2E4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</w:pPr>
      <w:r w:rsidRPr="00ED2E4A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 xml:space="preserve">Q </w:t>
      </w:r>
      <w:proofErr w:type="spellStart"/>
      <w:r w:rsidRPr="00ED2E4A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>RadFusion</w:t>
      </w:r>
      <w:proofErr w:type="spellEnd"/>
      <w:r w:rsidRPr="00ED2E4A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>: a hybrid quantum-classical framework for breast cancer diagnosis</w:t>
      </w:r>
    </w:p>
    <w:p w14:paraId="747ECFD8" w14:textId="77777777" w:rsidR="00ED2E4A" w:rsidRPr="00ED2E4A" w:rsidRDefault="00ED2E4A" w:rsidP="00ED2E4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</w:pPr>
      <w:r w:rsidRPr="00ED2E4A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>Integrates CBIS-DDSM mammography with TCGA-BRCA genomic profiles</w:t>
      </w:r>
    </w:p>
    <w:p w14:paraId="3FF87C18" w14:textId="77777777" w:rsidR="00ED2E4A" w:rsidRPr="00ED2E4A" w:rsidRDefault="00ED2E4A" w:rsidP="00ED2E4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</w:pPr>
      <w:r w:rsidRPr="00ED2E4A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 xml:space="preserve">Uses QAOA, VQC, </w:t>
      </w:r>
      <w:proofErr w:type="spellStart"/>
      <w:r w:rsidRPr="00ED2E4A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>ResNet</w:t>
      </w:r>
      <w:proofErr w:type="spellEnd"/>
      <w:r w:rsidRPr="00ED2E4A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>, and Transformer for multimodal fusion</w:t>
      </w:r>
    </w:p>
    <w:p w14:paraId="238CE28D" w14:textId="77777777" w:rsidR="00ED2E4A" w:rsidRDefault="00ED2E4A" w:rsidP="00ED2E4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</w:pPr>
      <w:r w:rsidRPr="00ED2E4A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>Achieves superior accuracy (94%) and AUC (0.96) over deep learning baselines</w:t>
      </w:r>
    </w:p>
    <w:p w14:paraId="3235AB0B" w14:textId="7E231942" w:rsidR="00ED2E4A" w:rsidRPr="00ED2E4A" w:rsidRDefault="00ED2E4A" w:rsidP="00ED2E4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</w:pPr>
      <w:r w:rsidRPr="00ED2E4A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 xml:space="preserve">Ensures reproducibility with public datasets and pseudocode methodology. </w:t>
      </w:r>
      <w:r w:rsidRPr="00ED2E4A">
        <w:rPr>
          <w:rFonts w:ascii="Times New Roman" w:eastAsia="Times New Roman" w:hAnsi="Times New Roman" w:cs="Times New Roman"/>
          <w:szCs w:val="22"/>
          <w:lang w:val="en-GB" w:eastAsia="zh-CN"/>
        </w:rPr>
        <w:t>Introduction</w:t>
      </w:r>
    </w:p>
    <w:sectPr w:rsidR="00ED2E4A" w:rsidRPr="00ED2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E4C4B"/>
    <w:multiLevelType w:val="multilevel"/>
    <w:tmpl w:val="265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37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4A"/>
    <w:rsid w:val="007F0D33"/>
    <w:rsid w:val="00E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2704"/>
  <w15:chartTrackingRefBased/>
  <w15:docId w15:val="{D5C82EAD-FFAF-4047-BDE8-F9CA6BC2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E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E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E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E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Shahid</dc:creator>
  <cp:keywords/>
  <dc:description/>
  <cp:lastModifiedBy>Ahsan Shahid</cp:lastModifiedBy>
  <cp:revision>1</cp:revision>
  <dcterms:created xsi:type="dcterms:W3CDTF">2025-08-27T15:38:00Z</dcterms:created>
  <dcterms:modified xsi:type="dcterms:W3CDTF">2025-08-27T15:39:00Z</dcterms:modified>
</cp:coreProperties>
</file>