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E14E51" w14:textId="73417FA4" w:rsidR="003E4184" w:rsidRPr="00AB1765" w:rsidRDefault="00AB1765">
      <w:pPr>
        <w:rPr>
          <w:sz w:val="36"/>
          <w:szCs w:val="36"/>
          <w:lang w:val="en-GB"/>
        </w:rPr>
      </w:pPr>
      <w:r w:rsidRPr="00AB1765">
        <w:rPr>
          <w:sz w:val="36"/>
          <w:szCs w:val="36"/>
          <w:lang w:val="en-GB"/>
        </w:rPr>
        <w:t>Supplementary Material</w:t>
      </w:r>
    </w:p>
    <w:p w14:paraId="2356B8FC" w14:textId="77777777" w:rsidR="00503D2C" w:rsidRDefault="00503D2C" w:rsidP="00503D2C">
      <w:pPr>
        <w:rPr>
          <w:b/>
          <w:bCs/>
          <w:sz w:val="28"/>
          <w:szCs w:val="28"/>
          <w:lang w:val="en-GB"/>
        </w:rPr>
      </w:pPr>
    </w:p>
    <w:p w14:paraId="773572FE" w14:textId="6B101170" w:rsidR="00503D2C" w:rsidRDefault="00503D2C" w:rsidP="00503D2C">
      <w:pPr>
        <w:rPr>
          <w:b/>
          <w:bCs/>
          <w:sz w:val="28"/>
          <w:szCs w:val="28"/>
          <w:lang w:val="en-GB"/>
        </w:rPr>
      </w:pPr>
      <w:r>
        <w:rPr>
          <w:b/>
          <w:bCs/>
          <w:sz w:val="28"/>
          <w:szCs w:val="28"/>
          <w:lang w:val="en-GB"/>
        </w:rPr>
        <w:t>Sediment Properties</w:t>
      </w:r>
    </w:p>
    <w:p w14:paraId="12DECDEF" w14:textId="77777777" w:rsidR="00857852" w:rsidRDefault="00857852" w:rsidP="00857852">
      <w:pPr>
        <w:spacing w:line="240" w:lineRule="auto"/>
        <w:jc w:val="both"/>
        <w:rPr>
          <w:b/>
          <w:bCs/>
          <w:lang w:val="en-US"/>
        </w:rPr>
      </w:pPr>
    </w:p>
    <w:p w14:paraId="5272C52A" w14:textId="77777777" w:rsidR="00857852" w:rsidRDefault="00857852" w:rsidP="00857852">
      <w:pPr>
        <w:spacing w:line="240" w:lineRule="auto"/>
        <w:jc w:val="both"/>
        <w:rPr>
          <w:b/>
          <w:bCs/>
          <w:lang w:val="en-US"/>
        </w:rPr>
      </w:pPr>
    </w:p>
    <w:p w14:paraId="735884F5" w14:textId="669DB5D1" w:rsidR="00857852" w:rsidRDefault="002D3B9D" w:rsidP="00857852">
      <w:pPr>
        <w:spacing w:line="240" w:lineRule="auto"/>
        <w:jc w:val="both"/>
        <w:rPr>
          <w:b/>
          <w:bCs/>
          <w:lang w:val="en-US"/>
        </w:rPr>
      </w:pPr>
      <w:r>
        <w:rPr>
          <w:noProof/>
          <w:lang w:val="en-US"/>
        </w:rPr>
        <w:drawing>
          <wp:inline distT="0" distB="0" distL="0" distR="0" wp14:anchorId="249C2FFE" wp14:editId="75AA81A3">
            <wp:extent cx="5762625" cy="3867150"/>
            <wp:effectExtent l="0" t="0" r="9525" b="0"/>
            <wp:docPr id="6886177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2625" cy="3867150"/>
                    </a:xfrm>
                    <a:prstGeom prst="rect">
                      <a:avLst/>
                    </a:prstGeom>
                    <a:noFill/>
                    <a:ln>
                      <a:noFill/>
                    </a:ln>
                  </pic:spPr>
                </pic:pic>
              </a:graphicData>
            </a:graphic>
          </wp:inline>
        </w:drawing>
      </w:r>
    </w:p>
    <w:p w14:paraId="2216BECD" w14:textId="77777777" w:rsidR="009B486E" w:rsidRDefault="00857852" w:rsidP="009B486E">
      <w:pPr>
        <w:spacing w:after="0" w:line="240" w:lineRule="auto"/>
        <w:jc w:val="both"/>
        <w:rPr>
          <w:rFonts w:cstheme="minorHAnsi"/>
          <w:lang w:val="en-US"/>
        </w:rPr>
      </w:pPr>
      <w:r w:rsidRPr="009B486E">
        <w:rPr>
          <w:b/>
          <w:bCs/>
          <w:sz w:val="24"/>
          <w:szCs w:val="24"/>
          <w:lang w:val="en-US"/>
        </w:rPr>
        <w:t>Figure S</w:t>
      </w:r>
      <w:r w:rsidR="00AB029D" w:rsidRPr="009B486E">
        <w:rPr>
          <w:b/>
          <w:bCs/>
          <w:sz w:val="24"/>
          <w:szCs w:val="24"/>
          <w:lang w:val="en-US"/>
        </w:rPr>
        <w:t>1</w:t>
      </w:r>
      <w:r w:rsidRPr="009B486E">
        <w:rPr>
          <w:b/>
          <w:bCs/>
          <w:sz w:val="24"/>
          <w:szCs w:val="24"/>
          <w:lang w:val="en-US"/>
        </w:rPr>
        <w:t xml:space="preserve">: </w:t>
      </w:r>
      <w:r w:rsidRPr="003E2B19">
        <w:rPr>
          <w:rFonts w:cstheme="minorHAnsi"/>
          <w:lang w:val="en-US"/>
        </w:rPr>
        <w:t xml:space="preserve">Sediment core GeoB25206-2 color images. The visual inspection of the gravity core GeoB25206-2 shows that </w:t>
      </w:r>
      <w:proofErr w:type="gramStart"/>
      <w:r w:rsidRPr="003E2B19">
        <w:rPr>
          <w:rFonts w:cstheme="minorHAnsi"/>
          <w:lang w:val="en-US"/>
        </w:rPr>
        <w:t>the majority of</w:t>
      </w:r>
      <w:proofErr w:type="gramEnd"/>
      <w:r w:rsidRPr="003E2B19">
        <w:rPr>
          <w:rFonts w:cstheme="minorHAnsi"/>
          <w:lang w:val="en-US"/>
        </w:rPr>
        <w:t xml:space="preserve"> the core, from top to about 750 cm, consists of compact olive-grey fine-grained mud. From 750 cm GeoB25206-2 shows a transitional </w:t>
      </w:r>
      <w:proofErr w:type="spellStart"/>
      <w:r w:rsidRPr="003E2B19">
        <w:rPr>
          <w:rFonts w:cstheme="minorHAnsi"/>
          <w:lang w:val="en-US"/>
        </w:rPr>
        <w:t>colour</w:t>
      </w:r>
      <w:proofErr w:type="spellEnd"/>
      <w:r w:rsidRPr="003E2B19">
        <w:rPr>
          <w:rFonts w:cstheme="minorHAnsi"/>
          <w:lang w:val="en-US"/>
        </w:rPr>
        <w:t xml:space="preserve"> change from olive-grey to pinkish grey. This interval is intercepted at 827 cm by a about 13 cm thick water rich olive-grey sand layer which is cut off at about 840 cm by a layer of olive-grey fine-grained mud with a downcore </w:t>
      </w:r>
      <w:proofErr w:type="spellStart"/>
      <w:r w:rsidRPr="003E2B19">
        <w:rPr>
          <w:rFonts w:cstheme="minorHAnsi"/>
          <w:lang w:val="en-US"/>
        </w:rPr>
        <w:t>colour</w:t>
      </w:r>
      <w:proofErr w:type="spellEnd"/>
      <w:r w:rsidRPr="003E2B19">
        <w:rPr>
          <w:rFonts w:cstheme="minorHAnsi"/>
          <w:lang w:val="en-US"/>
        </w:rPr>
        <w:t xml:space="preserve"> change to pale red. The grey sediment with a reddish hue is present until the end of the core and large dark-grey patches appear from 1017 cm downcore. </w:t>
      </w:r>
      <w:r w:rsidR="00E25BF2" w:rsidRPr="00E25BF2">
        <w:rPr>
          <w:rFonts w:cstheme="minorHAnsi"/>
          <w:lang w:val="en-US"/>
        </w:rPr>
        <w:t xml:space="preserve">Visual core description and </w:t>
      </w:r>
      <w:r w:rsidR="00E25BF2">
        <w:rPr>
          <w:rFonts w:cstheme="minorHAnsi"/>
          <w:lang w:val="en-US"/>
        </w:rPr>
        <w:t xml:space="preserve">high-resolution </w:t>
      </w:r>
      <w:r w:rsidR="00E25BF2" w:rsidRPr="00E25BF2">
        <w:rPr>
          <w:rFonts w:cstheme="minorHAnsi"/>
          <w:lang w:val="en-US"/>
        </w:rPr>
        <w:t>sediment core line scanner images of the sediment core GeoB25206-2</w:t>
      </w:r>
      <w:r w:rsidR="00E25BF2">
        <w:rPr>
          <w:rFonts w:cstheme="minorHAnsi"/>
          <w:lang w:val="en-US"/>
        </w:rPr>
        <w:t xml:space="preserve"> are available on PANGEA</w:t>
      </w:r>
      <w:r w:rsidR="00E25BF2" w:rsidRPr="00E25BF2">
        <w:rPr>
          <w:rFonts w:cstheme="minorHAnsi"/>
          <w:lang w:val="en-US"/>
        </w:rPr>
        <w:t>:</w:t>
      </w:r>
    </w:p>
    <w:p w14:paraId="6D9E7342" w14:textId="7967E706" w:rsidR="009B486E" w:rsidRPr="009B486E" w:rsidRDefault="009B486E" w:rsidP="009B486E">
      <w:pPr>
        <w:spacing w:after="0" w:line="240" w:lineRule="auto"/>
        <w:jc w:val="both"/>
        <w:rPr>
          <w:rFonts w:cstheme="minorHAnsi"/>
          <w:lang w:val="en-US"/>
        </w:rPr>
      </w:pPr>
      <w:r w:rsidRPr="009B486E">
        <w:rPr>
          <w:rFonts w:cstheme="minorHAnsi"/>
          <w:lang w:val="en-US"/>
        </w:rPr>
        <w:t>https://www.pangaea.de/tok/e1a54ed3fe826d6a02f8f5121ab279f809d25dd6</w:t>
      </w:r>
    </w:p>
    <w:p w14:paraId="3CEE7720" w14:textId="3C7827B2" w:rsidR="009B486E" w:rsidRPr="009B486E" w:rsidRDefault="009B486E" w:rsidP="009B486E">
      <w:pPr>
        <w:rPr>
          <w:lang w:val="en-GB"/>
        </w:rPr>
      </w:pPr>
    </w:p>
    <w:p w14:paraId="02D53CE1" w14:textId="2F4E6F6B" w:rsidR="006F3286" w:rsidRDefault="005537B8">
      <w:pPr>
        <w:rPr>
          <w:noProof/>
          <w:lang w:val="en-US"/>
        </w:rPr>
      </w:pPr>
      <w:r>
        <w:rPr>
          <w:noProof/>
          <w:lang w:val="en-US"/>
        </w:rPr>
        <w:lastRenderedPageBreak/>
        <mc:AlternateContent>
          <mc:Choice Requires="wps">
            <w:drawing>
              <wp:anchor distT="0" distB="0" distL="114300" distR="114300" simplePos="0" relativeHeight="251659264" behindDoc="0" locked="0" layoutInCell="1" allowOverlap="1" wp14:anchorId="29A4CFCF" wp14:editId="367E0A21">
                <wp:simplePos x="0" y="0"/>
                <wp:positionH relativeFrom="column">
                  <wp:posOffset>-137795</wp:posOffset>
                </wp:positionH>
                <wp:positionV relativeFrom="paragraph">
                  <wp:posOffset>-147319</wp:posOffset>
                </wp:positionV>
                <wp:extent cx="6029325" cy="7905750"/>
                <wp:effectExtent l="0" t="0" r="28575" b="19050"/>
                <wp:wrapNone/>
                <wp:docPr id="684680608" name="Rectangle 3"/>
                <wp:cNvGraphicFramePr/>
                <a:graphic xmlns:a="http://schemas.openxmlformats.org/drawingml/2006/main">
                  <a:graphicData uri="http://schemas.microsoft.com/office/word/2010/wordprocessingShape">
                    <wps:wsp>
                      <wps:cNvSpPr/>
                      <wps:spPr>
                        <a:xfrm>
                          <a:off x="0" y="0"/>
                          <a:ext cx="6029325" cy="790575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5BA54" id="Rectangle 3" o:spid="_x0000_s1026" style="position:absolute;margin-left:-10.85pt;margin-top:-11.6pt;width:474.75pt;height:6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" filled="f" strokecolor="black [3213]" strokeweight="1pt"/>
            </w:pict>
          </mc:Fallback>
        </mc:AlternateContent>
      </w:r>
      <w:r w:rsidR="00C779C8">
        <w:rPr>
          <w:noProof/>
          <w:lang w:val="en-US"/>
        </w:rPr>
        <mc:AlternateContent>
          <mc:Choice Requires="wps">
            <w:drawing>
              <wp:anchor distT="0" distB="0" distL="114300" distR="114300" simplePos="0" relativeHeight="251660288" behindDoc="0" locked="0" layoutInCell="1" allowOverlap="1" wp14:anchorId="543FEA13" wp14:editId="53560EE6">
                <wp:simplePos x="0" y="0"/>
                <wp:positionH relativeFrom="column">
                  <wp:posOffset>-99695</wp:posOffset>
                </wp:positionH>
                <wp:positionV relativeFrom="paragraph">
                  <wp:posOffset>1624330</wp:posOffset>
                </wp:positionV>
                <wp:extent cx="762000" cy="933450"/>
                <wp:effectExtent l="0" t="0" r="0" b="0"/>
                <wp:wrapNone/>
                <wp:docPr id="310421586" name="Text Box 4"/>
                <wp:cNvGraphicFramePr/>
                <a:graphic xmlns:a="http://schemas.openxmlformats.org/drawingml/2006/main">
                  <a:graphicData uri="http://schemas.microsoft.com/office/word/2010/wordprocessingShape">
                    <wps:wsp>
                      <wps:cNvSpPr txBox="1"/>
                      <wps:spPr>
                        <a:xfrm>
                          <a:off x="0" y="0"/>
                          <a:ext cx="762000" cy="933450"/>
                        </a:xfrm>
                        <a:prstGeom prst="rect">
                          <a:avLst/>
                        </a:prstGeom>
                        <a:noFill/>
                        <a:ln w="6350">
                          <a:noFill/>
                        </a:ln>
                      </wps:spPr>
                      <wps:txbx>
                        <w:txbxContent>
                          <w:p w14:paraId="18621B05" w14:textId="19B7DC3D" w:rsidR="00C779C8" w:rsidRPr="00C779C8" w:rsidRDefault="00C779C8">
                            <w:pPr>
                              <w:rPr>
                                <w:b/>
                                <w:bCs/>
                                <w:sz w:val="52"/>
                                <w:szCs w:val="52"/>
                              </w:rPr>
                            </w:pPr>
                            <w:r w:rsidRPr="00C779C8">
                              <w:rPr>
                                <w:b/>
                                <w:bCs/>
                                <w:sz w:val="52"/>
                                <w:szCs w:val="5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3FEA13" id="_x0000_t202" coordsize="21600,21600" o:spt="202" path="m,l,21600r21600,l21600,xe">
                <v:stroke joinstyle="miter"/>
                <v:path gradientshapeok="t" o:connecttype="rect"/>
              </v:shapetype>
              <v:shape id="Text Box 4" o:spid="_x0000_s1026" type="#_x0000_t202" style="position:absolute;margin-left:-7.85pt;margin-top:127.9pt;width:60pt;height:7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" filled="f" stroked="f" strokeweight=".5pt">
                <v:textbox>
                  <w:txbxContent>
                    <w:p w14:paraId="18621B05" w14:textId="19B7DC3D" w:rsidR="00C779C8" w:rsidRPr="00C779C8" w:rsidRDefault="00C779C8">
                      <w:pPr>
                        <w:rPr>
                          <w:b/>
                          <w:bCs/>
                          <w:sz w:val="52"/>
                          <w:szCs w:val="52"/>
                        </w:rPr>
                      </w:pPr>
                      <w:r w:rsidRPr="00C779C8">
                        <w:rPr>
                          <w:b/>
                          <w:bCs/>
                          <w:sz w:val="52"/>
                          <w:szCs w:val="52"/>
                        </w:rPr>
                        <w:t>a)</w:t>
                      </w:r>
                    </w:p>
                  </w:txbxContent>
                </v:textbox>
              </v:shape>
            </w:pict>
          </mc:Fallback>
        </mc:AlternateContent>
      </w:r>
      <w:r w:rsidR="00C779C8">
        <w:rPr>
          <w:noProof/>
          <w:lang w:val="en-US"/>
        </w:rPr>
        <w:drawing>
          <wp:inline distT="0" distB="0" distL="0" distR="0" wp14:anchorId="3C3808D8" wp14:editId="444FD61C">
            <wp:extent cx="5753100" cy="3714750"/>
            <wp:effectExtent l="0" t="0" r="0" b="0"/>
            <wp:docPr id="1370443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3100" cy="3714750"/>
                    </a:xfrm>
                    <a:prstGeom prst="rect">
                      <a:avLst/>
                    </a:prstGeom>
                    <a:noFill/>
                    <a:ln>
                      <a:noFill/>
                    </a:ln>
                  </pic:spPr>
                </pic:pic>
              </a:graphicData>
            </a:graphic>
          </wp:inline>
        </w:drawing>
      </w:r>
    </w:p>
    <w:p w14:paraId="48651D01" w14:textId="18056338" w:rsidR="00C779C8" w:rsidRDefault="006F3286" w:rsidP="006F3286">
      <w:pPr>
        <w:jc w:val="right"/>
        <w:rPr>
          <w:lang w:val="en-US"/>
        </w:rPr>
      </w:pPr>
      <w:r>
        <w:rPr>
          <w:noProof/>
          <w:lang w:val="en-US"/>
        </w:rPr>
        <mc:AlternateContent>
          <mc:Choice Requires="wps">
            <w:drawing>
              <wp:anchor distT="0" distB="0" distL="114300" distR="114300" simplePos="0" relativeHeight="251662336" behindDoc="0" locked="0" layoutInCell="1" allowOverlap="1" wp14:anchorId="4940273D" wp14:editId="2F4E9C3F">
                <wp:simplePos x="0" y="0"/>
                <wp:positionH relativeFrom="margin">
                  <wp:posOffset>38100</wp:posOffset>
                </wp:positionH>
                <wp:positionV relativeFrom="paragraph">
                  <wp:posOffset>1480185</wp:posOffset>
                </wp:positionV>
                <wp:extent cx="762000" cy="838200"/>
                <wp:effectExtent l="0" t="0" r="0" b="0"/>
                <wp:wrapNone/>
                <wp:docPr id="692540857" name="Text Box 4"/>
                <wp:cNvGraphicFramePr/>
                <a:graphic xmlns:a="http://schemas.openxmlformats.org/drawingml/2006/main">
                  <a:graphicData uri="http://schemas.microsoft.com/office/word/2010/wordprocessingShape">
                    <wps:wsp>
                      <wps:cNvSpPr txBox="1"/>
                      <wps:spPr>
                        <a:xfrm>
                          <a:off x="0" y="0"/>
                          <a:ext cx="762000" cy="838200"/>
                        </a:xfrm>
                        <a:prstGeom prst="rect">
                          <a:avLst/>
                        </a:prstGeom>
                        <a:noFill/>
                        <a:ln w="6350">
                          <a:noFill/>
                        </a:ln>
                      </wps:spPr>
                      <wps:txbx>
                        <w:txbxContent>
                          <w:p w14:paraId="15B98A61" w14:textId="16E203FE" w:rsidR="00C779C8" w:rsidRPr="005537B8" w:rsidRDefault="00C779C8" w:rsidP="00C779C8">
                            <w:pPr>
                              <w:rPr>
                                <w:b/>
                                <w:bCs/>
                                <w:color w:val="FFFFFF" w:themeColor="background1"/>
                                <w:sz w:val="52"/>
                                <w:szCs w:val="52"/>
                              </w:rPr>
                            </w:pPr>
                            <w:r w:rsidRPr="005537B8">
                              <w:rPr>
                                <w:b/>
                                <w:bCs/>
                                <w:color w:val="FFFFFF" w:themeColor="background1"/>
                                <w:sz w:val="52"/>
                                <w:szCs w:val="5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0273D" id="_x0000_s1027" type="#_x0000_t202" style="position:absolute;left:0;text-align:left;margin-left:3pt;margin-top:116.55pt;width:60pt;height:6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" filled="f" stroked="f" strokeweight=".5pt">
                <v:textbox>
                  <w:txbxContent>
                    <w:p w14:paraId="15B98A61" w14:textId="16E203FE" w:rsidR="00C779C8" w:rsidRPr="005537B8" w:rsidRDefault="00C779C8" w:rsidP="00C779C8">
                      <w:pPr>
                        <w:rPr>
                          <w:b/>
                          <w:bCs/>
                          <w:color w:val="FFFFFF" w:themeColor="background1"/>
                          <w:sz w:val="52"/>
                          <w:szCs w:val="52"/>
                        </w:rPr>
                      </w:pPr>
                      <w:r w:rsidRPr="005537B8">
                        <w:rPr>
                          <w:b/>
                          <w:bCs/>
                          <w:color w:val="FFFFFF" w:themeColor="background1"/>
                          <w:sz w:val="52"/>
                          <w:szCs w:val="52"/>
                        </w:rPr>
                        <w:t>b)</w:t>
                      </w:r>
                    </w:p>
                  </w:txbxContent>
                </v:textbox>
                <w10:wrap anchorx="margin"/>
              </v:shape>
            </w:pict>
          </mc:Fallback>
        </mc:AlternateContent>
      </w:r>
      <w:r>
        <w:rPr>
          <w:noProof/>
          <w:lang w:val="en-US"/>
        </w:rPr>
        <w:drawing>
          <wp:inline distT="0" distB="0" distL="0" distR="0" wp14:anchorId="622854AE" wp14:editId="1C576C55">
            <wp:extent cx="5735955" cy="3824970"/>
            <wp:effectExtent l="0" t="0" r="0" b="4445"/>
            <wp:docPr id="4831907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439" r="5346" b="4485"/>
                    <a:stretch>
                      <a:fillRect/>
                    </a:stretch>
                  </pic:blipFill>
                  <pic:spPr bwMode="auto">
                    <a:xfrm>
                      <a:off x="0" y="0"/>
                      <a:ext cx="5735955" cy="3824970"/>
                    </a:xfrm>
                    <a:prstGeom prst="rect">
                      <a:avLst/>
                    </a:prstGeom>
                    <a:noFill/>
                    <a:ln>
                      <a:noFill/>
                    </a:ln>
                    <a:extLst>
                      <a:ext uri="{53640926-AAD7-44D8-BBD7-CCE9431645EC}">
                        <a14:shadowObscured xmlns:a14="http://schemas.microsoft.com/office/drawing/2010/main"/>
                      </a:ext>
                    </a:extLst>
                  </pic:spPr>
                </pic:pic>
              </a:graphicData>
            </a:graphic>
          </wp:inline>
        </w:drawing>
      </w:r>
    </w:p>
    <w:p w14:paraId="64BAB8E7" w14:textId="1BFD9082" w:rsidR="00B9026B" w:rsidRDefault="005537B8">
      <w:pPr>
        <w:rPr>
          <w:lang w:val="en-US"/>
        </w:rPr>
      </w:pPr>
      <w:r w:rsidRPr="009B486E">
        <w:rPr>
          <w:b/>
          <w:bCs/>
          <w:sz w:val="24"/>
          <w:szCs w:val="24"/>
          <w:lang w:val="en-US"/>
        </w:rPr>
        <w:t>Figure S</w:t>
      </w:r>
      <w:r w:rsidR="00AB029D" w:rsidRPr="009B486E">
        <w:rPr>
          <w:b/>
          <w:bCs/>
          <w:sz w:val="24"/>
          <w:szCs w:val="24"/>
          <w:lang w:val="en-US"/>
        </w:rPr>
        <w:t>2</w:t>
      </w:r>
      <w:r w:rsidRPr="009B486E">
        <w:rPr>
          <w:b/>
          <w:bCs/>
          <w:sz w:val="24"/>
          <w:szCs w:val="24"/>
          <w:lang w:val="en-US"/>
        </w:rPr>
        <w:t>:</w:t>
      </w:r>
      <w:r w:rsidRPr="00C779C8">
        <w:rPr>
          <w:b/>
          <w:bCs/>
          <w:lang w:val="en-US"/>
        </w:rPr>
        <w:t xml:space="preserve"> </w:t>
      </w:r>
      <w:r w:rsidRPr="005537B8">
        <w:rPr>
          <w:lang w:val="en-US"/>
        </w:rPr>
        <w:t>Sediment core GeoB25206-2</w:t>
      </w:r>
      <w:r>
        <w:rPr>
          <w:lang w:val="en-US"/>
        </w:rPr>
        <w:t xml:space="preserve"> </w:t>
      </w:r>
      <w:r w:rsidRPr="005537B8">
        <w:rPr>
          <w:lang w:val="en-US"/>
        </w:rPr>
        <w:t>CT scan grey scale images</w:t>
      </w:r>
      <w:r w:rsidR="001710FC">
        <w:rPr>
          <w:lang w:val="en-US"/>
        </w:rPr>
        <w:t xml:space="preserve"> (a)</w:t>
      </w:r>
      <w:r w:rsidRPr="005537B8">
        <w:rPr>
          <w:lang w:val="en-US"/>
        </w:rPr>
        <w:t xml:space="preserve"> </w:t>
      </w:r>
      <w:r>
        <w:rPr>
          <w:lang w:val="en-US"/>
        </w:rPr>
        <w:t xml:space="preserve">and </w:t>
      </w:r>
      <w:r w:rsidR="00B9026B" w:rsidRPr="00B9026B">
        <w:rPr>
          <w:lang w:val="en-US"/>
        </w:rPr>
        <w:t xml:space="preserve">3D reconstructions of </w:t>
      </w:r>
      <w:r w:rsidR="002F4E95">
        <w:rPr>
          <w:lang w:val="en-US"/>
        </w:rPr>
        <w:t>IRD grains</w:t>
      </w:r>
      <w:r w:rsidR="00B9026B">
        <w:rPr>
          <w:lang w:val="en-US"/>
        </w:rPr>
        <w:t xml:space="preserve"> </w:t>
      </w:r>
      <w:r w:rsidR="00B9026B" w:rsidRPr="00B9026B">
        <w:rPr>
          <w:lang w:val="en-US"/>
        </w:rPr>
        <w:t>(</w:t>
      </w:r>
      <w:r w:rsidR="00B9026B">
        <w:rPr>
          <w:lang w:val="en-US"/>
        </w:rPr>
        <w:t>yellow) and</w:t>
      </w:r>
      <w:r w:rsidR="00B9026B" w:rsidRPr="00B9026B">
        <w:rPr>
          <w:lang w:val="en-US"/>
        </w:rPr>
        <w:t xml:space="preserve"> bioturbation</w:t>
      </w:r>
      <w:r w:rsidR="00B9026B">
        <w:rPr>
          <w:lang w:val="en-US"/>
        </w:rPr>
        <w:t xml:space="preserve"> (</w:t>
      </w:r>
      <w:r w:rsidR="00B9026B" w:rsidRPr="00B9026B">
        <w:rPr>
          <w:lang w:val="en-US"/>
        </w:rPr>
        <w:t>green</w:t>
      </w:r>
      <w:r w:rsidR="00B9026B">
        <w:rPr>
          <w:lang w:val="en-US"/>
        </w:rPr>
        <w:t>)</w:t>
      </w:r>
      <w:r w:rsidR="001710FC">
        <w:rPr>
          <w:lang w:val="en-US"/>
        </w:rPr>
        <w:t xml:space="preserve"> (b)</w:t>
      </w:r>
      <w:r w:rsidR="00B9026B">
        <w:rPr>
          <w:lang w:val="en-US"/>
        </w:rPr>
        <w:t>.</w:t>
      </w:r>
      <w:r w:rsidR="00E25BF2">
        <w:rPr>
          <w:lang w:val="en-US"/>
        </w:rPr>
        <w:t xml:space="preserve"> </w:t>
      </w:r>
      <w:r w:rsidR="00E25BF2" w:rsidRPr="00E25BF2">
        <w:rPr>
          <w:lang w:val="en-US"/>
        </w:rPr>
        <w:t>CT raw data (DICOM format) of sediment core GeoB25206-2</w:t>
      </w:r>
      <w:r w:rsidR="00E25BF2">
        <w:rPr>
          <w:lang w:val="en-US"/>
        </w:rPr>
        <w:t xml:space="preserve"> </w:t>
      </w:r>
      <w:r w:rsidR="00E25BF2">
        <w:rPr>
          <w:rFonts w:cstheme="minorHAnsi"/>
          <w:lang w:val="en-US"/>
        </w:rPr>
        <w:t>are available on PANGEA</w:t>
      </w:r>
      <w:r w:rsidR="00E25BF2" w:rsidRPr="00E25BF2">
        <w:rPr>
          <w:rFonts w:cstheme="minorHAnsi"/>
          <w:lang w:val="en-US"/>
        </w:rPr>
        <w:t>:</w:t>
      </w:r>
      <w:r w:rsidR="00E25BF2" w:rsidRPr="00E25BF2">
        <w:rPr>
          <w:lang w:val="en-US"/>
        </w:rPr>
        <w:t xml:space="preserve"> </w:t>
      </w:r>
      <w:r w:rsidR="009B486E" w:rsidRPr="009B486E">
        <w:rPr>
          <w:lang w:val="en-GB"/>
        </w:rPr>
        <w:t>https://www.pangaea.de/tok/5b8016e0cb58841c1a4c04bb3e4315c099e41f79</w:t>
      </w:r>
      <w:r w:rsidR="00B9026B">
        <w:rPr>
          <w:lang w:val="en-US"/>
        </w:rPr>
        <w:br w:type="page"/>
      </w:r>
    </w:p>
    <w:p w14:paraId="4A9DD1FE" w14:textId="4B82889C" w:rsidR="00C779C8" w:rsidRDefault="002D3B9D">
      <w:pPr>
        <w:rPr>
          <w:lang w:val="en-US"/>
        </w:rPr>
      </w:pPr>
      <w:r>
        <w:rPr>
          <w:noProof/>
          <w:lang w:val="en-US"/>
        </w:rPr>
        <w:lastRenderedPageBreak/>
        <w:drawing>
          <wp:inline distT="0" distB="0" distL="0" distR="0" wp14:anchorId="1CE8B95E" wp14:editId="76249CB3">
            <wp:extent cx="5793317" cy="5667375"/>
            <wp:effectExtent l="0" t="0" r="0" b="0"/>
            <wp:docPr id="3162158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98641" cy="5672583"/>
                    </a:xfrm>
                    <a:prstGeom prst="rect">
                      <a:avLst/>
                    </a:prstGeom>
                    <a:noFill/>
                    <a:ln>
                      <a:noFill/>
                    </a:ln>
                  </pic:spPr>
                </pic:pic>
              </a:graphicData>
            </a:graphic>
          </wp:inline>
        </w:drawing>
      </w:r>
    </w:p>
    <w:p w14:paraId="0DB18936" w14:textId="6B60D036" w:rsidR="003E2B19" w:rsidRPr="003E2B19" w:rsidRDefault="00901222" w:rsidP="003E2B19">
      <w:pPr>
        <w:spacing w:line="240" w:lineRule="auto"/>
        <w:jc w:val="both"/>
        <w:rPr>
          <w:rFonts w:cstheme="minorHAnsi"/>
          <w:lang w:val="en-US"/>
        </w:rPr>
      </w:pPr>
      <w:r w:rsidRPr="009B486E">
        <w:rPr>
          <w:b/>
          <w:bCs/>
          <w:sz w:val="24"/>
          <w:szCs w:val="24"/>
          <w:lang w:val="en-US"/>
        </w:rPr>
        <w:t>Figure S</w:t>
      </w:r>
      <w:r w:rsidR="00AB029D" w:rsidRPr="009B486E">
        <w:rPr>
          <w:b/>
          <w:bCs/>
          <w:sz w:val="24"/>
          <w:szCs w:val="24"/>
          <w:lang w:val="en-US"/>
        </w:rPr>
        <w:t>3</w:t>
      </w:r>
      <w:r w:rsidRPr="009B486E">
        <w:rPr>
          <w:b/>
          <w:bCs/>
          <w:sz w:val="24"/>
          <w:szCs w:val="24"/>
          <w:lang w:val="en-US"/>
        </w:rPr>
        <w:t>:</w:t>
      </w:r>
      <w:r w:rsidR="003E2B19" w:rsidRPr="003E2B19">
        <w:rPr>
          <w:rFonts w:ascii="Arial" w:hAnsi="Arial" w:cs="Arial"/>
          <w:lang w:val="en-GB"/>
        </w:rPr>
        <w:t xml:space="preserve"> </w:t>
      </w:r>
      <w:r w:rsidR="003E2B19" w:rsidRPr="003E2B19">
        <w:rPr>
          <w:rFonts w:cstheme="minorHAnsi"/>
          <w:lang w:val="en-US"/>
        </w:rPr>
        <w:t>In comparison to the superficial visual core description</w:t>
      </w:r>
      <w:r w:rsidR="00982A8A">
        <w:rPr>
          <w:rFonts w:cstheme="minorHAnsi"/>
          <w:lang w:val="en-US"/>
        </w:rPr>
        <w:t>,</w:t>
      </w:r>
      <w:r w:rsidR="003E2B19" w:rsidRPr="003E2B19">
        <w:rPr>
          <w:rFonts w:cstheme="minorHAnsi"/>
          <w:lang w:val="en-US"/>
        </w:rPr>
        <w:t xml:space="preserve"> CT scanning reveals detailed information about the sediment core's internal structure</w:t>
      </w:r>
      <w:r w:rsidR="00982A8A">
        <w:rPr>
          <w:rFonts w:cstheme="minorHAnsi"/>
          <w:lang w:val="en-US"/>
        </w:rPr>
        <w:t>,</w:t>
      </w:r>
      <w:r w:rsidR="003E2B19" w:rsidRPr="003E2B19">
        <w:rPr>
          <w:rFonts w:cstheme="minorHAnsi"/>
          <w:lang w:val="en-US"/>
        </w:rPr>
        <w:t xml:space="preserve"> helping to determine the genesis of the sediment record. The GeoB25206-2 CT scan record shows a larger number of IRD grains, a minor disturbance due to bioturbation and a detailed estimation of sediment density. Throughout the core</w:t>
      </w:r>
      <w:r w:rsidR="00982A8A">
        <w:rPr>
          <w:rFonts w:cstheme="minorHAnsi"/>
          <w:lang w:val="en-US"/>
        </w:rPr>
        <w:t>,</w:t>
      </w:r>
      <w:r w:rsidR="003E2B19" w:rsidRPr="003E2B19">
        <w:rPr>
          <w:rFonts w:cstheme="minorHAnsi"/>
          <w:lang w:val="en-US"/>
        </w:rPr>
        <w:t xml:space="preserve"> the amount of IRDs </w:t>
      </w:r>
      <w:proofErr w:type="gramStart"/>
      <w:r w:rsidR="003E2B19" w:rsidRPr="003E2B19">
        <w:rPr>
          <w:rFonts w:cstheme="minorHAnsi"/>
          <w:lang w:val="en-US"/>
        </w:rPr>
        <w:t>range</w:t>
      </w:r>
      <w:proofErr w:type="gramEnd"/>
      <w:r w:rsidR="003E2B19" w:rsidRPr="003E2B19">
        <w:rPr>
          <w:rFonts w:cstheme="minorHAnsi"/>
          <w:lang w:val="en-US"/>
        </w:rPr>
        <w:t xml:space="preserve"> between 0-493 clasts/cm</w:t>
      </w:r>
      <w:r w:rsidR="003E2B19" w:rsidRPr="00347E9A">
        <w:rPr>
          <w:rFonts w:cstheme="minorHAnsi"/>
          <w:vertAlign w:val="superscript"/>
          <w:lang w:val="en-US"/>
        </w:rPr>
        <w:t>3</w:t>
      </w:r>
      <w:r w:rsidR="003E2B19" w:rsidRPr="003E2B19">
        <w:rPr>
          <w:rFonts w:cstheme="minorHAnsi"/>
          <w:lang w:val="en-US"/>
        </w:rPr>
        <w:t xml:space="preserve"> with an average of 80 clasts/cm</w:t>
      </w:r>
      <w:r w:rsidR="003E2B19" w:rsidRPr="00347E9A">
        <w:rPr>
          <w:rFonts w:cstheme="minorHAnsi"/>
          <w:vertAlign w:val="superscript"/>
          <w:lang w:val="en-US"/>
        </w:rPr>
        <w:t>3</w:t>
      </w:r>
      <w:r w:rsidR="003E2B19" w:rsidRPr="003E2B19">
        <w:rPr>
          <w:rFonts w:cstheme="minorHAnsi"/>
          <w:lang w:val="en-US"/>
        </w:rPr>
        <w:t>. Highest IRD numbers (126-493 clasts/cm</w:t>
      </w:r>
      <w:r w:rsidR="003E2B19" w:rsidRPr="00982A8A">
        <w:rPr>
          <w:rFonts w:cstheme="minorHAnsi"/>
          <w:vertAlign w:val="superscript"/>
          <w:lang w:val="en-US"/>
        </w:rPr>
        <w:t>3</w:t>
      </w:r>
      <w:r w:rsidR="003E2B19" w:rsidRPr="003E2B19">
        <w:rPr>
          <w:rFonts w:cstheme="minorHAnsi"/>
          <w:lang w:val="en-US"/>
        </w:rPr>
        <w:t>) and low bioturbation occur at the top of the core, between 0-60 cm. At about 60 cm</w:t>
      </w:r>
      <w:r w:rsidR="00982A8A">
        <w:rPr>
          <w:rFonts w:cstheme="minorHAnsi"/>
          <w:lang w:val="en-US"/>
        </w:rPr>
        <w:t>,</w:t>
      </w:r>
      <w:r w:rsidR="003E2B19" w:rsidRPr="003E2B19">
        <w:rPr>
          <w:rFonts w:cstheme="minorHAnsi"/>
          <w:lang w:val="en-US"/>
        </w:rPr>
        <w:t xml:space="preserve"> the number of IRD grains drops sharply and the bioturbation intensity increases. Bioturbation stays high until about 250 cm and decreases down to &lt;0.2</w:t>
      </w:r>
      <w:r w:rsidR="00982A8A">
        <w:rPr>
          <w:rFonts w:cstheme="minorHAnsi"/>
          <w:lang w:val="en-US"/>
        </w:rPr>
        <w:t xml:space="preserve"> </w:t>
      </w:r>
      <w:r w:rsidR="003E2B19" w:rsidRPr="003E2B19">
        <w:rPr>
          <w:rFonts w:cstheme="minorHAnsi"/>
          <w:lang w:val="en-US"/>
        </w:rPr>
        <w:t xml:space="preserve">vol% at about 400 cm. Besides slightly higher values around 320 cm, IRD numbers are relatively low between 60-400 cm. From 400 cm IRDs show an increasing trend </w:t>
      </w:r>
      <w:proofErr w:type="gramStart"/>
      <w:r w:rsidR="003E2B19" w:rsidRPr="003E2B19">
        <w:rPr>
          <w:rFonts w:cstheme="minorHAnsi"/>
          <w:lang w:val="en-US"/>
        </w:rPr>
        <w:t>until</w:t>
      </w:r>
      <w:proofErr w:type="gramEnd"/>
      <w:r w:rsidR="003E2B19" w:rsidRPr="003E2B19">
        <w:rPr>
          <w:rFonts w:cstheme="minorHAnsi"/>
          <w:lang w:val="en-US"/>
        </w:rPr>
        <w:t xml:space="preserve"> about 650 cm from where the number of IRD grains decrease again </w:t>
      </w:r>
      <w:proofErr w:type="gramStart"/>
      <w:r w:rsidR="003E2B19" w:rsidRPr="003E2B19">
        <w:rPr>
          <w:rFonts w:cstheme="minorHAnsi"/>
          <w:lang w:val="en-US"/>
        </w:rPr>
        <w:t>until</w:t>
      </w:r>
      <w:proofErr w:type="gramEnd"/>
      <w:r w:rsidR="003E2B19" w:rsidRPr="003E2B19">
        <w:rPr>
          <w:rFonts w:cstheme="minorHAnsi"/>
          <w:lang w:val="en-US"/>
        </w:rPr>
        <w:t xml:space="preserve"> about 750 cm. The sediment layer between 750 cm and 840 cm shows no bioturbation and no IRDs. Bioturbation stays very low until the end of the core while the IRD record shows two layers (between 840-910 cm and 980-1010 cm) with more than 100 IRD clasts/cm</w:t>
      </w:r>
      <w:r w:rsidR="003E2B19" w:rsidRPr="00982A8A">
        <w:rPr>
          <w:rFonts w:cstheme="minorHAnsi"/>
          <w:vertAlign w:val="superscript"/>
          <w:lang w:val="en-US"/>
        </w:rPr>
        <w:t>3</w:t>
      </w:r>
      <w:r w:rsidR="003E2B19" w:rsidRPr="003E2B19">
        <w:rPr>
          <w:rFonts w:cstheme="minorHAnsi"/>
          <w:lang w:val="en-US"/>
        </w:rPr>
        <w:t xml:space="preserve">. </w:t>
      </w:r>
    </w:p>
    <w:p w14:paraId="2004A848" w14:textId="31AC0F3E" w:rsidR="00C779C8" w:rsidRDefault="003E2B19" w:rsidP="00555B17">
      <w:pPr>
        <w:spacing w:line="240" w:lineRule="auto"/>
        <w:jc w:val="both"/>
        <w:rPr>
          <w:lang w:val="en-US"/>
        </w:rPr>
      </w:pPr>
      <w:r w:rsidRPr="003E2B19">
        <w:rPr>
          <w:rFonts w:cstheme="minorHAnsi"/>
          <w:lang w:val="en-US"/>
        </w:rPr>
        <w:t xml:space="preserve">Sediment density varies in accordance with the IRD record until about 650 cm. From 650-827 cm sediment density increases and stays relatively high until the end of the core. A pronounced density peak is found at about 835 cm at the position of </w:t>
      </w:r>
      <w:r w:rsidR="00B95585">
        <w:rPr>
          <w:rFonts w:cstheme="minorHAnsi"/>
          <w:lang w:val="en-US"/>
        </w:rPr>
        <w:t>a</w:t>
      </w:r>
      <w:r w:rsidRPr="003E2B19">
        <w:rPr>
          <w:rFonts w:cstheme="minorHAnsi"/>
          <w:lang w:val="en-US"/>
        </w:rPr>
        <w:t xml:space="preserve"> water rich sand layer</w:t>
      </w:r>
      <w:r w:rsidR="00B95585">
        <w:rPr>
          <w:rFonts w:cstheme="minorHAnsi"/>
          <w:lang w:val="en-US"/>
        </w:rPr>
        <w:t xml:space="preserve"> (see Fig. S</w:t>
      </w:r>
      <w:r w:rsidR="00DE7E8F">
        <w:rPr>
          <w:rFonts w:cstheme="minorHAnsi"/>
          <w:lang w:val="en-US"/>
        </w:rPr>
        <w:t>2</w:t>
      </w:r>
      <w:r w:rsidR="00B95585">
        <w:rPr>
          <w:rFonts w:cstheme="minorHAnsi"/>
          <w:lang w:val="en-US"/>
        </w:rPr>
        <w:t>)</w:t>
      </w:r>
      <w:r w:rsidRPr="003E2B19">
        <w:rPr>
          <w:rFonts w:cstheme="minorHAnsi"/>
          <w:lang w:val="en-US"/>
        </w:rPr>
        <w:t xml:space="preserve">. </w:t>
      </w:r>
      <w:r w:rsidR="00C779C8">
        <w:rPr>
          <w:lang w:val="en-US"/>
        </w:rPr>
        <w:br w:type="page"/>
      </w:r>
    </w:p>
    <w:p w14:paraId="65D2F1A9" w14:textId="77777777" w:rsidR="00503D2C" w:rsidRPr="00BB2F61" w:rsidRDefault="00503D2C" w:rsidP="00503D2C">
      <w:pPr>
        <w:rPr>
          <w:b/>
          <w:bCs/>
          <w:sz w:val="28"/>
          <w:szCs w:val="28"/>
          <w:lang w:val="en-GB"/>
        </w:rPr>
      </w:pPr>
      <w:r w:rsidRPr="00BB2F61">
        <w:rPr>
          <w:b/>
          <w:bCs/>
          <w:sz w:val="28"/>
          <w:szCs w:val="28"/>
          <w:lang w:val="en-GB"/>
        </w:rPr>
        <w:lastRenderedPageBreak/>
        <w:t xml:space="preserve">Chronology </w:t>
      </w:r>
    </w:p>
    <w:p w14:paraId="688DCBD7" w14:textId="77777777" w:rsidR="00503D2C" w:rsidRDefault="00503D2C" w:rsidP="00503D2C">
      <w:pPr>
        <w:rPr>
          <w:lang w:val="en-GB"/>
        </w:rPr>
      </w:pPr>
    </w:p>
    <w:p w14:paraId="22D1E314" w14:textId="0B3F4282" w:rsidR="00503D2C" w:rsidRDefault="002D3B9D" w:rsidP="00503D2C">
      <w:pPr>
        <w:rPr>
          <w:lang w:val="en-GB"/>
        </w:rPr>
      </w:pPr>
      <w:r>
        <w:rPr>
          <w:noProof/>
          <w:lang w:val="en-GB"/>
        </w:rPr>
        <w:drawing>
          <wp:inline distT="0" distB="0" distL="0" distR="0" wp14:anchorId="69C5123C" wp14:editId="33B6EA17">
            <wp:extent cx="4429125" cy="6172200"/>
            <wp:effectExtent l="0" t="0" r="9525" b="0"/>
            <wp:docPr id="16830384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9125" cy="6172200"/>
                    </a:xfrm>
                    <a:prstGeom prst="rect">
                      <a:avLst/>
                    </a:prstGeom>
                    <a:noFill/>
                    <a:ln>
                      <a:noFill/>
                    </a:ln>
                  </pic:spPr>
                </pic:pic>
              </a:graphicData>
            </a:graphic>
          </wp:inline>
        </w:drawing>
      </w:r>
    </w:p>
    <w:p w14:paraId="69014649" w14:textId="5A0CDBF6" w:rsidR="00503D2C" w:rsidRPr="00B04E08" w:rsidRDefault="00503D2C" w:rsidP="00503D2C">
      <w:pPr>
        <w:rPr>
          <w:lang w:val="en-US"/>
        </w:rPr>
      </w:pPr>
      <w:r w:rsidRPr="009B486E">
        <w:rPr>
          <w:b/>
          <w:bCs/>
          <w:sz w:val="24"/>
          <w:szCs w:val="24"/>
          <w:lang w:val="en-US"/>
        </w:rPr>
        <w:t>Figure S</w:t>
      </w:r>
      <w:r w:rsidR="00AB029D" w:rsidRPr="009B486E">
        <w:rPr>
          <w:b/>
          <w:bCs/>
          <w:sz w:val="24"/>
          <w:szCs w:val="24"/>
          <w:lang w:val="en-US"/>
        </w:rPr>
        <w:t>4</w:t>
      </w:r>
      <w:r w:rsidRPr="009B486E">
        <w:rPr>
          <w:b/>
          <w:bCs/>
          <w:sz w:val="24"/>
          <w:szCs w:val="24"/>
          <w:lang w:val="en-US"/>
        </w:rPr>
        <w:t>:</w:t>
      </w:r>
      <w:r w:rsidRPr="009B486E">
        <w:rPr>
          <w:sz w:val="24"/>
          <w:szCs w:val="24"/>
          <w:lang w:val="en-US"/>
        </w:rPr>
        <w:t xml:space="preserve"> </w:t>
      </w:r>
      <w:r>
        <w:rPr>
          <w:lang w:val="en-US"/>
        </w:rPr>
        <w:t xml:space="preserve">Magnetic susceptibility (MS) record of the of Ga3-2 </w:t>
      </w:r>
      <w:r>
        <w:rPr>
          <w:lang w:val="en-US"/>
        </w:rPr>
        <w:fldChar w:fldCharType="begin"/>
      </w:r>
      <w:r>
        <w:rPr>
          <w:lang w:val="en-US"/>
        </w:rPr>
        <w:instrText xml:space="preserve"> ADDIN EN.CITE &lt;EndNote&gt;&lt;Cite&gt;&lt;Author&gt;Nørgaard-Pedersen&lt;/Author&gt;&lt;Year&gt;2009&lt;/Year&gt;&lt;RecNum&gt;1315&lt;/RecNum&gt;&lt;DisplayText&gt;(Nørgaard-Pedersen and Mikkelsen, 2009)&lt;/DisplayText&gt;&lt;record&gt;&lt;rec-number&gt;1315&lt;/rec-number&gt;&lt;foreign-keys&gt;&lt;key app="EN" db-id="2tafxd5wc2fpr7ettdjpdv2ossdp92d950fv" timestamp="1719579038"&gt;1315&lt;/key&gt;&lt;/foreign-keys&gt;&lt;ref-type name="Journal Article"&gt;17&lt;/ref-type&gt;&lt;contributors&gt;&lt;authors&gt;&lt;author&gt;Nørgaard-Pedersen, Niels&lt;/author&gt;&lt;author&gt;Mikkelsen, Naja&lt;/author&gt;&lt;/authors&gt;&lt;/contributors&gt;&lt;titles&gt;&lt;title&gt;8000 year marine record of climate variability and fjord dynamics from Southern Greenland&lt;/title&gt;&lt;secondary-title&gt;Marine Geology&lt;/secondary-title&gt;&lt;/titles&gt;&lt;periodical&gt;&lt;full-title&gt;Marine Geology&lt;/full-title&gt;&lt;/periodical&gt;&lt;pages&gt;177-189&lt;/pages&gt;&lt;volume&gt;264&lt;/volume&gt;&lt;number&gt;3-4&lt;/number&gt;&lt;section&gt;177&lt;/section&gt;&lt;dates&gt;&lt;year&gt;2009&lt;/year&gt;&lt;/dates&gt;&lt;isbn&gt;00253227&lt;/isbn&gt;&lt;urls&gt;&lt;/urls&gt;&lt;electronic-resource-num&gt;10.1016/j.margeo.2009.05.004&lt;/electronic-resource-num&gt;&lt;/record&gt;&lt;/Cite&gt;&lt;/EndNote&gt;</w:instrText>
      </w:r>
      <w:r>
        <w:rPr>
          <w:lang w:val="en-US"/>
        </w:rPr>
        <w:fldChar w:fldCharType="separate"/>
      </w:r>
      <w:r>
        <w:rPr>
          <w:noProof/>
          <w:lang w:val="en-US"/>
        </w:rPr>
        <w:t>(Nørgaard-Pedersen and Mikkelsen, 2009)</w:t>
      </w:r>
      <w:r>
        <w:rPr>
          <w:lang w:val="en-US"/>
        </w:rPr>
        <w:fldChar w:fldCharType="end"/>
      </w:r>
      <w:r>
        <w:rPr>
          <w:lang w:val="en-US"/>
        </w:rPr>
        <w:t xml:space="preserve"> with a 5pt. running average overlay compared to MS record (first 700 cm) of the GeoB25206-2. Based on the Ga3-2 age model sedimentation rate is almost linear below ~600 cm. Therefore, only three anchor points (marked by black crosses) were used to achieve alignment. </w:t>
      </w:r>
      <w:r w:rsidR="00B04E08" w:rsidRPr="00B04E08">
        <w:rPr>
          <w:lang w:val="en-US"/>
        </w:rPr>
        <w:t xml:space="preserve">Both depicted MS record </w:t>
      </w:r>
      <w:proofErr w:type="gramStart"/>
      <w:r w:rsidR="00B04E08" w:rsidRPr="00B04E08">
        <w:rPr>
          <w:lang w:val="en-US"/>
        </w:rPr>
        <w:t>refer</w:t>
      </w:r>
      <w:proofErr w:type="gramEnd"/>
      <w:r w:rsidR="00B04E08" w:rsidRPr="00B04E08">
        <w:rPr>
          <w:lang w:val="en-US"/>
        </w:rPr>
        <w:t xml:space="preserve"> to the sediment sequence and therefore largely coincide in relative terms. The deviant scaling of MS logs is therefore believed to have technical and not sedimentological reasons</w:t>
      </w:r>
      <w:r w:rsidR="00E25BF2">
        <w:rPr>
          <w:lang w:val="en-US"/>
        </w:rPr>
        <w:t xml:space="preserve">. </w:t>
      </w:r>
      <w:r w:rsidR="00E25BF2" w:rsidRPr="00E25BF2">
        <w:rPr>
          <w:lang w:val="en-US"/>
        </w:rPr>
        <w:t xml:space="preserve">Magnetic susceptibility </w:t>
      </w:r>
      <w:r w:rsidR="00E25BF2">
        <w:rPr>
          <w:lang w:val="en-US"/>
        </w:rPr>
        <w:t xml:space="preserve">data </w:t>
      </w:r>
      <w:r w:rsidR="00E25BF2" w:rsidRPr="00E25BF2">
        <w:rPr>
          <w:lang w:val="en-US"/>
        </w:rPr>
        <w:t>of sediment core GeoB25206-2</w:t>
      </w:r>
      <w:r w:rsidR="00E25BF2">
        <w:rPr>
          <w:lang w:val="en-US"/>
        </w:rPr>
        <w:t xml:space="preserve"> </w:t>
      </w:r>
      <w:r w:rsidR="00E25BF2">
        <w:rPr>
          <w:rFonts w:cstheme="minorHAnsi"/>
          <w:lang w:val="en-US"/>
        </w:rPr>
        <w:t>are available on PANGEA</w:t>
      </w:r>
      <w:r w:rsidR="00E25BF2" w:rsidRPr="00E25BF2">
        <w:rPr>
          <w:rFonts w:cstheme="minorHAnsi"/>
          <w:lang w:val="en-US"/>
        </w:rPr>
        <w:t>:</w:t>
      </w:r>
      <w:r w:rsidR="00E25BF2" w:rsidRPr="00E25BF2">
        <w:rPr>
          <w:lang w:val="en-US"/>
        </w:rPr>
        <w:t xml:space="preserve"> https://doi.org/10.1594/PANGAEA.983992</w:t>
      </w:r>
    </w:p>
    <w:p w14:paraId="70F25E6B" w14:textId="77777777" w:rsidR="00503D2C" w:rsidRDefault="00503D2C" w:rsidP="00503D2C">
      <w:pPr>
        <w:rPr>
          <w:lang w:val="en-US"/>
        </w:rPr>
      </w:pPr>
    </w:p>
    <w:p w14:paraId="1D1D3166" w14:textId="7EC7764C" w:rsidR="002D3B9D" w:rsidRDefault="002D3B9D">
      <w:pPr>
        <w:rPr>
          <w:noProof/>
          <w:lang w:val="en-US"/>
        </w:rPr>
      </w:pPr>
      <w:r>
        <w:rPr>
          <w:noProof/>
          <w:lang w:val="en-US"/>
        </w:rPr>
        <w:br w:type="page"/>
      </w:r>
    </w:p>
    <w:p w14:paraId="45122ACF" w14:textId="51AC1E70" w:rsidR="00503D2C" w:rsidRDefault="002D3B9D" w:rsidP="00503D2C">
      <w:pPr>
        <w:rPr>
          <w:lang w:val="en-US"/>
        </w:rPr>
      </w:pPr>
      <w:r>
        <w:rPr>
          <w:noProof/>
          <w:lang w:val="en-US"/>
        </w:rPr>
        <w:lastRenderedPageBreak/>
        <w:drawing>
          <wp:inline distT="0" distB="0" distL="0" distR="0" wp14:anchorId="4F9DF947" wp14:editId="3B07B697">
            <wp:extent cx="5623594" cy="2762250"/>
            <wp:effectExtent l="0" t="0" r="0" b="0"/>
            <wp:docPr id="1264893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2538" cy="2766643"/>
                    </a:xfrm>
                    <a:prstGeom prst="rect">
                      <a:avLst/>
                    </a:prstGeom>
                    <a:noFill/>
                    <a:ln>
                      <a:noFill/>
                    </a:ln>
                  </pic:spPr>
                </pic:pic>
              </a:graphicData>
            </a:graphic>
          </wp:inline>
        </w:drawing>
      </w:r>
    </w:p>
    <w:p w14:paraId="03FCD9B8" w14:textId="0F4DB971" w:rsidR="00503D2C" w:rsidRDefault="00503D2C" w:rsidP="00503D2C">
      <w:pPr>
        <w:rPr>
          <w:lang w:val="en-US"/>
        </w:rPr>
      </w:pPr>
      <w:r w:rsidRPr="009B486E">
        <w:rPr>
          <w:b/>
          <w:bCs/>
          <w:sz w:val="24"/>
          <w:szCs w:val="24"/>
          <w:lang w:val="en-US"/>
        </w:rPr>
        <w:t>Figure S</w:t>
      </w:r>
      <w:r w:rsidR="00AB029D" w:rsidRPr="009B486E">
        <w:rPr>
          <w:b/>
          <w:bCs/>
          <w:sz w:val="24"/>
          <w:szCs w:val="24"/>
          <w:lang w:val="en-US"/>
        </w:rPr>
        <w:t>5</w:t>
      </w:r>
      <w:r w:rsidRPr="009B486E">
        <w:rPr>
          <w:b/>
          <w:bCs/>
          <w:sz w:val="24"/>
          <w:szCs w:val="24"/>
          <w:lang w:val="en-US"/>
        </w:rPr>
        <w:t>:</w:t>
      </w:r>
      <w:r w:rsidRPr="009B486E">
        <w:rPr>
          <w:sz w:val="24"/>
          <w:szCs w:val="24"/>
          <w:lang w:val="en-US"/>
        </w:rPr>
        <w:t xml:space="preserve"> </w:t>
      </w:r>
      <w:r>
        <w:rPr>
          <w:lang w:val="en-US"/>
        </w:rPr>
        <w:t xml:space="preserve">Depth alignment of the Ga3-2 magnetic susceptibility record (5 pt. running average) </w:t>
      </w:r>
      <w:r>
        <w:rPr>
          <w:lang w:val="en-US"/>
        </w:rPr>
        <w:fldChar w:fldCharType="begin"/>
      </w:r>
      <w:r>
        <w:rPr>
          <w:lang w:val="en-US"/>
        </w:rPr>
        <w:instrText xml:space="preserve"> ADDIN EN.CITE &lt;EndNote&gt;&lt;Cite&gt;&lt;Author&gt;Nørgaard-Pedersen&lt;/Author&gt;&lt;Year&gt;2009&lt;/Year&gt;&lt;RecNum&gt;1315&lt;/RecNum&gt;&lt;DisplayText&gt;(Nørgaard-Pedersen and Mikkelsen, 2009)&lt;/DisplayText&gt;&lt;record&gt;&lt;rec-number&gt;1315&lt;/rec-number&gt;&lt;foreign-keys&gt;&lt;key app="EN" db-id="2tafxd5wc2fpr7ettdjpdv2ossdp92d950fv" timestamp="1719579038"&gt;1315&lt;/key&gt;&lt;/foreign-keys&gt;&lt;ref-type name="Journal Article"&gt;17&lt;/ref-type&gt;&lt;contributors&gt;&lt;authors&gt;&lt;author&gt;Nørgaard-Pedersen, Niels&lt;/author&gt;&lt;author&gt;Mikkelsen, Naja&lt;/author&gt;&lt;/authors&gt;&lt;/contributors&gt;&lt;titles&gt;&lt;title&gt;8000 year marine record of climate variability and fjord dynamics from Southern Greenland&lt;/title&gt;&lt;secondary-title&gt;Marine Geology&lt;/secondary-title&gt;&lt;/titles&gt;&lt;periodical&gt;&lt;full-title&gt;Marine Geology&lt;/full-title&gt;&lt;/periodical&gt;&lt;pages&gt;177-189&lt;/pages&gt;&lt;volume&gt;264&lt;/volume&gt;&lt;number&gt;3-4&lt;/number&gt;&lt;section&gt;177&lt;/section&gt;&lt;dates&gt;&lt;year&gt;2009&lt;/year&gt;&lt;/dates&gt;&lt;isbn&gt;00253227&lt;/isbn&gt;&lt;urls&gt;&lt;/urls&gt;&lt;electronic-resource-num&gt;10.1016/j.margeo.2009.05.004&lt;/electronic-resource-num&gt;&lt;/record&gt;&lt;/Cite&gt;&lt;/EndNote&gt;</w:instrText>
      </w:r>
      <w:r>
        <w:rPr>
          <w:lang w:val="en-US"/>
        </w:rPr>
        <w:fldChar w:fldCharType="separate"/>
      </w:r>
      <w:r>
        <w:rPr>
          <w:noProof/>
          <w:lang w:val="en-US"/>
        </w:rPr>
        <w:t>(Nørgaard-Pedersen and Mikkelsen, 2009)</w:t>
      </w:r>
      <w:r>
        <w:rPr>
          <w:lang w:val="en-US"/>
        </w:rPr>
        <w:fldChar w:fldCharType="end"/>
      </w:r>
      <w:r>
        <w:rPr>
          <w:lang w:val="en-US"/>
        </w:rPr>
        <w:t xml:space="preserve"> and the entire GeoB25206-2 record. Depth of the AMS radiocarbon dates used for the GeoB25206-2 age-depth model (Table S1, Figure S</w:t>
      </w:r>
      <w:r w:rsidR="002D3B9D">
        <w:rPr>
          <w:lang w:val="en-US"/>
        </w:rPr>
        <w:t>6</w:t>
      </w:r>
      <w:r>
        <w:rPr>
          <w:lang w:val="en-US"/>
        </w:rPr>
        <w:t xml:space="preserve">) are denoted by </w:t>
      </w:r>
      <w:r w:rsidR="00982A8A">
        <w:rPr>
          <w:lang w:val="en-US"/>
        </w:rPr>
        <w:t>grey triangles</w:t>
      </w:r>
      <w:r>
        <w:rPr>
          <w:lang w:val="en-US"/>
        </w:rPr>
        <w:t xml:space="preserve"> (Ga3-2) and </w:t>
      </w:r>
      <w:r w:rsidR="00982A8A">
        <w:rPr>
          <w:lang w:val="en-US"/>
        </w:rPr>
        <w:t>grey</w:t>
      </w:r>
      <w:r>
        <w:rPr>
          <w:lang w:val="en-US"/>
        </w:rPr>
        <w:t xml:space="preserve"> dots (GeoB25206-2). </w:t>
      </w:r>
    </w:p>
    <w:p w14:paraId="16391C26" w14:textId="77777777" w:rsidR="00503D2C" w:rsidRDefault="00503D2C" w:rsidP="00503D2C">
      <w:pPr>
        <w:rPr>
          <w:lang w:val="en-US"/>
        </w:rPr>
      </w:pPr>
      <w:r>
        <w:rPr>
          <w:lang w:val="en-US"/>
        </w:rPr>
        <w:br w:type="page"/>
      </w:r>
    </w:p>
    <w:p w14:paraId="5E383EDC" w14:textId="4D85D357" w:rsidR="00503D2C" w:rsidRDefault="00503D2C" w:rsidP="00503D2C">
      <w:pPr>
        <w:rPr>
          <w:lang w:val="en-US"/>
        </w:rPr>
      </w:pPr>
    </w:p>
    <w:p w14:paraId="2ED0792E" w14:textId="6E646C79" w:rsidR="00503D2C" w:rsidRDefault="00503D2C" w:rsidP="00503D2C">
      <w:pPr>
        <w:rPr>
          <w:lang w:val="en-US"/>
        </w:rPr>
      </w:pPr>
      <w:r>
        <w:rPr>
          <w:noProof/>
          <w:lang w:val="en-US"/>
        </w:rPr>
        <mc:AlternateContent>
          <mc:Choice Requires="wps">
            <w:drawing>
              <wp:anchor distT="0" distB="0" distL="114300" distR="114300" simplePos="0" relativeHeight="251664384" behindDoc="0" locked="0" layoutInCell="1" allowOverlap="1" wp14:anchorId="3AC1E648" wp14:editId="3BAC1A18">
                <wp:simplePos x="0" y="0"/>
                <wp:positionH relativeFrom="column">
                  <wp:posOffset>533983</wp:posOffset>
                </wp:positionH>
                <wp:positionV relativeFrom="paragraph">
                  <wp:posOffset>1901469</wp:posOffset>
                </wp:positionV>
                <wp:extent cx="1382573" cy="182880"/>
                <wp:effectExtent l="0" t="0" r="27305" b="26670"/>
                <wp:wrapNone/>
                <wp:docPr id="1648908680" name="Rectangle 8"/>
                <wp:cNvGraphicFramePr/>
                <a:graphic xmlns:a="http://schemas.openxmlformats.org/drawingml/2006/main">
                  <a:graphicData uri="http://schemas.microsoft.com/office/word/2010/wordprocessingShape">
                    <wps:wsp>
                      <wps:cNvSpPr/>
                      <wps:spPr>
                        <a:xfrm>
                          <a:off x="0" y="0"/>
                          <a:ext cx="1382573" cy="18288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784656" id="Rectangle 8" o:spid="_x0000_s1026" style="position:absolute;margin-left:42.05pt;margin-top:149.7pt;width:108.85pt;height:14.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" fillcolor="white [3212]" strokecolor="white [3212]" strokeweight="1pt"/>
            </w:pict>
          </mc:Fallback>
        </mc:AlternateContent>
      </w:r>
      <w:r w:rsidR="002D3B9D">
        <w:rPr>
          <w:noProof/>
          <w:lang w:val="en-US"/>
        </w:rPr>
        <w:drawing>
          <wp:inline distT="0" distB="0" distL="0" distR="0" wp14:anchorId="335943CB" wp14:editId="1E66322C">
            <wp:extent cx="5391150" cy="5382239"/>
            <wp:effectExtent l="0" t="0" r="0" b="9525"/>
            <wp:docPr id="14688345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427" cy="5388506"/>
                    </a:xfrm>
                    <a:prstGeom prst="rect">
                      <a:avLst/>
                    </a:prstGeom>
                    <a:noFill/>
                    <a:ln>
                      <a:noFill/>
                    </a:ln>
                  </pic:spPr>
                </pic:pic>
              </a:graphicData>
            </a:graphic>
          </wp:inline>
        </w:drawing>
      </w:r>
    </w:p>
    <w:p w14:paraId="0EC5ABD6" w14:textId="5AB918E2" w:rsidR="00503D2C" w:rsidRDefault="00503D2C" w:rsidP="00503D2C">
      <w:pPr>
        <w:spacing w:line="240" w:lineRule="auto"/>
        <w:jc w:val="both"/>
        <w:rPr>
          <w:rFonts w:cstheme="minorHAnsi"/>
          <w:lang w:val="en-US"/>
        </w:rPr>
      </w:pPr>
      <w:r w:rsidRPr="009B486E">
        <w:rPr>
          <w:rFonts w:cstheme="minorHAnsi"/>
          <w:b/>
          <w:bCs/>
          <w:sz w:val="24"/>
          <w:szCs w:val="24"/>
          <w:lang w:val="en-US"/>
        </w:rPr>
        <w:t>Figure S</w:t>
      </w:r>
      <w:r w:rsidR="00AB029D" w:rsidRPr="009B486E">
        <w:rPr>
          <w:rFonts w:cstheme="minorHAnsi"/>
          <w:b/>
          <w:bCs/>
          <w:sz w:val="24"/>
          <w:szCs w:val="24"/>
          <w:lang w:val="en-US"/>
        </w:rPr>
        <w:t>6</w:t>
      </w:r>
      <w:r w:rsidRPr="009B486E">
        <w:rPr>
          <w:rFonts w:cstheme="minorHAnsi"/>
          <w:b/>
          <w:bCs/>
          <w:sz w:val="24"/>
          <w:szCs w:val="24"/>
          <w:lang w:val="en-US"/>
        </w:rPr>
        <w:t>:</w:t>
      </w:r>
      <w:r w:rsidRPr="009B486E">
        <w:rPr>
          <w:rFonts w:cstheme="minorHAnsi"/>
          <w:sz w:val="24"/>
          <w:szCs w:val="24"/>
          <w:lang w:val="en-US"/>
        </w:rPr>
        <w:t xml:space="preserve"> </w:t>
      </w:r>
      <w:r w:rsidRPr="00F703CF">
        <w:rPr>
          <w:rFonts w:cstheme="minorHAnsi"/>
          <w:lang w:val="en-US"/>
        </w:rPr>
        <w:t xml:space="preserve">The age-depth model of GeoB25206-2, Bacon output </w:t>
      </w:r>
      <w:r w:rsidRPr="00F703CF">
        <w:rPr>
          <w:rFonts w:cstheme="minorHAnsi"/>
          <w:lang w:val="en-US"/>
        </w:rPr>
        <w:fldChar w:fldCharType="begin"/>
      </w:r>
      <w:r w:rsidRPr="00F703CF">
        <w:rPr>
          <w:rFonts w:cstheme="minorHAnsi"/>
          <w:lang w:val="en-US"/>
        </w:rPr>
        <w:instrText xml:space="preserve"> ADDIN EN.CITE &lt;EndNote&gt;&lt;Cite&gt;&lt;Author&gt;Blaauw&lt;/Author&gt;&lt;Year&gt;2010&lt;/Year&gt;&lt;RecNum&gt;811&lt;/RecNum&gt;&lt;DisplayText&gt;(Blaauw, 2010)&lt;/DisplayText&gt;&lt;record&gt;&lt;rec-number&gt;811&lt;/rec-number&gt;&lt;foreign-keys&gt;&lt;key app="EN" db-id="2tafxd5wc2fpr7ettdjpdv2ossdp92d950fv" timestamp="1551176007"&gt;811&lt;/key&gt;&lt;/foreign-keys&gt;&lt;ref-type name="Journal Article"&gt;17&lt;/ref-type&gt;&lt;contributors&gt;&lt;authors&gt;&lt;author&gt;Blaauw, M.&lt;/author&gt;&lt;/authors&gt;&lt;/contributors&gt;&lt;auth-address&gt;Blaauw, M&amp;#xD;Queens Univ Belfast, Sch Geog Archaeol &amp;amp; Palaeoecol, Belfast BT7 1NN, Antrim, North Ireland&amp;#xD;Queens Univ Belfast, Sch Geog Archaeol &amp;amp; Palaeoecol, Belfast BT7 1NN, Antrim, North Ireland&amp;#xD;Queens Univ Belfast, Sch Geog Archaeol &amp;amp; Palaeoecol, Belfast BT7 1NN, Antrim, North Ireland&lt;/auth-address&gt;&lt;titles&gt;&lt;title&gt;Methods and code for &amp;apos;classical&amp;apos; age-modelling of radiocarbon sequences&lt;/title&gt;&lt;secondary-title&gt;Quaternary Geochronology&lt;/secondary-title&gt;&lt;alt-title&gt;Quat Geochronol&lt;/alt-title&gt;&lt;/titles&gt;&lt;periodical&gt;&lt;full-title&gt;Quaternary Geochronology&lt;/full-title&gt;&lt;abbr-1&gt;Quat Geochronol&lt;/abbr-1&gt;&lt;/periodical&gt;&lt;alt-periodical&gt;&lt;full-title&gt;Quaternary Geochronology&lt;/full-title&gt;&lt;abbr-1&gt;Quat Geochronol&lt;/abbr-1&gt;&lt;/alt-periodical&gt;&lt;pages&gt;512-518&lt;/pages&gt;&lt;volume&gt;5&lt;/volume&gt;&lt;number&gt;5&lt;/number&gt;&lt;keywords&gt;&lt;keyword&gt;radiocarbon age-modelling&lt;/keyword&gt;&lt;keyword&gt;calibration&lt;/keyword&gt;&lt;keyword&gt;software&lt;/keyword&gt;&lt;keyword&gt;exploratory analysis&lt;/keyword&gt;&lt;keyword&gt;calibration&lt;/keyword&gt;&lt;keyword&gt;chronologies&lt;/keyword&gt;&lt;keyword&gt;events&lt;/keyword&gt;&lt;keyword&gt;bp&lt;/keyword&gt;&lt;/keywords&gt;&lt;dates&gt;&lt;year&gt;2010&lt;/year&gt;&lt;pub-dates&gt;&lt;date&gt;Oct&lt;/date&gt;&lt;/pub-dates&gt;&lt;/dates&gt;&lt;isbn&gt;1871-1014&lt;/isbn&gt;&lt;accession-num&gt;WOS:000285907700002&lt;/accession-num&gt;&lt;urls&gt;&lt;related-urls&gt;&lt;url&gt;&amp;lt;Go to ISI&amp;gt;://WOS:000285907700002&lt;/url&gt;&lt;/related-urls&gt;&lt;/urls&gt;&lt;electronic-resource-num&gt;10.1016/j.quageo.2010.01.002&lt;/electronic-resource-num&gt;&lt;language&gt;English&lt;/language&gt;&lt;/record&gt;&lt;/Cite&gt;&lt;/EndNote&gt;</w:instrText>
      </w:r>
      <w:r w:rsidRPr="00F703CF">
        <w:rPr>
          <w:rFonts w:cstheme="minorHAnsi"/>
          <w:lang w:val="en-US"/>
        </w:rPr>
        <w:fldChar w:fldCharType="separate"/>
      </w:r>
      <w:r w:rsidRPr="00F703CF">
        <w:rPr>
          <w:rFonts w:cstheme="minorHAnsi"/>
          <w:lang w:val="en-US"/>
        </w:rPr>
        <w:t>(Blaauw, 2010)</w:t>
      </w:r>
      <w:r w:rsidRPr="00F703CF">
        <w:rPr>
          <w:rFonts w:cstheme="minorHAnsi"/>
          <w:lang w:val="en-US"/>
        </w:rPr>
        <w:fldChar w:fldCharType="end"/>
      </w:r>
      <w:r w:rsidRPr="00F703CF">
        <w:rPr>
          <w:rFonts w:cstheme="minorHAnsi"/>
          <w:lang w:val="en-US"/>
        </w:rPr>
        <w:t xml:space="preserve">. AMS Radiocarbon ages were calibrated using the MARINE20 curve with reservoir correction of -74 </w:t>
      </w:r>
      <w:r>
        <w:rPr>
          <w:rFonts w:cstheme="minorHAnsi"/>
          <w:lang w:val="en-US"/>
        </w:rPr>
        <w:t xml:space="preserve">±24 years </w:t>
      </w:r>
      <w:r>
        <w:rPr>
          <w:rFonts w:cstheme="minorHAnsi"/>
          <w:lang w:val="en-US"/>
        </w:rPr>
        <w:fldChar w:fldCharType="begin"/>
      </w:r>
      <w:r>
        <w:rPr>
          <w:rFonts w:cstheme="minorHAnsi"/>
          <w:lang w:val="en-US"/>
        </w:rPr>
        <w:instrText xml:space="preserve"> ADDIN EN.CITE &lt;EndNote&gt;&lt;Cite&gt;&lt;Author&gt;Pearce&lt;/Author&gt;&lt;Year&gt;2023&lt;/Year&gt;&lt;RecNum&gt;1497&lt;/RecNum&gt;&lt;DisplayText&gt;(Pearce et al., 2023)&lt;/DisplayText&gt;&lt;record&gt;&lt;rec-number&gt;1497&lt;/rec-number&gt;&lt;foreign-keys&gt;&lt;key app="EN" db-id="2tafxd5wc2fpr7ettdjpdv2ossdp92d950fv" timestamp="1719579763"&gt;1497&lt;/key&gt;&lt;/foreign-keys&gt;&lt;ref-type name="Journal Article"&gt;17&lt;/ref-type&gt;&lt;contributors&gt;&lt;authors&gt;&lt;author&gt;Pearce, Christof&lt;/author&gt;&lt;author&gt;Özdemir, Karen Søby&lt;/author&gt;&lt;author&gt;Forchhammer Mathiasen, Ronja&lt;/author&gt;&lt;author&gt;Detlef, Henrieka&lt;/author&gt;&lt;author&gt;Olsen, Jesper&lt;/author&gt;&lt;/authors&gt;&lt;/contributors&gt;&lt;titles&gt;&lt;title&gt;The marine reservoir age of Greenland coastal waters&lt;/title&gt;&lt;secondary-title&gt;Geochronology&lt;/secondary-title&gt;&lt;/titles&gt;&lt;periodical&gt;&lt;full-title&gt;Geochronology&lt;/full-title&gt;&lt;/periodical&gt;&lt;pages&gt;451-465&lt;/pages&gt;&lt;volume&gt;5&lt;/volume&gt;&lt;number&gt;2&lt;/number&gt;&lt;section&gt;451&lt;/section&gt;&lt;dates&gt;&lt;year&gt;2023&lt;/year&gt;&lt;/dates&gt;&lt;isbn&gt;2628-3719&lt;/isbn&gt;&lt;urls&gt;&lt;/urls&gt;&lt;electronic-resource-num&gt;10.5194/gchron-5-451-2023&lt;/electronic-resource-num&gt;&lt;/record&gt;&lt;/Cite&gt;&lt;/EndNote&gt;</w:instrText>
      </w:r>
      <w:r>
        <w:rPr>
          <w:rFonts w:cstheme="minorHAnsi"/>
          <w:lang w:val="en-US"/>
        </w:rPr>
        <w:fldChar w:fldCharType="separate"/>
      </w:r>
      <w:r>
        <w:rPr>
          <w:rFonts w:cstheme="minorHAnsi"/>
          <w:lang w:val="en-US"/>
        </w:rPr>
        <w:t>(Pearce et al., 2023)</w:t>
      </w:r>
      <w:r>
        <w:rPr>
          <w:rFonts w:cstheme="minorHAnsi"/>
          <w:lang w:val="en-US"/>
        </w:rPr>
        <w:fldChar w:fldCharType="end"/>
      </w:r>
      <w:r>
        <w:rPr>
          <w:rFonts w:cstheme="minorHAnsi"/>
          <w:lang w:val="en-US"/>
        </w:rPr>
        <w:t>. The upper</w:t>
      </w:r>
      <w:r w:rsidRPr="00DA4074">
        <w:rPr>
          <w:rFonts w:cstheme="minorHAnsi"/>
          <w:lang w:val="en-US"/>
        </w:rPr>
        <w:t xml:space="preserve"> panels depict the Markov Chain Monte Carlo (MCMC) iterations (left; good runs show a stationary distribution with little structure among </w:t>
      </w:r>
      <w:r>
        <w:rPr>
          <w:rFonts w:cstheme="minorHAnsi"/>
          <w:lang w:val="en-US"/>
        </w:rPr>
        <w:t>neighboring</w:t>
      </w:r>
      <w:r w:rsidRPr="00DA4074">
        <w:rPr>
          <w:rFonts w:cstheme="minorHAnsi"/>
          <w:lang w:val="en-US"/>
        </w:rPr>
        <w:t xml:space="preserve"> iterations), the prior (green curves) and posterior (grey histograms) distributions for the accumulation rate (middle panel) and memory (right panel). </w:t>
      </w:r>
      <w:r>
        <w:rPr>
          <w:rFonts w:cstheme="minorHAnsi"/>
          <w:lang w:val="en-US"/>
        </w:rPr>
        <w:t>The bottom</w:t>
      </w:r>
      <w:r w:rsidRPr="00DA4074">
        <w:rPr>
          <w:rFonts w:cstheme="minorHAnsi"/>
          <w:lang w:val="en-US"/>
        </w:rPr>
        <w:t xml:space="preserve"> panel shows the calibrated </w:t>
      </w:r>
      <w:r w:rsidRPr="00982A8A">
        <w:rPr>
          <w:rFonts w:cstheme="minorHAnsi"/>
          <w:vertAlign w:val="superscript"/>
          <w:lang w:val="en-US"/>
        </w:rPr>
        <w:t>14</w:t>
      </w:r>
      <w:r w:rsidRPr="00DA4074">
        <w:rPr>
          <w:rFonts w:cstheme="minorHAnsi"/>
          <w:lang w:val="en-US"/>
        </w:rPr>
        <w:t xml:space="preserve">C dates (transparent blue) and the age-depth model (darker greys indicate more likely calendar ages; grey stippled lines show 95% confidence intervals; </w:t>
      </w:r>
      <w:r>
        <w:rPr>
          <w:rFonts w:cstheme="minorHAnsi"/>
          <w:lang w:val="en-US"/>
        </w:rPr>
        <w:t xml:space="preserve">the </w:t>
      </w:r>
      <w:r w:rsidRPr="00DA4074">
        <w:rPr>
          <w:rFonts w:cstheme="minorHAnsi"/>
          <w:lang w:val="en-US"/>
        </w:rPr>
        <w:t xml:space="preserve">red curve shows </w:t>
      </w:r>
      <w:r>
        <w:rPr>
          <w:rFonts w:cstheme="minorHAnsi"/>
          <w:lang w:val="en-US"/>
        </w:rPr>
        <w:t xml:space="preserve">a </w:t>
      </w:r>
      <w:r w:rsidRPr="00DA4074">
        <w:rPr>
          <w:rFonts w:cstheme="minorHAnsi"/>
          <w:lang w:val="en-US"/>
        </w:rPr>
        <w:t xml:space="preserve">single 'best' model based on the mean age for each depth). </w:t>
      </w:r>
    </w:p>
    <w:p w14:paraId="505DE737" w14:textId="06438E42" w:rsidR="00503D2C" w:rsidRPr="00F703CF" w:rsidRDefault="00503D2C" w:rsidP="00503D2C">
      <w:pPr>
        <w:spacing w:line="240" w:lineRule="auto"/>
        <w:jc w:val="both"/>
        <w:rPr>
          <w:rFonts w:cstheme="minorHAnsi"/>
          <w:lang w:val="en-US"/>
        </w:rPr>
      </w:pPr>
      <w:r w:rsidRPr="00F703CF">
        <w:rPr>
          <w:rFonts w:cstheme="minorHAnsi"/>
          <w:lang w:val="en-US"/>
        </w:rPr>
        <w:t>The age-depth model indicates that the base of the sediment core GeoB25206-2 extends back to almost 12 ka cal. BP. Moreover, sedimentation rate is relatively constant, about 90 cm/ka, until ~4.9 ka (416 cm). From this point</w:t>
      </w:r>
      <w:r w:rsidR="00982A8A">
        <w:rPr>
          <w:rFonts w:cstheme="minorHAnsi"/>
          <w:lang w:val="en-US"/>
        </w:rPr>
        <w:t>,</w:t>
      </w:r>
      <w:r w:rsidRPr="00F703CF">
        <w:rPr>
          <w:rFonts w:cstheme="minorHAnsi"/>
          <w:lang w:val="en-US"/>
        </w:rPr>
        <w:t xml:space="preserve"> sedimentation rate decreases slightly to an average of about 69 cm/ka until 9.7 ka (752 cm). The sediment unit from 752-843 cm</w:t>
      </w:r>
      <w:r>
        <w:rPr>
          <w:rFonts w:cstheme="minorHAnsi"/>
          <w:lang w:val="en-US"/>
        </w:rPr>
        <w:t xml:space="preserve"> (</w:t>
      </w:r>
      <w:r w:rsidRPr="00F703CF">
        <w:rPr>
          <w:rFonts w:cstheme="minorHAnsi"/>
          <w:lang w:val="en-US"/>
        </w:rPr>
        <w:t>vertical grey shadow</w:t>
      </w:r>
      <w:r>
        <w:rPr>
          <w:rFonts w:cstheme="minorHAnsi"/>
          <w:lang w:val="en-US"/>
        </w:rPr>
        <w:t>)</w:t>
      </w:r>
      <w:r w:rsidRPr="00F703CF">
        <w:rPr>
          <w:rFonts w:cstheme="minorHAnsi"/>
          <w:lang w:val="en-US"/>
        </w:rPr>
        <w:t>, which shows no bioturbation, no IRDs and which is partly sandy, water rich and shows high density values</w:t>
      </w:r>
      <w:r>
        <w:rPr>
          <w:rFonts w:cstheme="minorHAnsi"/>
          <w:lang w:val="en-US"/>
        </w:rPr>
        <w:t xml:space="preserve"> (</w:t>
      </w:r>
      <w:r w:rsidRPr="00B95585">
        <w:rPr>
          <w:rFonts w:cstheme="minorHAnsi"/>
          <w:lang w:val="en-US"/>
        </w:rPr>
        <w:t>Fig</w:t>
      </w:r>
      <w:r w:rsidR="00982A8A">
        <w:rPr>
          <w:rFonts w:cstheme="minorHAnsi"/>
          <w:lang w:val="en-US"/>
        </w:rPr>
        <w:t>s</w:t>
      </w:r>
      <w:r w:rsidRPr="00B95585">
        <w:rPr>
          <w:rFonts w:cstheme="minorHAnsi"/>
          <w:lang w:val="en-US"/>
        </w:rPr>
        <w:t>. S</w:t>
      </w:r>
      <w:r w:rsidR="00DE7E8F">
        <w:rPr>
          <w:rFonts w:cstheme="minorHAnsi"/>
          <w:lang w:val="en-US"/>
        </w:rPr>
        <w:t>2</w:t>
      </w:r>
      <w:r w:rsidRPr="00B95585">
        <w:rPr>
          <w:rFonts w:cstheme="minorHAnsi"/>
          <w:lang w:val="en-US"/>
        </w:rPr>
        <w:t>-S</w:t>
      </w:r>
      <w:r w:rsidR="00DE7E8F">
        <w:rPr>
          <w:rFonts w:cstheme="minorHAnsi"/>
          <w:lang w:val="en-US"/>
        </w:rPr>
        <w:t>4</w:t>
      </w:r>
      <w:r>
        <w:rPr>
          <w:rFonts w:cstheme="minorHAnsi"/>
          <w:lang w:val="en-US"/>
        </w:rPr>
        <w:t>)</w:t>
      </w:r>
      <w:r w:rsidRPr="00F703CF">
        <w:rPr>
          <w:rFonts w:cstheme="minorHAnsi"/>
          <w:lang w:val="en-US"/>
        </w:rPr>
        <w:t xml:space="preserve"> is interpreted as a turbiditic event. Therefore, this depth interval is assumed to be deposited in less than a year. With an average of 107 cm/ka</w:t>
      </w:r>
      <w:r w:rsidR="00982A8A">
        <w:rPr>
          <w:rFonts w:cstheme="minorHAnsi"/>
          <w:lang w:val="en-US"/>
        </w:rPr>
        <w:t>,</w:t>
      </w:r>
      <w:r w:rsidRPr="00F703CF">
        <w:rPr>
          <w:rFonts w:cstheme="minorHAnsi"/>
          <w:lang w:val="en-US"/>
        </w:rPr>
        <w:t xml:space="preserve"> highest sedimentation occurs below the mass-wasting deposit (&gt;9715 </w:t>
      </w:r>
      <w:proofErr w:type="spellStart"/>
      <w:r w:rsidRPr="00F703CF">
        <w:rPr>
          <w:rFonts w:cstheme="minorHAnsi"/>
          <w:lang w:val="en-US"/>
        </w:rPr>
        <w:t>cal</w:t>
      </w:r>
      <w:proofErr w:type="spellEnd"/>
      <w:r w:rsidRPr="00F703CF">
        <w:rPr>
          <w:rFonts w:cstheme="minorHAnsi"/>
          <w:lang w:val="en-US"/>
        </w:rPr>
        <w:t xml:space="preserve"> yr BP) until the end of the core. </w:t>
      </w:r>
    </w:p>
    <w:p w14:paraId="2A3A38B2" w14:textId="77777777" w:rsidR="0098335E" w:rsidRDefault="00503D2C" w:rsidP="00503D2C">
      <w:pPr>
        <w:rPr>
          <w:lang w:val="en-US"/>
        </w:rPr>
      </w:pPr>
      <w:r>
        <w:rPr>
          <w:lang w:val="en-US"/>
        </w:rPr>
        <w:lastRenderedPageBreak/>
        <w:br w:type="page"/>
      </w:r>
    </w:p>
    <w:p w14:paraId="388B9A44" w14:textId="369561C1" w:rsidR="00D46392" w:rsidRDefault="00D46392" w:rsidP="00503D2C">
      <w:pPr>
        <w:rPr>
          <w:b/>
          <w:bCs/>
          <w:sz w:val="28"/>
          <w:szCs w:val="28"/>
          <w:lang w:val="en-GB"/>
        </w:rPr>
      </w:pPr>
      <w:r w:rsidRPr="00D46392">
        <w:rPr>
          <w:b/>
          <w:bCs/>
          <w:sz w:val="28"/>
          <w:szCs w:val="28"/>
          <w:lang w:val="en-GB"/>
        </w:rPr>
        <w:lastRenderedPageBreak/>
        <w:t>Numerical Modelling</w:t>
      </w:r>
    </w:p>
    <w:p w14:paraId="62369AE8" w14:textId="77777777" w:rsidR="00D46392" w:rsidRPr="00D46392" w:rsidRDefault="00D46392" w:rsidP="00503D2C">
      <w:pPr>
        <w:rPr>
          <w:b/>
          <w:bCs/>
          <w:sz w:val="28"/>
          <w:szCs w:val="28"/>
          <w:lang w:val="en-GB"/>
        </w:rPr>
      </w:pPr>
    </w:p>
    <w:p w14:paraId="415F6D2F" w14:textId="6CA4F36B" w:rsidR="0098335E" w:rsidRDefault="0098335E" w:rsidP="00503D2C">
      <w:pPr>
        <w:rPr>
          <w:lang w:val="en-US"/>
        </w:rPr>
      </w:pPr>
      <w:r>
        <w:rPr>
          <w:noProof/>
          <w:lang w:val="en-US"/>
        </w:rPr>
        <w:drawing>
          <wp:inline distT="0" distB="0" distL="0" distR="0" wp14:anchorId="531B162F" wp14:editId="3DE3F118">
            <wp:extent cx="5753100" cy="6505575"/>
            <wp:effectExtent l="0" t="0" r="0" b="9525"/>
            <wp:docPr id="1738156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6505575"/>
                    </a:xfrm>
                    <a:prstGeom prst="rect">
                      <a:avLst/>
                    </a:prstGeom>
                    <a:noFill/>
                    <a:ln>
                      <a:noFill/>
                    </a:ln>
                  </pic:spPr>
                </pic:pic>
              </a:graphicData>
            </a:graphic>
          </wp:inline>
        </w:drawing>
      </w:r>
    </w:p>
    <w:p w14:paraId="7CECCB1A" w14:textId="5C0CCC3C" w:rsidR="0098335E" w:rsidRDefault="0098335E" w:rsidP="00503D2C">
      <w:pPr>
        <w:rPr>
          <w:lang w:val="en-US"/>
        </w:rPr>
      </w:pPr>
      <w:r w:rsidRPr="009B486E">
        <w:rPr>
          <w:rFonts w:cstheme="minorHAnsi"/>
          <w:b/>
          <w:bCs/>
          <w:sz w:val="24"/>
          <w:szCs w:val="24"/>
          <w:lang w:val="en-US"/>
        </w:rPr>
        <w:t>Figure S7:</w:t>
      </w:r>
      <w:r w:rsidRPr="009B486E">
        <w:rPr>
          <w:rFonts w:cstheme="minorHAnsi"/>
          <w:sz w:val="24"/>
          <w:szCs w:val="24"/>
          <w:lang w:val="en-US"/>
        </w:rPr>
        <w:t xml:space="preserve"> </w:t>
      </w:r>
      <w:r>
        <w:rPr>
          <w:rFonts w:cstheme="minorHAnsi"/>
          <w:lang w:val="en-US"/>
        </w:rPr>
        <w:t xml:space="preserve">Upper figure: </w:t>
      </w:r>
      <w:r w:rsidR="00D94765">
        <w:rPr>
          <w:rFonts w:cstheme="minorHAnsi"/>
          <w:lang w:val="en-US"/>
        </w:rPr>
        <w:t>South Greenland r</w:t>
      </w:r>
      <w:r>
        <w:rPr>
          <w:rFonts w:cstheme="minorHAnsi"/>
          <w:lang w:val="en-US"/>
        </w:rPr>
        <w:t>egional a</w:t>
      </w:r>
      <w:r w:rsidRPr="0098335E">
        <w:rPr>
          <w:rFonts w:cstheme="minorHAnsi"/>
          <w:lang w:val="en-US"/>
        </w:rPr>
        <w:t>nomalous runoff 'NAO+ minus NAO-' as calculated by BESSI</w:t>
      </w:r>
      <w:r>
        <w:rPr>
          <w:rFonts w:cstheme="minorHAnsi"/>
          <w:lang w:val="en-US"/>
        </w:rPr>
        <w:t xml:space="preserve"> </w:t>
      </w:r>
      <w:r>
        <w:rPr>
          <w:rFonts w:cstheme="minorHAnsi"/>
          <w:lang w:val="en-US"/>
        </w:rPr>
        <w:fldChar w:fldCharType="begin"/>
      </w:r>
      <w:r>
        <w:rPr>
          <w:rFonts w:cstheme="minorHAnsi"/>
          <w:lang w:val="en-US"/>
        </w:rPr>
        <w:instrText xml:space="preserve"> ADDIN EN.CITE &lt;EndNote&gt;&lt;Cite&gt;&lt;Author&gt;Born&lt;/Author&gt;&lt;Year&gt;2019&lt;/Year&gt;&lt;RecNum&gt;1973&lt;/RecNum&gt;&lt;DisplayText&gt;(Born et al., 2019; Zolles and Born, 2021)&lt;/DisplayText&gt;&lt;record&gt;&lt;rec-number&gt;1973&lt;/rec-number&gt;&lt;foreign-keys&gt;&lt;key app="EN" db-id="2tafxd5wc2fpr7ettdjpdv2ossdp92d950fv" timestamp="1757925618"&gt;1973&lt;/key&gt;&lt;/foreign-keys&gt;&lt;ref-type name="Journal Article"&gt;17&lt;/ref-type&gt;&lt;contributors&gt;&lt;authors&gt;&lt;author&gt;Born, Andreas&lt;/author&gt;&lt;author&gt;Imhof, Michael A.&lt;/author&gt;&lt;author&gt;Stocker, Thomas F.&lt;/author&gt;&lt;/authors&gt;&lt;/contributors&gt;&lt;titles&gt;&lt;title&gt;An efficient surface energy–mass balance model for snow and ice&lt;/title&gt;&lt;secondary-title&gt;The Cryosphere&lt;/secondary-title&gt;&lt;/titles&gt;&lt;periodical&gt;&lt;full-title&gt;The Cryosphere&lt;/full-title&gt;&lt;/periodical&gt;&lt;pages&gt;1529-1546&lt;/pages&gt;&lt;volume&gt;13&lt;/volume&gt;&lt;number&gt;5&lt;/number&gt;&lt;section&gt;1529&lt;/section&gt;&lt;dates&gt;&lt;year&gt;2019&lt;/year&gt;&lt;/dates&gt;&lt;isbn&gt;1994-0424&lt;/isbn&gt;&lt;urls&gt;&lt;/urls&gt;&lt;electronic-resource-num&gt;10.5194/tc-13-1529-2019&lt;/electronic-resource-num&gt;&lt;/record&gt;&lt;/Cite&gt;&lt;Cite&gt;&lt;Author&gt;Zolles&lt;/Author&gt;&lt;Year&gt;2021&lt;/Year&gt;&lt;RecNum&gt;1975&lt;/RecNum&gt;&lt;record&gt;&lt;rec-number&gt;1975&lt;/rec-number&gt;&lt;foreign-keys&gt;&lt;key app="EN" db-id="2tafxd5wc2fpr7ettdjpdv2ossdp92d950fv" timestamp="1757925625"&gt;1975&lt;/key&gt;&lt;/foreign-keys&gt;&lt;ref-type name="Journal Article"&gt;17&lt;/ref-type&gt;&lt;contributors&gt;&lt;authors&gt;&lt;author&gt;Zolles, Tobias&lt;/author&gt;&lt;author&gt;Born, Andreas&lt;/author&gt;&lt;/authors&gt;&lt;/contributors&gt;&lt;titles&gt;&lt;title&gt;Sensitivity of the Greenland surface mass and energy balance to uncertainties in key model parameters&lt;/title&gt;&lt;secondary-title&gt;The Cryosphere&lt;/secondary-title&gt;&lt;/titles&gt;&lt;periodical&gt;&lt;full-title&gt;The Cryosphere&lt;/full-title&gt;&lt;/periodical&gt;&lt;pages&gt;2917-2938&lt;/pages&gt;&lt;volume&gt;15&lt;/volume&gt;&lt;number&gt;6&lt;/number&gt;&lt;section&gt;2917&lt;/section&gt;&lt;dates&gt;&lt;year&gt;2021&lt;/year&gt;&lt;/dates&gt;&lt;isbn&gt;1994-0424&lt;/isbn&gt;&lt;urls&gt;&lt;/urls&gt;&lt;electronic-resource-num&gt;10.5194/tc-15-2917-2021&lt;/electronic-resource-num&gt;&lt;/record&gt;&lt;/Cite&gt;&lt;/EndNote&gt;</w:instrText>
      </w:r>
      <w:r>
        <w:rPr>
          <w:rFonts w:cstheme="minorHAnsi"/>
          <w:lang w:val="en-US"/>
        </w:rPr>
        <w:fldChar w:fldCharType="separate"/>
      </w:r>
      <w:r>
        <w:rPr>
          <w:rFonts w:cstheme="minorHAnsi"/>
          <w:noProof/>
          <w:lang w:val="en-US"/>
        </w:rPr>
        <w:t>(Born et al., 2019; Zolles and Born, 2021)</w:t>
      </w:r>
      <w:r>
        <w:rPr>
          <w:rFonts w:cstheme="minorHAnsi"/>
          <w:lang w:val="en-US"/>
        </w:rPr>
        <w:fldChar w:fldCharType="end"/>
      </w:r>
      <w:r w:rsidRPr="0098335E">
        <w:rPr>
          <w:rFonts w:cstheme="minorHAnsi"/>
          <w:lang w:val="en-US"/>
        </w:rPr>
        <w:t>.</w:t>
      </w:r>
      <w:r w:rsidR="00D94765">
        <w:rPr>
          <w:rFonts w:cstheme="minorHAnsi"/>
          <w:lang w:val="en-US"/>
        </w:rPr>
        <w:t xml:space="preserve">Lower figure: </w:t>
      </w:r>
      <w:r w:rsidR="00D94765" w:rsidRPr="00D94765">
        <w:rPr>
          <w:rFonts w:cstheme="minorHAnsi"/>
          <w:lang w:val="en-US"/>
        </w:rPr>
        <w:t xml:space="preserve">Average runoff from region </w:t>
      </w:r>
      <w:r w:rsidR="00D94765">
        <w:rPr>
          <w:rFonts w:cstheme="minorHAnsi"/>
          <w:lang w:val="en-US"/>
        </w:rPr>
        <w:t>A</w:t>
      </w:r>
      <w:r w:rsidR="00D94765" w:rsidRPr="00D94765">
        <w:rPr>
          <w:rFonts w:cstheme="minorHAnsi"/>
          <w:lang w:val="en-US"/>
        </w:rPr>
        <w:t xml:space="preserve"> and </w:t>
      </w:r>
      <w:r w:rsidR="00D94765">
        <w:rPr>
          <w:rFonts w:cstheme="minorHAnsi"/>
          <w:lang w:val="en-US"/>
        </w:rPr>
        <w:t>B (upper figure)</w:t>
      </w:r>
      <w:r w:rsidR="00D94765" w:rsidRPr="00D94765">
        <w:rPr>
          <w:rFonts w:cstheme="minorHAnsi"/>
          <w:lang w:val="en-US"/>
        </w:rPr>
        <w:t>, for NAO+ (black) and NAO- (blue).</w:t>
      </w:r>
    </w:p>
    <w:p w14:paraId="4F98600C" w14:textId="77777777" w:rsidR="0098335E" w:rsidRDefault="0098335E" w:rsidP="00503D2C">
      <w:pPr>
        <w:rPr>
          <w:lang w:val="en-US"/>
        </w:rPr>
      </w:pPr>
    </w:p>
    <w:p w14:paraId="3B4BB027" w14:textId="77777777" w:rsidR="0098335E" w:rsidRDefault="0098335E" w:rsidP="00503D2C">
      <w:pPr>
        <w:rPr>
          <w:lang w:val="en-US"/>
        </w:rPr>
      </w:pPr>
    </w:p>
    <w:p w14:paraId="739D2007" w14:textId="23A991D0" w:rsidR="00503D2C" w:rsidRDefault="0098335E" w:rsidP="00503D2C">
      <w:pPr>
        <w:rPr>
          <w:lang w:val="en-US"/>
        </w:rPr>
      </w:pPr>
      <w:r>
        <w:rPr>
          <w:lang w:val="en-US"/>
        </w:rPr>
        <w:br w:type="page"/>
      </w:r>
    </w:p>
    <w:p w14:paraId="097DACA8" w14:textId="2779ACA0" w:rsidR="00AB1765" w:rsidRPr="00BB2F61" w:rsidRDefault="00AB1765">
      <w:pPr>
        <w:rPr>
          <w:b/>
          <w:bCs/>
          <w:sz w:val="28"/>
          <w:szCs w:val="28"/>
          <w:lang w:val="en-US"/>
        </w:rPr>
      </w:pPr>
      <w:r w:rsidRPr="00BB2F61">
        <w:rPr>
          <w:b/>
          <w:bCs/>
          <w:sz w:val="28"/>
          <w:szCs w:val="28"/>
          <w:lang w:val="en-US"/>
        </w:rPr>
        <w:lastRenderedPageBreak/>
        <w:t>References</w:t>
      </w:r>
    </w:p>
    <w:p w14:paraId="4B1C24E6" w14:textId="77777777" w:rsidR="0098335E" w:rsidRPr="0098335E" w:rsidRDefault="00AB1765" w:rsidP="0098335E">
      <w:pPr>
        <w:pStyle w:val="EndNoteBibliography"/>
        <w:spacing w:after="0"/>
        <w:ind w:left="720" w:hanging="720"/>
      </w:pPr>
      <w:r>
        <w:fldChar w:fldCharType="begin"/>
      </w:r>
      <w:r>
        <w:instrText xml:space="preserve"> ADDIN EN.REFLIST </w:instrText>
      </w:r>
      <w:r>
        <w:fldChar w:fldCharType="separate"/>
      </w:r>
      <w:r w:rsidR="0098335E" w:rsidRPr="0098335E">
        <w:t>Blaauw, M., 2010, Methods and code for 'classical' age-modelling of radiocarbon sequences: Quaternary Geochronology, v. 5, no. 5, p. 512-518.</w:t>
      </w:r>
    </w:p>
    <w:p w14:paraId="0B75E1B7" w14:textId="77777777" w:rsidR="0098335E" w:rsidRPr="0098335E" w:rsidRDefault="0098335E" w:rsidP="0098335E">
      <w:pPr>
        <w:pStyle w:val="EndNoteBibliography"/>
        <w:spacing w:after="0"/>
        <w:ind w:left="720" w:hanging="720"/>
      </w:pPr>
      <w:r w:rsidRPr="0098335E">
        <w:t>Born, A., Imhof, M. A., and Stocker, T. F., 2019, An efficient surface energy–mass balance model for snow and ice: The Cryosphere, v. 13, no. 5, p. 1529-1546.</w:t>
      </w:r>
    </w:p>
    <w:p w14:paraId="51F2A138" w14:textId="77777777" w:rsidR="0098335E" w:rsidRPr="0098335E" w:rsidRDefault="0098335E" w:rsidP="0098335E">
      <w:pPr>
        <w:pStyle w:val="EndNoteBibliography"/>
        <w:spacing w:after="0"/>
        <w:ind w:left="720" w:hanging="720"/>
      </w:pPr>
      <w:r w:rsidRPr="0098335E">
        <w:t>Nørgaard-Pedersen, N., and Mikkelsen, N., 2009, 8000 year marine record of climate variability and fjord dynamics from Southern Greenland: Marine Geology, v. 264, no. 3-4, p. 177-189.</w:t>
      </w:r>
    </w:p>
    <w:p w14:paraId="7A7DAAEC" w14:textId="77777777" w:rsidR="0098335E" w:rsidRPr="0098335E" w:rsidRDefault="0098335E" w:rsidP="0098335E">
      <w:pPr>
        <w:pStyle w:val="EndNoteBibliography"/>
        <w:spacing w:after="0"/>
        <w:ind w:left="720" w:hanging="720"/>
      </w:pPr>
      <w:r w:rsidRPr="0098335E">
        <w:t>Pearce, C., Özdemir, K. S., Forchhammer Mathiasen, R., Detlef, H., and Olsen, J., 2023, The marine reservoir age of Greenland coastal waters: Geochronology, v. 5, no. 2, p. 451-465.</w:t>
      </w:r>
    </w:p>
    <w:p w14:paraId="20A442D6" w14:textId="77777777" w:rsidR="0098335E" w:rsidRPr="0098335E" w:rsidRDefault="0098335E" w:rsidP="0098335E">
      <w:pPr>
        <w:pStyle w:val="EndNoteBibliography"/>
        <w:ind w:left="720" w:hanging="720"/>
      </w:pPr>
      <w:r w:rsidRPr="0098335E">
        <w:t>Zolles, T., and Born, A., 2021, Sensitivity of the Greenland surface mass and energy balance to uncertainties in key model parameters: The Cryosphere, v. 15, no. 6, p. 2917-2938.</w:t>
      </w:r>
    </w:p>
    <w:p w14:paraId="0D3359AF" w14:textId="713BDD43" w:rsidR="00AB1765" w:rsidRPr="00AB1765" w:rsidRDefault="00AB1765">
      <w:pPr>
        <w:rPr>
          <w:lang w:val="en-US"/>
        </w:rPr>
      </w:pPr>
      <w:r>
        <w:rPr>
          <w:lang w:val="en-US"/>
        </w:rPr>
        <w:fldChar w:fldCharType="end"/>
      </w:r>
    </w:p>
    <w:sectPr w:rsidR="00AB1765" w:rsidRPr="00AB1765">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Geology&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afxd5wc2fpr7ettdjpdv2ossdp92d950fv&quot;&gt;JCF EndNote Library&lt;record-ids&gt;&lt;item&gt;811&lt;/item&gt;&lt;item&gt;1315&lt;/item&gt;&lt;item&gt;1497&lt;/item&gt;&lt;item&gt;1973&lt;/item&gt;&lt;item&gt;1975&lt;/item&gt;&lt;/record-ids&gt;&lt;/item&gt;&lt;/Libraries&gt;"/>
  </w:docVars>
  <w:rsids>
    <w:rsidRoot w:val="00AB1765"/>
    <w:rsid w:val="00006748"/>
    <w:rsid w:val="00013E97"/>
    <w:rsid w:val="00050745"/>
    <w:rsid w:val="000856C3"/>
    <w:rsid w:val="00096129"/>
    <w:rsid w:val="001710FC"/>
    <w:rsid w:val="001D2FBF"/>
    <w:rsid w:val="00212589"/>
    <w:rsid w:val="002D3B9D"/>
    <w:rsid w:val="002E2096"/>
    <w:rsid w:val="002F4E95"/>
    <w:rsid w:val="00311DF2"/>
    <w:rsid w:val="00347E9A"/>
    <w:rsid w:val="003567AF"/>
    <w:rsid w:val="0036794A"/>
    <w:rsid w:val="00371C2D"/>
    <w:rsid w:val="003A4E3A"/>
    <w:rsid w:val="003A53E8"/>
    <w:rsid w:val="003B5718"/>
    <w:rsid w:val="003E2B19"/>
    <w:rsid w:val="003E4184"/>
    <w:rsid w:val="003F5E84"/>
    <w:rsid w:val="00404AAD"/>
    <w:rsid w:val="004132F4"/>
    <w:rsid w:val="00470548"/>
    <w:rsid w:val="004758FE"/>
    <w:rsid w:val="00493E96"/>
    <w:rsid w:val="0050016A"/>
    <w:rsid w:val="00503D2C"/>
    <w:rsid w:val="00510232"/>
    <w:rsid w:val="00550803"/>
    <w:rsid w:val="005537B8"/>
    <w:rsid w:val="00555B17"/>
    <w:rsid w:val="0056258F"/>
    <w:rsid w:val="00642B74"/>
    <w:rsid w:val="00693CC5"/>
    <w:rsid w:val="006B386A"/>
    <w:rsid w:val="006F3286"/>
    <w:rsid w:val="0075378E"/>
    <w:rsid w:val="007654F9"/>
    <w:rsid w:val="00776F7B"/>
    <w:rsid w:val="007A5E10"/>
    <w:rsid w:val="00857852"/>
    <w:rsid w:val="00860E2E"/>
    <w:rsid w:val="0086241C"/>
    <w:rsid w:val="00882A46"/>
    <w:rsid w:val="00901222"/>
    <w:rsid w:val="00932939"/>
    <w:rsid w:val="00950DAC"/>
    <w:rsid w:val="009605CC"/>
    <w:rsid w:val="00970E5F"/>
    <w:rsid w:val="00982A8A"/>
    <w:rsid w:val="0098335E"/>
    <w:rsid w:val="009A46A3"/>
    <w:rsid w:val="009B486E"/>
    <w:rsid w:val="009F2366"/>
    <w:rsid w:val="00A968B5"/>
    <w:rsid w:val="00AB029D"/>
    <w:rsid w:val="00AB1765"/>
    <w:rsid w:val="00B04E08"/>
    <w:rsid w:val="00B520A4"/>
    <w:rsid w:val="00B8561E"/>
    <w:rsid w:val="00B9026B"/>
    <w:rsid w:val="00B90AD1"/>
    <w:rsid w:val="00B95585"/>
    <w:rsid w:val="00BB2F61"/>
    <w:rsid w:val="00BE4D12"/>
    <w:rsid w:val="00BF3B62"/>
    <w:rsid w:val="00C32925"/>
    <w:rsid w:val="00C3674A"/>
    <w:rsid w:val="00C779C8"/>
    <w:rsid w:val="00CE1E7E"/>
    <w:rsid w:val="00CF2638"/>
    <w:rsid w:val="00CF6BD3"/>
    <w:rsid w:val="00D158BE"/>
    <w:rsid w:val="00D46392"/>
    <w:rsid w:val="00D50B89"/>
    <w:rsid w:val="00D94765"/>
    <w:rsid w:val="00DE7E8F"/>
    <w:rsid w:val="00E25BF2"/>
    <w:rsid w:val="00E6670B"/>
    <w:rsid w:val="00E6682D"/>
    <w:rsid w:val="00E76178"/>
    <w:rsid w:val="00F0607B"/>
    <w:rsid w:val="00F55F8F"/>
    <w:rsid w:val="00F703CF"/>
    <w:rsid w:val="00FC0729"/>
    <w:rsid w:val="00FF16AB"/>
    <w:rsid w:val="00FF78A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05389E"/>
  <w14:defaultImageDpi w14:val="32767"/>
  <w15:chartTrackingRefBased/>
  <w15:docId w15:val="{26E802AC-5861-4FC6-BC42-5BD5B4F62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1765"/>
  </w:style>
  <w:style w:type="paragraph" w:styleId="Heading1">
    <w:name w:val="heading 1"/>
    <w:basedOn w:val="Normal"/>
    <w:next w:val="Normal"/>
    <w:link w:val="Heading1Char"/>
    <w:uiPriority w:val="9"/>
    <w:qFormat/>
    <w:rsid w:val="00AB1765"/>
    <w:pPr>
      <w:keepNext/>
      <w:keepLines/>
      <w:spacing w:before="400" w:after="40" w:line="240" w:lineRule="auto"/>
      <w:outlineLvl w:val="0"/>
    </w:pPr>
    <w:rPr>
      <w:rFonts w:asciiTheme="majorHAnsi" w:eastAsiaTheme="majorEastAsia" w:hAnsiTheme="majorHAnsi" w:cstheme="majorBidi"/>
      <w:color w:val="0A2F41" w:themeColor="accent1" w:themeShade="80"/>
      <w:sz w:val="36"/>
      <w:szCs w:val="36"/>
    </w:rPr>
  </w:style>
  <w:style w:type="paragraph" w:styleId="Heading2">
    <w:name w:val="heading 2"/>
    <w:basedOn w:val="Normal"/>
    <w:next w:val="Normal"/>
    <w:link w:val="Heading2Char"/>
    <w:uiPriority w:val="9"/>
    <w:semiHidden/>
    <w:unhideWhenUsed/>
    <w:qFormat/>
    <w:rsid w:val="00AB1765"/>
    <w:pPr>
      <w:keepNext/>
      <w:keepLines/>
      <w:spacing w:before="40" w:after="0" w:line="240"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B1765"/>
    <w:pPr>
      <w:keepNext/>
      <w:keepLines/>
      <w:spacing w:before="40" w:after="0" w:line="240" w:lineRule="auto"/>
      <w:outlineLvl w:val="2"/>
    </w:pPr>
    <w:rPr>
      <w:rFonts w:asciiTheme="majorHAnsi" w:eastAsiaTheme="majorEastAsia" w:hAnsiTheme="maj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B1765"/>
    <w:pPr>
      <w:keepNext/>
      <w:keepLines/>
      <w:spacing w:before="40" w:after="0"/>
      <w:outlineLvl w:val="3"/>
    </w:pPr>
    <w:rPr>
      <w:rFonts w:asciiTheme="majorHAnsi" w:eastAsiaTheme="majorEastAsia" w:hAnsiTheme="majorHAnsi" w:cstheme="majorBidi"/>
      <w:color w:val="0F4761" w:themeColor="accent1" w:themeShade="BF"/>
      <w:sz w:val="24"/>
      <w:szCs w:val="24"/>
    </w:rPr>
  </w:style>
  <w:style w:type="paragraph" w:styleId="Heading5">
    <w:name w:val="heading 5"/>
    <w:basedOn w:val="Normal"/>
    <w:next w:val="Normal"/>
    <w:link w:val="Heading5Char"/>
    <w:uiPriority w:val="9"/>
    <w:semiHidden/>
    <w:unhideWhenUsed/>
    <w:qFormat/>
    <w:rsid w:val="00AB1765"/>
    <w:pPr>
      <w:keepNext/>
      <w:keepLines/>
      <w:spacing w:before="40" w:after="0"/>
      <w:outlineLvl w:val="4"/>
    </w:pPr>
    <w:rPr>
      <w:rFonts w:asciiTheme="majorHAnsi" w:eastAsiaTheme="majorEastAsia" w:hAnsiTheme="majorHAnsi" w:cstheme="majorBidi"/>
      <w:caps/>
      <w:color w:val="0F4761" w:themeColor="accent1" w:themeShade="BF"/>
    </w:rPr>
  </w:style>
  <w:style w:type="paragraph" w:styleId="Heading6">
    <w:name w:val="heading 6"/>
    <w:basedOn w:val="Normal"/>
    <w:next w:val="Normal"/>
    <w:link w:val="Heading6Char"/>
    <w:uiPriority w:val="9"/>
    <w:semiHidden/>
    <w:unhideWhenUsed/>
    <w:qFormat/>
    <w:rsid w:val="00AB1765"/>
    <w:pPr>
      <w:keepNext/>
      <w:keepLines/>
      <w:spacing w:before="40" w:after="0"/>
      <w:outlineLvl w:val="5"/>
    </w:pPr>
    <w:rPr>
      <w:rFonts w:asciiTheme="majorHAnsi" w:eastAsiaTheme="majorEastAsia" w:hAnsiTheme="majorHAnsi" w:cstheme="majorBidi"/>
      <w:i/>
      <w:iCs/>
      <w:caps/>
      <w:color w:val="0A2F41" w:themeColor="accent1" w:themeShade="80"/>
    </w:rPr>
  </w:style>
  <w:style w:type="paragraph" w:styleId="Heading7">
    <w:name w:val="heading 7"/>
    <w:basedOn w:val="Normal"/>
    <w:next w:val="Normal"/>
    <w:link w:val="Heading7Char"/>
    <w:uiPriority w:val="9"/>
    <w:semiHidden/>
    <w:unhideWhenUsed/>
    <w:qFormat/>
    <w:rsid w:val="00AB1765"/>
    <w:pPr>
      <w:keepNext/>
      <w:keepLines/>
      <w:spacing w:before="40" w:after="0"/>
      <w:outlineLvl w:val="6"/>
    </w:pPr>
    <w:rPr>
      <w:rFonts w:asciiTheme="majorHAnsi" w:eastAsiaTheme="majorEastAsia" w:hAnsiTheme="majorHAnsi" w:cstheme="majorBidi"/>
      <w:b/>
      <w:bCs/>
      <w:color w:val="0A2F41" w:themeColor="accent1" w:themeShade="80"/>
    </w:rPr>
  </w:style>
  <w:style w:type="paragraph" w:styleId="Heading8">
    <w:name w:val="heading 8"/>
    <w:basedOn w:val="Normal"/>
    <w:next w:val="Normal"/>
    <w:link w:val="Heading8Char"/>
    <w:uiPriority w:val="9"/>
    <w:semiHidden/>
    <w:unhideWhenUsed/>
    <w:qFormat/>
    <w:rsid w:val="00AB1765"/>
    <w:pPr>
      <w:keepNext/>
      <w:keepLines/>
      <w:spacing w:before="40" w:after="0"/>
      <w:outlineLvl w:val="7"/>
    </w:pPr>
    <w:rPr>
      <w:rFonts w:asciiTheme="majorHAnsi" w:eastAsiaTheme="majorEastAsia" w:hAnsiTheme="majorHAnsi" w:cstheme="majorBidi"/>
      <w:b/>
      <w:bCs/>
      <w:i/>
      <w:iCs/>
      <w:color w:val="0A2F41" w:themeColor="accent1" w:themeShade="80"/>
    </w:rPr>
  </w:style>
  <w:style w:type="paragraph" w:styleId="Heading9">
    <w:name w:val="heading 9"/>
    <w:basedOn w:val="Normal"/>
    <w:next w:val="Normal"/>
    <w:link w:val="Heading9Char"/>
    <w:uiPriority w:val="9"/>
    <w:semiHidden/>
    <w:unhideWhenUsed/>
    <w:qFormat/>
    <w:rsid w:val="00AB1765"/>
    <w:pPr>
      <w:keepNext/>
      <w:keepLines/>
      <w:spacing w:before="40" w:after="0"/>
      <w:outlineLvl w:val="8"/>
    </w:pPr>
    <w:rPr>
      <w:rFonts w:asciiTheme="majorHAnsi" w:eastAsiaTheme="majorEastAsia" w:hAnsiTheme="majorHAnsi" w:cstheme="majorBidi"/>
      <w:i/>
      <w:iCs/>
      <w:color w:val="0A2F4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1765"/>
    <w:rPr>
      <w:rFonts w:asciiTheme="majorHAnsi" w:eastAsiaTheme="majorEastAsia" w:hAnsiTheme="majorHAnsi" w:cstheme="majorBidi"/>
      <w:color w:val="0A2F41" w:themeColor="accent1" w:themeShade="80"/>
      <w:sz w:val="36"/>
      <w:szCs w:val="36"/>
    </w:rPr>
  </w:style>
  <w:style w:type="character" w:customStyle="1" w:styleId="Heading2Char">
    <w:name w:val="Heading 2 Char"/>
    <w:basedOn w:val="DefaultParagraphFont"/>
    <w:link w:val="Heading2"/>
    <w:uiPriority w:val="9"/>
    <w:semiHidden/>
    <w:rsid w:val="00AB176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B1765"/>
    <w:rPr>
      <w:rFonts w:asciiTheme="majorHAnsi" w:eastAsiaTheme="majorEastAsia" w:hAnsiTheme="maj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B1765"/>
    <w:rPr>
      <w:rFonts w:asciiTheme="majorHAnsi" w:eastAsiaTheme="majorEastAsia" w:hAnsiTheme="majorHAnsi" w:cstheme="majorBidi"/>
      <w:color w:val="0F4761" w:themeColor="accent1" w:themeShade="BF"/>
      <w:sz w:val="24"/>
      <w:szCs w:val="24"/>
    </w:rPr>
  </w:style>
  <w:style w:type="character" w:customStyle="1" w:styleId="Heading5Char">
    <w:name w:val="Heading 5 Char"/>
    <w:basedOn w:val="DefaultParagraphFont"/>
    <w:link w:val="Heading5"/>
    <w:uiPriority w:val="9"/>
    <w:semiHidden/>
    <w:rsid w:val="00AB1765"/>
    <w:rPr>
      <w:rFonts w:asciiTheme="majorHAnsi" w:eastAsiaTheme="majorEastAsia" w:hAnsiTheme="majorHAnsi" w:cstheme="majorBidi"/>
      <w:caps/>
      <w:color w:val="0F4761" w:themeColor="accent1" w:themeShade="BF"/>
    </w:rPr>
  </w:style>
  <w:style w:type="character" w:customStyle="1" w:styleId="Heading6Char">
    <w:name w:val="Heading 6 Char"/>
    <w:basedOn w:val="DefaultParagraphFont"/>
    <w:link w:val="Heading6"/>
    <w:uiPriority w:val="9"/>
    <w:semiHidden/>
    <w:rsid w:val="00AB1765"/>
    <w:rPr>
      <w:rFonts w:asciiTheme="majorHAnsi" w:eastAsiaTheme="majorEastAsia" w:hAnsiTheme="majorHAnsi" w:cstheme="majorBidi"/>
      <w:i/>
      <w:iCs/>
      <w:caps/>
      <w:color w:val="0A2F41" w:themeColor="accent1" w:themeShade="80"/>
    </w:rPr>
  </w:style>
  <w:style w:type="character" w:customStyle="1" w:styleId="Heading7Char">
    <w:name w:val="Heading 7 Char"/>
    <w:basedOn w:val="DefaultParagraphFont"/>
    <w:link w:val="Heading7"/>
    <w:uiPriority w:val="9"/>
    <w:semiHidden/>
    <w:rsid w:val="00AB1765"/>
    <w:rPr>
      <w:rFonts w:asciiTheme="majorHAnsi" w:eastAsiaTheme="majorEastAsia" w:hAnsiTheme="majorHAnsi" w:cstheme="majorBidi"/>
      <w:b/>
      <w:bCs/>
      <w:color w:val="0A2F41" w:themeColor="accent1" w:themeShade="80"/>
    </w:rPr>
  </w:style>
  <w:style w:type="character" w:customStyle="1" w:styleId="Heading8Char">
    <w:name w:val="Heading 8 Char"/>
    <w:basedOn w:val="DefaultParagraphFont"/>
    <w:link w:val="Heading8"/>
    <w:uiPriority w:val="9"/>
    <w:semiHidden/>
    <w:rsid w:val="00AB1765"/>
    <w:rPr>
      <w:rFonts w:asciiTheme="majorHAnsi" w:eastAsiaTheme="majorEastAsia" w:hAnsiTheme="majorHAnsi" w:cstheme="majorBidi"/>
      <w:b/>
      <w:bCs/>
      <w:i/>
      <w:iCs/>
      <w:color w:val="0A2F41" w:themeColor="accent1" w:themeShade="80"/>
    </w:rPr>
  </w:style>
  <w:style w:type="character" w:customStyle="1" w:styleId="Heading9Char">
    <w:name w:val="Heading 9 Char"/>
    <w:basedOn w:val="DefaultParagraphFont"/>
    <w:link w:val="Heading9"/>
    <w:uiPriority w:val="9"/>
    <w:semiHidden/>
    <w:rsid w:val="00AB1765"/>
    <w:rPr>
      <w:rFonts w:asciiTheme="majorHAnsi" w:eastAsiaTheme="majorEastAsia" w:hAnsiTheme="majorHAnsi" w:cstheme="majorBidi"/>
      <w:i/>
      <w:iCs/>
      <w:color w:val="0A2F41" w:themeColor="accent1" w:themeShade="80"/>
    </w:rPr>
  </w:style>
  <w:style w:type="paragraph" w:styleId="Title">
    <w:name w:val="Title"/>
    <w:basedOn w:val="Normal"/>
    <w:next w:val="Normal"/>
    <w:link w:val="TitleChar"/>
    <w:uiPriority w:val="10"/>
    <w:qFormat/>
    <w:rsid w:val="00AB1765"/>
    <w:pPr>
      <w:spacing w:after="0" w:line="204" w:lineRule="auto"/>
      <w:contextualSpacing/>
    </w:pPr>
    <w:rPr>
      <w:rFonts w:asciiTheme="majorHAnsi" w:eastAsiaTheme="majorEastAsia" w:hAnsiTheme="majorHAnsi" w:cstheme="majorBidi"/>
      <w:caps/>
      <w:color w:val="0E2841" w:themeColor="text2"/>
      <w:spacing w:val="-15"/>
      <w:sz w:val="72"/>
      <w:szCs w:val="72"/>
    </w:rPr>
  </w:style>
  <w:style w:type="character" w:customStyle="1" w:styleId="TitleChar">
    <w:name w:val="Title Char"/>
    <w:basedOn w:val="DefaultParagraphFont"/>
    <w:link w:val="Title"/>
    <w:uiPriority w:val="10"/>
    <w:rsid w:val="00AB1765"/>
    <w:rPr>
      <w:rFonts w:asciiTheme="majorHAnsi" w:eastAsiaTheme="majorEastAsia" w:hAnsiTheme="majorHAnsi" w:cstheme="majorBidi"/>
      <w:caps/>
      <w:color w:val="0E2841" w:themeColor="text2"/>
      <w:spacing w:val="-15"/>
      <w:sz w:val="72"/>
      <w:szCs w:val="72"/>
    </w:rPr>
  </w:style>
  <w:style w:type="paragraph" w:styleId="Subtitle">
    <w:name w:val="Subtitle"/>
    <w:basedOn w:val="Normal"/>
    <w:next w:val="Normal"/>
    <w:link w:val="SubtitleChar"/>
    <w:uiPriority w:val="11"/>
    <w:qFormat/>
    <w:rsid w:val="00AB1765"/>
    <w:pPr>
      <w:numPr>
        <w:ilvl w:val="1"/>
      </w:numPr>
      <w:spacing w:after="240" w:line="240" w:lineRule="auto"/>
    </w:pPr>
    <w:rPr>
      <w:rFonts w:asciiTheme="majorHAnsi" w:eastAsiaTheme="majorEastAsia" w:hAnsiTheme="majorHAnsi" w:cstheme="majorBidi"/>
      <w:color w:val="156082" w:themeColor="accent1"/>
      <w:sz w:val="28"/>
      <w:szCs w:val="28"/>
    </w:rPr>
  </w:style>
  <w:style w:type="character" w:customStyle="1" w:styleId="SubtitleChar">
    <w:name w:val="Subtitle Char"/>
    <w:basedOn w:val="DefaultParagraphFont"/>
    <w:link w:val="Subtitle"/>
    <w:uiPriority w:val="11"/>
    <w:rsid w:val="00AB1765"/>
    <w:rPr>
      <w:rFonts w:asciiTheme="majorHAnsi" w:eastAsiaTheme="majorEastAsia" w:hAnsiTheme="majorHAnsi" w:cstheme="majorBidi"/>
      <w:color w:val="156082" w:themeColor="accent1"/>
      <w:sz w:val="28"/>
      <w:szCs w:val="28"/>
    </w:rPr>
  </w:style>
  <w:style w:type="paragraph" w:styleId="Quote">
    <w:name w:val="Quote"/>
    <w:basedOn w:val="Normal"/>
    <w:next w:val="Normal"/>
    <w:link w:val="QuoteChar"/>
    <w:uiPriority w:val="29"/>
    <w:qFormat/>
    <w:rsid w:val="00AB1765"/>
    <w:pPr>
      <w:spacing w:before="120" w:after="120"/>
      <w:ind w:left="720"/>
    </w:pPr>
    <w:rPr>
      <w:color w:val="0E2841" w:themeColor="text2"/>
      <w:sz w:val="24"/>
      <w:szCs w:val="24"/>
    </w:rPr>
  </w:style>
  <w:style w:type="character" w:customStyle="1" w:styleId="QuoteChar">
    <w:name w:val="Quote Char"/>
    <w:basedOn w:val="DefaultParagraphFont"/>
    <w:link w:val="Quote"/>
    <w:uiPriority w:val="29"/>
    <w:rsid w:val="00AB1765"/>
    <w:rPr>
      <w:color w:val="0E2841" w:themeColor="text2"/>
      <w:sz w:val="24"/>
      <w:szCs w:val="24"/>
    </w:rPr>
  </w:style>
  <w:style w:type="paragraph" w:styleId="ListParagraph">
    <w:name w:val="List Paragraph"/>
    <w:basedOn w:val="Normal"/>
    <w:uiPriority w:val="34"/>
    <w:qFormat/>
    <w:rsid w:val="00AB1765"/>
    <w:pPr>
      <w:ind w:left="720"/>
      <w:contextualSpacing/>
    </w:pPr>
  </w:style>
  <w:style w:type="character" w:styleId="IntenseEmphasis">
    <w:name w:val="Intense Emphasis"/>
    <w:basedOn w:val="DefaultParagraphFont"/>
    <w:uiPriority w:val="21"/>
    <w:qFormat/>
    <w:rsid w:val="00AB1765"/>
    <w:rPr>
      <w:b/>
      <w:bCs/>
      <w:i/>
      <w:iCs/>
    </w:rPr>
  </w:style>
  <w:style w:type="paragraph" w:styleId="IntenseQuote">
    <w:name w:val="Intense Quote"/>
    <w:basedOn w:val="Normal"/>
    <w:next w:val="Normal"/>
    <w:link w:val="IntenseQuoteChar"/>
    <w:uiPriority w:val="30"/>
    <w:qFormat/>
    <w:rsid w:val="00AB1765"/>
    <w:pPr>
      <w:spacing w:before="100" w:beforeAutospacing="1" w:after="240" w:line="240" w:lineRule="auto"/>
      <w:ind w:left="720"/>
      <w:jc w:val="center"/>
    </w:pPr>
    <w:rPr>
      <w:rFonts w:asciiTheme="majorHAnsi" w:eastAsiaTheme="majorEastAsia" w:hAnsiTheme="majorHAnsi" w:cstheme="majorBidi"/>
      <w:color w:val="0E2841" w:themeColor="text2"/>
      <w:spacing w:val="-6"/>
      <w:sz w:val="32"/>
      <w:szCs w:val="32"/>
    </w:rPr>
  </w:style>
  <w:style w:type="character" w:customStyle="1" w:styleId="IntenseQuoteChar">
    <w:name w:val="Intense Quote Char"/>
    <w:basedOn w:val="DefaultParagraphFont"/>
    <w:link w:val="IntenseQuote"/>
    <w:uiPriority w:val="30"/>
    <w:rsid w:val="00AB1765"/>
    <w:rPr>
      <w:rFonts w:asciiTheme="majorHAnsi" w:eastAsiaTheme="majorEastAsia" w:hAnsiTheme="majorHAnsi" w:cstheme="majorBidi"/>
      <w:color w:val="0E2841" w:themeColor="text2"/>
      <w:spacing w:val="-6"/>
      <w:sz w:val="32"/>
      <w:szCs w:val="32"/>
    </w:rPr>
  </w:style>
  <w:style w:type="character" w:styleId="IntenseReference">
    <w:name w:val="Intense Reference"/>
    <w:basedOn w:val="DefaultParagraphFont"/>
    <w:uiPriority w:val="32"/>
    <w:qFormat/>
    <w:rsid w:val="00AB1765"/>
    <w:rPr>
      <w:b/>
      <w:bCs/>
      <w:smallCaps/>
      <w:color w:val="0E2841" w:themeColor="text2"/>
      <w:u w:val="single"/>
    </w:rPr>
  </w:style>
  <w:style w:type="paragraph" w:styleId="Caption">
    <w:name w:val="caption"/>
    <w:basedOn w:val="Normal"/>
    <w:next w:val="Normal"/>
    <w:uiPriority w:val="35"/>
    <w:semiHidden/>
    <w:unhideWhenUsed/>
    <w:qFormat/>
    <w:rsid w:val="00AB1765"/>
    <w:pPr>
      <w:spacing w:line="240" w:lineRule="auto"/>
    </w:pPr>
    <w:rPr>
      <w:b/>
      <w:bCs/>
      <w:smallCaps/>
      <w:color w:val="0E2841" w:themeColor="text2"/>
    </w:rPr>
  </w:style>
  <w:style w:type="character" w:styleId="Strong">
    <w:name w:val="Strong"/>
    <w:basedOn w:val="DefaultParagraphFont"/>
    <w:uiPriority w:val="22"/>
    <w:qFormat/>
    <w:rsid w:val="00AB1765"/>
    <w:rPr>
      <w:b/>
      <w:bCs/>
    </w:rPr>
  </w:style>
  <w:style w:type="character" w:styleId="Emphasis">
    <w:name w:val="Emphasis"/>
    <w:basedOn w:val="DefaultParagraphFont"/>
    <w:uiPriority w:val="20"/>
    <w:qFormat/>
    <w:rsid w:val="00AB1765"/>
    <w:rPr>
      <w:i/>
      <w:iCs/>
    </w:rPr>
  </w:style>
  <w:style w:type="paragraph" w:styleId="NoSpacing">
    <w:name w:val="No Spacing"/>
    <w:uiPriority w:val="1"/>
    <w:qFormat/>
    <w:rsid w:val="00AB1765"/>
    <w:pPr>
      <w:spacing w:after="0" w:line="240" w:lineRule="auto"/>
    </w:pPr>
  </w:style>
  <w:style w:type="character" w:styleId="SubtleEmphasis">
    <w:name w:val="Subtle Emphasis"/>
    <w:basedOn w:val="DefaultParagraphFont"/>
    <w:uiPriority w:val="19"/>
    <w:qFormat/>
    <w:rsid w:val="00AB1765"/>
    <w:rPr>
      <w:i/>
      <w:iCs/>
      <w:color w:val="595959" w:themeColor="text1" w:themeTint="A6"/>
    </w:rPr>
  </w:style>
  <w:style w:type="character" w:styleId="SubtleReference">
    <w:name w:val="Subtle Reference"/>
    <w:basedOn w:val="DefaultParagraphFont"/>
    <w:uiPriority w:val="31"/>
    <w:qFormat/>
    <w:rsid w:val="00AB1765"/>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AB1765"/>
    <w:rPr>
      <w:b/>
      <w:bCs/>
      <w:smallCaps/>
      <w:spacing w:val="10"/>
    </w:rPr>
  </w:style>
  <w:style w:type="paragraph" w:styleId="TOCHeading">
    <w:name w:val="TOC Heading"/>
    <w:basedOn w:val="Heading1"/>
    <w:next w:val="Normal"/>
    <w:uiPriority w:val="39"/>
    <w:semiHidden/>
    <w:unhideWhenUsed/>
    <w:qFormat/>
    <w:rsid w:val="00AB1765"/>
    <w:pPr>
      <w:outlineLvl w:val="9"/>
    </w:pPr>
  </w:style>
  <w:style w:type="paragraph" w:customStyle="1" w:styleId="EndNoteBibliographyTitle">
    <w:name w:val="EndNote Bibliography Title"/>
    <w:basedOn w:val="Normal"/>
    <w:link w:val="EndNoteBibliographyTitleChar"/>
    <w:rsid w:val="00AB1765"/>
    <w:pPr>
      <w:spacing w:after="0"/>
      <w:jc w:val="center"/>
    </w:pPr>
    <w:rPr>
      <w:rFonts w:ascii="Aptos" w:hAnsi="Aptos"/>
      <w:noProof/>
      <w:lang w:val="en-US"/>
    </w:rPr>
  </w:style>
  <w:style w:type="character" w:customStyle="1" w:styleId="EndNoteBibliographyTitleChar">
    <w:name w:val="EndNote Bibliography Title Char"/>
    <w:basedOn w:val="DefaultParagraphFont"/>
    <w:link w:val="EndNoteBibliographyTitle"/>
    <w:rsid w:val="00AB1765"/>
    <w:rPr>
      <w:rFonts w:ascii="Aptos" w:hAnsi="Aptos"/>
      <w:noProof/>
      <w:lang w:val="en-US"/>
    </w:rPr>
  </w:style>
  <w:style w:type="paragraph" w:customStyle="1" w:styleId="EndNoteBibliography">
    <w:name w:val="EndNote Bibliography"/>
    <w:basedOn w:val="Normal"/>
    <w:link w:val="EndNoteBibliographyChar"/>
    <w:rsid w:val="00AB1765"/>
    <w:pPr>
      <w:spacing w:line="240" w:lineRule="auto"/>
    </w:pPr>
    <w:rPr>
      <w:rFonts w:ascii="Aptos" w:hAnsi="Aptos"/>
      <w:noProof/>
      <w:lang w:val="en-US"/>
    </w:rPr>
  </w:style>
  <w:style w:type="character" w:customStyle="1" w:styleId="EndNoteBibliographyChar">
    <w:name w:val="EndNote Bibliography Char"/>
    <w:basedOn w:val="DefaultParagraphFont"/>
    <w:link w:val="EndNoteBibliography"/>
    <w:rsid w:val="00AB1765"/>
    <w:rPr>
      <w:rFonts w:ascii="Aptos" w:hAnsi="Aptos"/>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1807</Words>
  <Characters>11385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MARUM</Company>
  <LinksUpToDate>false</LinksUpToDate>
  <CharactersWithSpaces>13166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 Faust</dc:creator>
  <cp:keywords/>
  <dc:description/>
  <cp:lastModifiedBy>Johan Faust</cp:lastModifiedBy>
  <cp:revision>10</cp:revision>
  <dcterms:created xsi:type="dcterms:W3CDTF">2025-06-26T13:55:00Z</dcterms:created>
  <dcterms:modified xsi:type="dcterms:W3CDTF">2025-09-18T10:53:00Z</dcterms:modified>
</cp:coreProperties>
</file>