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DA4CC64" w14:textId="77777777" w:rsidR="001F443D" w:rsidRPr="00AD036A" w:rsidRDefault="001F443D" w:rsidP="001F443D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  <w:lang w:val="en-US"/>
        </w:rPr>
        <w:drawing>
          <wp:inline distT="0" distB="0" distL="0" distR="0" wp14:anchorId="7C8DD815" wp14:editId="68A7A7CB">
            <wp:extent cx="5943600" cy="3574415"/>
            <wp:effectExtent l="0" t="0" r="0" b="0"/>
            <wp:docPr id="1231339460" name="Picture 12" descr="A close-up of a graph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31339460" name="Picture 12" descr="A close-up of a graph&#10;&#10;AI-generated content may be incorrect.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574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6420DE5" w14:textId="77777777" w:rsidR="001F443D" w:rsidRPr="00AD036A" w:rsidRDefault="001F443D" w:rsidP="001F443D">
      <w:pPr>
        <w:pStyle w:val="Caption"/>
        <w:rPr>
          <w:color w:val="000000" w:themeColor="text1"/>
          <w:szCs w:val="24"/>
        </w:rPr>
      </w:pPr>
      <w:r w:rsidRPr="00AD036A">
        <w:rPr>
          <w:color w:val="000000" w:themeColor="text1"/>
          <w:szCs w:val="24"/>
        </w:rPr>
        <w:t>Supplemental Figure 1. Proteostatic toxins induced ISR activation</w:t>
      </w:r>
    </w:p>
    <w:p w14:paraId="7F1BBD70" w14:textId="77777777" w:rsidR="001F443D" w:rsidRDefault="001F443D" w:rsidP="001F443D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AD036A">
        <w:rPr>
          <w:rFonts w:ascii="Times New Roman" w:hAnsi="Times New Roman" w:cs="Times New Roman"/>
          <w:color w:val="000000" w:themeColor="text1"/>
          <w:sz w:val="24"/>
          <w:szCs w:val="24"/>
        </w:rPr>
        <w:t>Primary</w:t>
      </w:r>
      <w:r w:rsidRPr="00AD036A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</w:t>
      </w:r>
      <w:r w:rsidRPr="00AD036A">
        <w:rPr>
          <w:rFonts w:ascii="Times New Roman" w:hAnsi="Times New Roman" w:cs="Times New Roman"/>
          <w:color w:val="000000" w:themeColor="text1"/>
          <w:sz w:val="24"/>
          <w:szCs w:val="24"/>
        </w:rPr>
        <w:t>microglia</w:t>
      </w:r>
      <w:r w:rsidRPr="00AD036A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</w:t>
      </w:r>
      <w:r w:rsidRPr="00AD036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cultures derived from neonatal (p2-4) wildtype Fischer 344 rats (18 DIV) </w:t>
      </w:r>
      <w:r w:rsidRPr="00AD036A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(a) </w:t>
      </w:r>
      <w:r w:rsidRPr="00AD036A">
        <w:rPr>
          <w:rFonts w:ascii="Times New Roman" w:hAnsi="Times New Roman" w:cs="Times New Roman"/>
          <w:color w:val="000000" w:themeColor="text1"/>
          <w:sz w:val="24"/>
          <w:szCs w:val="24"/>
        </w:rPr>
        <w:t>microglia were treated with increasing concentrations of Oligomycin, Tunicamycin or MG132 for 8 hours and then lysed for protein. Levels of phosphorylated (p-) and unphosphorylated (t-) PERK, ATF4 and phosphorylated eIF2α (p-eIF2α) were assessed by Western blot and protein levels were quantified by densitometry. The dashed line indicates where the image has been spliced.</w:t>
      </w:r>
      <w:r w:rsidRPr="00AD036A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(b) </w:t>
      </w:r>
      <w:r w:rsidRPr="00AD036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PERK was reported as a phosphorylated to unphosphorylated species ratio. </w:t>
      </w:r>
      <w:r w:rsidRPr="00AD036A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(c)</w:t>
      </w:r>
      <w:r w:rsidRPr="00AD036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ATF4 and </w:t>
      </w:r>
      <w:r w:rsidRPr="00AD036A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(d) </w:t>
      </w:r>
      <w:r w:rsidRPr="00AD036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p-eIF2α were reported as a fold increase of the `untreated time point control following normalization to </w:t>
      </w:r>
      <w:r w:rsidRPr="00AD036A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β</w:t>
      </w:r>
      <w:r w:rsidRPr="00AD036A">
        <w:rPr>
          <w:rFonts w:ascii="Times New Roman" w:hAnsi="Times New Roman" w:cs="Times New Roman"/>
          <w:color w:val="000000" w:themeColor="text1"/>
          <w:sz w:val="24"/>
          <w:szCs w:val="24"/>
        </w:rPr>
        <w:t>-actin levels. Data was collected from three independent experiments (n = 3). All graphs are presented as mean ± SEM and analyzed by two-way ANOVA followed by Tukey’s multiple comparisons test (*p &lt; 0.05).</w:t>
      </w:r>
    </w:p>
    <w:p w14:paraId="663F7B2E" w14:textId="77777777" w:rsidR="001F443D" w:rsidRPr="00B90A07" w:rsidRDefault="001F443D" w:rsidP="001F443D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02DD14DB" wp14:editId="7675BD91">
            <wp:extent cx="5943600" cy="7409815"/>
            <wp:effectExtent l="0" t="0" r="0" b="0"/>
            <wp:docPr id="1662002321" name="Picture 13" descr="A screenshot of a graph showing different types of cell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62002321" name="Picture 13" descr="A screenshot of a graph showing different types of cells&#10;&#10;AI-generated content may be incorrect.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409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C65798A" w14:textId="77777777" w:rsidR="001F443D" w:rsidRPr="00AD036A" w:rsidRDefault="001F443D" w:rsidP="001F443D">
      <w:pPr>
        <w:pStyle w:val="Caption"/>
        <w:rPr>
          <w:color w:val="000000" w:themeColor="text1"/>
          <w:szCs w:val="24"/>
        </w:rPr>
      </w:pPr>
      <w:bookmarkStart w:id="0" w:name="_Toc171420508"/>
      <w:r w:rsidRPr="00AD036A">
        <w:rPr>
          <w:color w:val="000000" w:themeColor="text1"/>
          <w:szCs w:val="24"/>
        </w:rPr>
        <w:t>Supplemental Figure 2. ISR inhibition prevents cell death attributed to sustained proteostatic stress in microglia.</w:t>
      </w:r>
      <w:bookmarkEnd w:id="0"/>
    </w:p>
    <w:p w14:paraId="4BF47734" w14:textId="77777777" w:rsidR="001F443D" w:rsidRDefault="001F443D" w:rsidP="001F443D">
      <w:pPr>
        <w:pStyle w:val="Caption"/>
        <w:rPr>
          <w:b w:val="0"/>
          <w:bCs w:val="0"/>
          <w:color w:val="000000" w:themeColor="text1"/>
          <w:szCs w:val="24"/>
        </w:rPr>
      </w:pPr>
      <w:r w:rsidRPr="00AD036A">
        <w:rPr>
          <w:b w:val="0"/>
          <w:bCs w:val="0"/>
          <w:color w:val="000000" w:themeColor="text1"/>
          <w:szCs w:val="24"/>
        </w:rPr>
        <w:lastRenderedPageBreak/>
        <w:t xml:space="preserve">Primary microglia cultures derived from wild-type Fischer 344 rats (18 DIV) were treated with either </w:t>
      </w:r>
      <w:r w:rsidRPr="00AD036A">
        <w:rPr>
          <w:color w:val="000000" w:themeColor="text1"/>
          <w:szCs w:val="24"/>
        </w:rPr>
        <w:t>I</w:t>
      </w:r>
      <w:r w:rsidRPr="00AD036A">
        <w:rPr>
          <w:b w:val="0"/>
          <w:bCs w:val="0"/>
          <w:color w:val="000000" w:themeColor="text1"/>
          <w:szCs w:val="24"/>
        </w:rPr>
        <w:t>SRIB (0.1 μM) or GSK’141(0.05 μM)</w:t>
      </w:r>
      <w:r w:rsidRPr="00AD036A">
        <w:rPr>
          <w:color w:val="000000" w:themeColor="text1"/>
          <w:szCs w:val="24"/>
        </w:rPr>
        <w:t xml:space="preserve"> </w:t>
      </w:r>
      <w:r w:rsidRPr="00AD036A">
        <w:rPr>
          <w:b w:val="0"/>
          <w:bCs w:val="0"/>
          <w:color w:val="000000" w:themeColor="text1"/>
          <w:szCs w:val="24"/>
        </w:rPr>
        <w:t xml:space="preserve">for 2 hours before exposure to MG132 (0.1 μM) or Tun (0.5 μM), </w:t>
      </w:r>
      <w:r w:rsidRPr="00AD036A">
        <w:rPr>
          <w:b w:val="0"/>
          <w:bCs w:val="0"/>
          <w:szCs w:val="24"/>
        </w:rPr>
        <w:t xml:space="preserve">and cell viability was assessed by Calcein-AM/Ethidium homodimer staining at the indicated times. </w:t>
      </w:r>
      <w:r w:rsidRPr="00AD036A">
        <w:rPr>
          <w:b w:val="0"/>
          <w:bCs w:val="0"/>
          <w:color w:val="000000" w:themeColor="text1"/>
          <w:szCs w:val="24"/>
        </w:rPr>
        <w:t xml:space="preserve">Representative images of microglia pre-treated with ISRIB, GSK’141 or vehicle at 24 and 48 hours following </w:t>
      </w:r>
      <w:r w:rsidRPr="00AD036A">
        <w:rPr>
          <w:color w:val="000000" w:themeColor="text1"/>
          <w:szCs w:val="24"/>
        </w:rPr>
        <w:t xml:space="preserve">(A) </w:t>
      </w:r>
      <w:r w:rsidRPr="00AD036A">
        <w:rPr>
          <w:b w:val="0"/>
          <w:bCs w:val="0"/>
          <w:color w:val="000000" w:themeColor="text1"/>
          <w:szCs w:val="24"/>
        </w:rPr>
        <w:t xml:space="preserve">MG132, </w:t>
      </w:r>
      <w:r w:rsidRPr="00AD036A">
        <w:rPr>
          <w:color w:val="000000" w:themeColor="text1"/>
          <w:szCs w:val="24"/>
        </w:rPr>
        <w:t xml:space="preserve">(B) </w:t>
      </w:r>
      <w:r w:rsidRPr="00AD036A">
        <w:rPr>
          <w:b w:val="0"/>
          <w:bCs w:val="0"/>
          <w:color w:val="000000" w:themeColor="text1"/>
          <w:szCs w:val="24"/>
        </w:rPr>
        <w:t xml:space="preserve">Tun and </w:t>
      </w:r>
      <w:r w:rsidRPr="00AD036A">
        <w:rPr>
          <w:color w:val="000000" w:themeColor="text1"/>
          <w:szCs w:val="24"/>
        </w:rPr>
        <w:t xml:space="preserve">(C) </w:t>
      </w:r>
      <w:r w:rsidRPr="00AD036A">
        <w:rPr>
          <w:b w:val="0"/>
          <w:bCs w:val="0"/>
          <w:color w:val="000000" w:themeColor="text1"/>
          <w:szCs w:val="24"/>
        </w:rPr>
        <w:t xml:space="preserve">control cells with live Calcein-AM (green) and dead ethidium homodimer-1 (red). Percent survival was calculated as the fraction of viable cells to the total number of cells within each 10x field and averaged across three technical replicates per biological replicate (n = 4). A mixed-effects analysis, followed by Tukey’s multiple comparisons test, determined the reported interaction effects of treatment and time. </w:t>
      </w:r>
    </w:p>
    <w:p w14:paraId="1EA0EA56" w14:textId="77777777" w:rsidR="00DE6AE2" w:rsidRPr="001F443D" w:rsidRDefault="00DE6AE2">
      <w:pPr>
        <w:rPr>
          <w:lang w:val="en-US"/>
        </w:rPr>
      </w:pPr>
    </w:p>
    <w:sectPr w:rsidR="00DE6AE2" w:rsidRPr="001F443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443D"/>
    <w:rsid w:val="00195413"/>
    <w:rsid w:val="001F443D"/>
    <w:rsid w:val="003D0186"/>
    <w:rsid w:val="007278E4"/>
    <w:rsid w:val="00A3738C"/>
    <w:rsid w:val="00A80D82"/>
    <w:rsid w:val="00BC6C35"/>
    <w:rsid w:val="00CB270D"/>
    <w:rsid w:val="00CF7583"/>
    <w:rsid w:val="00DE6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F47C23"/>
  <w15:chartTrackingRefBased/>
  <w15:docId w15:val="{A29DFDE9-67F6-4988-9865-ACC76E7C68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F443D"/>
    <w:pPr>
      <w:spacing w:line="259" w:lineRule="auto"/>
    </w:pPr>
    <w:rPr>
      <w:kern w:val="0"/>
      <w:sz w:val="22"/>
      <w:szCs w:val="22"/>
      <w:lang w:val="en-CA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1F443D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F443D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F443D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val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F443D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F443D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F443D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:lang w:val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F443D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:lang w:val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F443D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:lang w:val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F443D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:lang w:val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F443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F443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F443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F443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F443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F443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F443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F443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F443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F443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1F443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F443D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1F443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F443D"/>
    <w:pPr>
      <w:spacing w:before="160" w:line="278" w:lineRule="auto"/>
      <w:jc w:val="center"/>
    </w:pPr>
    <w:rPr>
      <w:i/>
      <w:iCs/>
      <w:color w:val="404040" w:themeColor="text1" w:themeTint="BF"/>
      <w:kern w:val="2"/>
      <w:sz w:val="24"/>
      <w:szCs w:val="24"/>
      <w:lang w:val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1F443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F443D"/>
    <w:pPr>
      <w:spacing w:line="278" w:lineRule="auto"/>
      <w:ind w:left="720"/>
      <w:contextualSpacing/>
    </w:pPr>
    <w:rPr>
      <w:kern w:val="2"/>
      <w:sz w:val="24"/>
      <w:szCs w:val="24"/>
      <w:lang w:val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1F443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F443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F443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F443D"/>
    <w:rPr>
      <w:b/>
      <w:bCs/>
      <w:smallCaps/>
      <w:color w:val="0F4761" w:themeColor="accent1" w:themeShade="BF"/>
      <w:spacing w:val="5"/>
    </w:rPr>
  </w:style>
  <w:style w:type="paragraph" w:styleId="Caption">
    <w:name w:val="caption"/>
    <w:basedOn w:val="Normal"/>
    <w:next w:val="Normal"/>
    <w:uiPriority w:val="99"/>
    <w:qFormat/>
    <w:rsid w:val="001F443D"/>
    <w:pPr>
      <w:spacing w:before="240" w:after="0" w:line="360" w:lineRule="auto"/>
    </w:pPr>
    <w:rPr>
      <w:rFonts w:ascii="Times New Roman" w:eastAsia="Times New Roman" w:hAnsi="Times New Roman" w:cs="Times New Roman"/>
      <w:b/>
      <w:bCs/>
      <w:sz w:val="24"/>
      <w:szCs w:val="20"/>
      <w:lang w:val="en-US" w:eastAsia="en-C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285</Words>
  <Characters>1625</Characters>
  <Application>Microsoft Office Word</Application>
  <DocSecurity>0</DocSecurity>
  <Lines>13</Lines>
  <Paragraphs>3</Paragraphs>
  <ScaleCrop>false</ScaleCrop>
  <Company>Springer Nature</Company>
  <LinksUpToDate>false</LinksUpToDate>
  <CharactersWithSpaces>1907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2025-09-22T04:44:00Z</dcterms:created>
  <dcterms:modified xsi:type="dcterms:W3CDTF">2025-09-22T04:44:00Z</dcterms:modified>
</cp:coreProperties>
</file>