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line="48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Table of Contents of the Supplementary materials</w:t>
      </w:r>
    </w:p>
    <w:sdt>
      <w:sdtPr>
        <w:id w:val="67497814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50"/>
            </w:tabs>
            <w:spacing w:after="100" w:before="0" w:line="48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heading=h.knnqa1839t1j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Tables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dot" w:pos="9350"/>
            </w:tabs>
            <w:spacing w:after="100" w:before="0" w:line="480" w:lineRule="auto"/>
            <w:ind w:left="240" w:right="0" w:firstLine="0"/>
            <w:jc w:val="left"/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</w:rPr>
          </w:pPr>
          <w:hyperlink w:anchor="_heading=h.pf22y2682y04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Table 1:</w:t>
            </w:r>
          </w:hyperlink>
          <w:hyperlink w:anchor="_heading=h.pf22y2682y04"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Search Strategy.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dot" w:pos="9350"/>
            </w:tabs>
            <w:spacing w:after="100" w:before="0" w:line="480" w:lineRule="auto"/>
            <w:ind w:left="240" w:right="-90" w:firstLine="0"/>
            <w:jc w:val="left"/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</w:rPr>
          </w:pPr>
          <w:hyperlink w:anchor="_heading=h.2wup7f423qb3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Table 2: </w:t>
            </w:r>
          </w:hyperlink>
          <w:hyperlink w:anchor="_heading=h.2wup7f423qb3"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Quality assessment of the included studies using Newcastle Ottawa scale (NOS) for cross-sectional and cohort studies.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50"/>
            </w:tabs>
            <w:spacing w:after="100" w:before="0" w:line="48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</w:rPr>
          </w:pPr>
          <w:hyperlink w:anchor="_heading=h.x82tjvvpod71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Figures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dot" w:pos="9350"/>
            </w:tabs>
            <w:spacing w:after="100" w:before="0" w:line="480" w:lineRule="auto"/>
            <w:ind w:left="240" w:right="0" w:firstLine="0"/>
            <w:jc w:val="left"/>
            <w:rPr>
              <w:rFonts w:ascii="Times New Roman" w:cs="Times New Roman" w:eastAsia="Times New Roman" w:hAnsi="Times New Roman"/>
            </w:rPr>
          </w:pPr>
          <w:hyperlink w:anchor="_heading=h.3picuux0upx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Figure 1: </w:t>
            </w:r>
          </w:hyperlink>
          <w:hyperlink w:anchor="_heading=h.3picuux0upx"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Funnel plot asymmetry assessing publication bias</w:t>
              <w:tab/>
              <w:t xml:space="preserve"> 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dot" w:pos="9350"/>
            </w:tabs>
            <w:spacing w:after="100" w:before="0" w:line="480" w:lineRule="auto"/>
            <w:ind w:left="240" w:right="0" w:firstLine="0"/>
            <w:jc w:val="left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rtl w:val="0"/>
            </w:rPr>
            <w:t xml:space="preserve">Figure 2:</w:t>
          </w:r>
          <w:r w:rsidDel="00000000" w:rsidR="00000000" w:rsidRPr="00000000">
            <w:rPr>
              <w:rFonts w:ascii="Times New Roman" w:cs="Times New Roman" w:eastAsia="Times New Roman" w:hAnsi="Times New Roman"/>
              <w:rtl w:val="0"/>
            </w:rPr>
            <w:t xml:space="preserve"> Forest plot of the prevalence of Impostor phenomenon (IP) by sex using a random-effects model……………………………………………………….…………….... 6</w:t>
          </w:r>
        </w:p>
        <w:p w:rsidR="00000000" w:rsidDel="00000000" w:rsidP="00000000" w:rsidRDefault="00000000" w:rsidRPr="00000000" w14:paraId="0000000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dot" w:pos="9350"/>
            </w:tabs>
            <w:spacing w:after="100" w:before="0" w:line="480" w:lineRule="auto"/>
            <w:ind w:left="240" w:right="0" w:firstLine="0"/>
            <w:jc w:val="left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rtl w:val="0"/>
            </w:rPr>
            <w:t xml:space="preserve">Figure 3: </w:t>
          </w:r>
          <w:r w:rsidDel="00000000" w:rsidR="00000000" w:rsidRPr="00000000">
            <w:rPr>
              <w:rFonts w:ascii="Times New Roman" w:cs="Times New Roman" w:eastAsia="Times New Roman" w:hAnsi="Times New Roman"/>
              <w:rtl w:val="0"/>
            </w:rPr>
            <w:t xml:space="preserve">Forest plot of the prevalence of Impostor phenomenon (IP) by academic year using a random-effects model……………………………………………………….. 7</w:t>
          </w:r>
        </w:p>
        <w:p w:rsidR="00000000" w:rsidDel="00000000" w:rsidP="00000000" w:rsidRDefault="00000000" w:rsidRPr="00000000" w14:paraId="0000000A">
          <w:pPr>
            <w:tabs>
              <w:tab w:val="right" w:leader="dot" w:pos="9350"/>
            </w:tabs>
            <w:spacing w:after="100" w:line="480" w:lineRule="auto"/>
            <w:ind w:left="240" w:firstLine="0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rtl w:val="0"/>
            </w:rPr>
            <w:t xml:space="preserve">Figure 4: </w:t>
          </w:r>
          <w:r w:rsidDel="00000000" w:rsidR="00000000" w:rsidRPr="00000000">
            <w:rPr>
              <w:rFonts w:ascii="Times New Roman" w:cs="Times New Roman" w:eastAsia="Times New Roman" w:hAnsi="Times New Roman"/>
              <w:rtl w:val="0"/>
            </w:rPr>
            <w:t xml:space="preserve">Forest plot of the prevalence of Impostor phenomenon (IP) by region using a random-effects model…………………………………………………………………….. 8</w:t>
          </w:r>
        </w:p>
        <w:p w:rsidR="00000000" w:rsidDel="00000000" w:rsidP="00000000" w:rsidRDefault="00000000" w:rsidRPr="00000000" w14:paraId="0000000B">
          <w:pPr>
            <w:tabs>
              <w:tab w:val="right" w:leader="dot" w:pos="9350"/>
            </w:tabs>
            <w:spacing w:after="100" w:line="480" w:lineRule="auto"/>
            <w:ind w:left="240" w:firstLine="0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rtl w:val="0"/>
            </w:rPr>
            <w:t xml:space="preserve">Figure 5: </w:t>
          </w:r>
          <w:r w:rsidDel="00000000" w:rsidR="00000000" w:rsidRPr="00000000">
            <w:rPr>
              <w:rFonts w:ascii="Times New Roman" w:cs="Times New Roman" w:eastAsia="Times New Roman" w:hAnsi="Times New Roman"/>
              <w:rtl w:val="0"/>
            </w:rPr>
            <w:t xml:space="preserve">Forest plot of the prevalence of Impostor phenomenon (IP) by tool using a random-effects model………………………………………………………………………. 9</w:t>
          </w:r>
        </w:p>
        <w:p w:rsidR="00000000" w:rsidDel="00000000" w:rsidP="00000000" w:rsidRDefault="00000000" w:rsidRPr="00000000" w14:paraId="0000000C">
          <w:pPr>
            <w:tabs>
              <w:tab w:val="right" w:leader="dot" w:pos="9350"/>
            </w:tabs>
            <w:spacing w:after="100" w:line="480" w:lineRule="auto"/>
            <w:ind w:left="240" w:firstLine="0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rtl w:val="0"/>
            </w:rPr>
            <w:t xml:space="preserve">Figure 6: </w:t>
          </w:r>
          <w:r w:rsidDel="00000000" w:rsidR="00000000" w:rsidRPr="00000000">
            <w:rPr>
              <w:rFonts w:ascii="Times New Roman" w:cs="Times New Roman" w:eastAsia="Times New Roman" w:hAnsi="Times New Roman"/>
              <w:rtl w:val="0"/>
            </w:rPr>
            <w:t xml:space="preserve">Forest plot of the prevalence of Impostor phenomenon (IP) by quality using a random-effects model…………………………………………………………………….10</w:t>
          </w:r>
        </w:p>
        <w:p w:rsidR="00000000" w:rsidDel="00000000" w:rsidP="00000000" w:rsidRDefault="00000000" w:rsidRPr="00000000" w14:paraId="0000000D">
          <w:pPr>
            <w:tabs>
              <w:tab w:val="right" w:leader="dot" w:pos="9350"/>
            </w:tabs>
            <w:spacing w:after="100" w:line="480" w:lineRule="auto"/>
            <w:ind w:left="240" w:firstLine="0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rtl w:val="0"/>
            </w:rPr>
            <w:t xml:space="preserve">Figure 7: </w:t>
          </w:r>
          <w:r w:rsidDel="00000000" w:rsidR="00000000" w:rsidRPr="00000000">
            <w:rPr>
              <w:rFonts w:ascii="Times New Roman" w:cs="Times New Roman" w:eastAsia="Times New Roman" w:hAnsi="Times New Roman"/>
              <w:rtl w:val="0"/>
            </w:rPr>
            <w:t xml:space="preserve">Baujat plot identifying influential studies…………..………………………… 11</w:t>
          </w:r>
        </w:p>
        <w:p w:rsidR="00000000" w:rsidDel="00000000" w:rsidP="00000000" w:rsidRDefault="00000000" w:rsidRPr="00000000" w14:paraId="0000000E">
          <w:pPr>
            <w:tabs>
              <w:tab w:val="right" w:leader="dot" w:pos="9350"/>
            </w:tabs>
            <w:spacing w:after="100" w:line="480" w:lineRule="auto"/>
            <w:ind w:left="240" w:firstLine="0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rtl w:val="0"/>
            </w:rPr>
            <w:t xml:space="preserve">Figure 8: </w:t>
          </w:r>
          <w:r w:rsidDel="00000000" w:rsidR="00000000" w:rsidRPr="00000000">
            <w:rPr>
              <w:rFonts w:ascii="Times New Roman" w:cs="Times New Roman" w:eastAsia="Times New Roman" w:hAnsi="Times New Roman"/>
              <w:rtl w:val="0"/>
            </w:rPr>
            <w:t xml:space="preserve">Influence diagnostics plot……………………………...……………………… 12</w:t>
          </w:r>
        </w:p>
        <w:p w:rsidR="00000000" w:rsidDel="00000000" w:rsidP="00000000" w:rsidRDefault="00000000" w:rsidRPr="00000000" w14:paraId="0000000F">
          <w:pPr>
            <w:tabs>
              <w:tab w:val="right" w:leader="dot" w:pos="9350"/>
            </w:tabs>
            <w:spacing w:after="100" w:line="480" w:lineRule="auto"/>
            <w:ind w:left="240" w:firstLine="0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rtl w:val="0"/>
            </w:rPr>
            <w:t xml:space="preserve">Figure 9: </w:t>
          </w:r>
          <w:r w:rsidDel="00000000" w:rsidR="00000000" w:rsidRPr="00000000">
            <w:rPr>
              <w:rFonts w:ascii="Times New Roman" w:cs="Times New Roman" w:eastAsia="Times New Roman" w:hAnsi="Times New Roman"/>
              <w:rtl w:val="0"/>
            </w:rPr>
            <w:t xml:space="preserve">Forest plot of the sensitivity analysis after removing outliers</w:t>
          </w:r>
          <w:r w:rsidDel="00000000" w:rsidR="00000000" w:rsidRPr="00000000">
            <w:rPr>
              <w:rFonts w:ascii="Times New Roman" w:cs="Times New Roman" w:eastAsia="Times New Roman" w:hAnsi="Times New Roman"/>
              <w:rtl w:val="0"/>
            </w:rPr>
            <w:t xml:space="preserve">...…………….. 13</w:t>
          </w:r>
        </w:p>
        <w:p w:rsidR="00000000" w:rsidDel="00000000" w:rsidP="00000000" w:rsidRDefault="00000000" w:rsidRPr="00000000" w14:paraId="00000010">
          <w:pPr>
            <w:tabs>
              <w:tab w:val="right" w:leader="dot" w:pos="9350"/>
            </w:tabs>
            <w:spacing w:after="100" w:line="480" w:lineRule="auto"/>
            <w:ind w:left="240" w:firstLine="0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rtl w:val="0"/>
            </w:rPr>
            <w:t xml:space="preserve">Figure 10: </w:t>
          </w:r>
          <w:r w:rsidDel="00000000" w:rsidR="00000000" w:rsidRPr="00000000">
            <w:rPr>
              <w:rFonts w:ascii="Times New Roman" w:cs="Times New Roman" w:eastAsia="Times New Roman" w:hAnsi="Times New Roman"/>
              <w:rtl w:val="0"/>
            </w:rPr>
            <w:t xml:space="preserve">Leave-one-out sensitivity analysis</w:t>
          </w:r>
          <w:r w:rsidDel="00000000" w:rsidR="00000000" w:rsidRPr="00000000">
            <w:rPr>
              <w:rFonts w:ascii="Times New Roman" w:cs="Times New Roman" w:eastAsia="Times New Roman" w:hAnsi="Times New Roman"/>
              <w:rtl w:val="0"/>
            </w:rPr>
            <w:t xml:space="preserve">...……………………………………….. 14</w:t>
          </w:r>
        </w:p>
        <w:p w:rsidR="00000000" w:rsidDel="00000000" w:rsidP="00000000" w:rsidRDefault="00000000" w:rsidRPr="00000000" w14:paraId="00000011">
          <w:pPr>
            <w:spacing w:line="480" w:lineRule="auto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2">
      <w:pPr>
        <w:spacing w:line="48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spacing w:line="480" w:lineRule="auto"/>
        <w:rPr>
          <w:rFonts w:ascii="Times New Roman" w:cs="Times New Roman" w:eastAsia="Times New Roman" w:hAnsi="Times New Roman"/>
        </w:rPr>
      </w:pPr>
      <w:bookmarkStart w:colFirst="0" w:colLast="0" w:name="_heading=h.knnqa1839t1j" w:id="0"/>
      <w:bookmarkEnd w:id="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Tables</w:t>
      </w:r>
    </w:p>
    <w:p w:rsidR="00000000" w:rsidDel="00000000" w:rsidP="00000000" w:rsidRDefault="00000000" w:rsidRPr="00000000" w14:paraId="00000014">
      <w:pPr>
        <w:pStyle w:val="Heading2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pf22y2682y04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Table 1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Search Strategy.</w:t>
      </w:r>
      <w:r w:rsidDel="00000000" w:rsidR="00000000" w:rsidRPr="00000000">
        <w:rPr>
          <w:rtl w:val="0"/>
        </w:rPr>
      </w:r>
    </w:p>
    <w:tbl>
      <w:tblPr>
        <w:tblStyle w:val="Table1"/>
        <w:tblW w:w="11624.0" w:type="dxa"/>
        <w:jc w:val="left"/>
        <w:tblInd w:w="-113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3"/>
        <w:gridCol w:w="9781"/>
        <w:tblGridChange w:id="0">
          <w:tblGrid>
            <w:gridCol w:w="1843"/>
            <w:gridCol w:w="978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Database</w:t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Search strategy</w:t>
            </w:r>
          </w:p>
        </w:tc>
      </w:tr>
      <w:tr>
        <w:trPr>
          <w:cantSplit w:val="0"/>
          <w:trHeight w:val="333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PubMed &amp;</w:t>
            </w:r>
          </w:p>
          <w:p w:rsidR="00000000" w:rsidDel="00000000" w:rsidP="00000000" w:rsidRDefault="00000000" w:rsidRPr="00000000" w14:paraId="00000018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CINHAL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before="240"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("impostor phenomenon" OR "imposter phenomenon" OR "impostor syndrome" OR "imposter syndrome" OR impostorism OR imposterism) AND ("medical student*" OR "medical education" OR "medical trainee*" OR "medical school" OR "medical undergraduate*" OR "clinical student*" OR "future physician*" OR "physician trainee*" OR "health profession student*" OR "medical learner*")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Web of Science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after="240" w:before="240"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(TS= ("impostor phenomenon" OR "imposter phenomenon" OR "impostor syndrome" OR "imposter syndrome" OR impostorism OR imposterism) OR AB=("impostor phenomenon" OR "imposter phenomenon" OR "impostor syndrome" OR "imposter syndrome" OR impostorism OR imposterism) OR KP=("impostor phenomenon" OR "imposter phenomenon" OR "impostor syndrome" OR "imposter syndrome" OR impostorism OR imposterism)) AND (TS= ("medical student*" OR "medical education" OR "medical trainee*" OR "medical school" OR "medical undergraduate*" OR "clinical student*" OR "future physician*" OR "physician trainee*" OR "health profession student*" OR "medical learner*") OR AB=("medical student*" OR "medical education" OR "medical trainee*" OR "medical school" OR "medical undergraduate*" OR "clinical student*" OR "future physician*" OR "physician trainee*" OR "health profession student*" OR "medical learner*") OR KP=("medical student*" OR "medical education" OR "medical trainee*" OR "medical school" OR "medical undergraduate*" OR "clinical student*" OR "future physician*" OR "physician trainee*" OR "health profession student*" OR "medical learner*"))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6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Scopus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spacing w:after="240" w:before="240"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TITLE-ABS-KEY("Impostor" OR "Imposter" OR "Impostor's" OR "Imposter's" OR "Impostorism" OR "Imposterism")</w:t>
            </w:r>
          </w:p>
          <w:p w:rsidR="00000000" w:rsidDel="00000000" w:rsidP="00000000" w:rsidRDefault="00000000" w:rsidRPr="00000000" w14:paraId="0000001E">
            <w:pPr>
              <w:spacing w:after="240" w:before="240" w:line="4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AND  </w:t>
            </w:r>
          </w:p>
          <w:p w:rsidR="00000000" w:rsidDel="00000000" w:rsidP="00000000" w:rsidRDefault="00000000" w:rsidRPr="00000000" w14:paraId="0000001F">
            <w:pPr>
              <w:spacing w:after="240" w:before="240" w:line="48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TITLE-ABS-KEY("Medical student" OR "Medical students" OR "Medical education" OR "Medical trainee" OR "Medical trainees" OR "Medical school" OR "Medical undergraduate*" OR "Clinical student*" OR "Future physician*" OR "Physician trainee*" OR "Health profession student*" OR "Medical learner*")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pStyle w:val="Heading2"/>
        <w:spacing w:before="200" w:line="48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2wup7f423qb3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Table 2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Quality assessment of the included studies using Newcastle Ottawa scale (NOS) for cross-sectional and cohort studies.</w:t>
      </w:r>
      <w:r w:rsidDel="00000000" w:rsidR="00000000" w:rsidRPr="00000000">
        <w:rPr>
          <w:rtl w:val="0"/>
        </w:rPr>
      </w:r>
    </w:p>
    <w:tbl>
      <w:tblPr>
        <w:tblStyle w:val="Table2"/>
        <w:tblW w:w="11913.000000000002" w:type="dxa"/>
        <w:jc w:val="left"/>
        <w:tblInd w:w="-1281.0" w:type="dxa"/>
        <w:tblLayout w:type="fixed"/>
        <w:tblLook w:val="0400"/>
      </w:tblPr>
      <w:tblGrid>
        <w:gridCol w:w="3551"/>
        <w:gridCol w:w="1558"/>
        <w:gridCol w:w="1984"/>
        <w:gridCol w:w="1276"/>
        <w:gridCol w:w="1276"/>
        <w:gridCol w:w="2268"/>
        <w:tblGridChange w:id="0">
          <w:tblGrid>
            <w:gridCol w:w="3551"/>
            <w:gridCol w:w="1558"/>
            <w:gridCol w:w="1984"/>
            <w:gridCol w:w="1276"/>
            <w:gridCol w:w="1276"/>
            <w:gridCol w:w="2268"/>
          </w:tblGrid>
        </w:tblGridChange>
      </w:tblGrid>
      <w:tr>
        <w:trPr>
          <w:cantSplit w:val="0"/>
          <w:trHeight w:val="552" w:hRule="atLeast"/>
          <w:tblHeader w:val="0"/>
        </w:trPr>
        <w:tc>
          <w:tcPr>
            <w:tcBorders>
              <w:top w:color="000000" w:space="0" w:sz="4" w:val="single"/>
              <w:bottom w:color="000000" w:space="0" w:sz="12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1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  Study ID</w:t>
            </w:r>
          </w:p>
          <w:p w:rsidR="00000000" w:rsidDel="00000000" w:rsidP="00000000" w:rsidRDefault="00000000" w:rsidRPr="00000000" w14:paraId="0000002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          Domain</w:t>
            </w:r>
          </w:p>
          <w:p w:rsidR="00000000" w:rsidDel="00000000" w:rsidP="00000000" w:rsidRDefault="00000000" w:rsidRPr="00000000" w14:paraId="00000023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Selection</w:t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Comparability</w:t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Outcome</w:t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Overall</w:t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Overall decision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Houseknecht et al.; 2019*</w:t>
            </w:r>
          </w:p>
        </w:tc>
        <w:tc>
          <w:tcPr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Good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Rosenthal et a.; 2021*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Good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Tran et al.; 2024*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Moderate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Choron et al.; 2022*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Moderate-Good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Addae-Konadu et al.; 2021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Al Lawati et al.; 2023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Good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Alok et al.; 2024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Poor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Alsaleemet al.; 2021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Good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Alzufari et al.; 2024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8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Good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Brennan-Wydra et al.; 2021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Good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Buathong et al.; 2024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Camara et al.; 2022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Clark et al.; 2024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5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Poor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De et al.; 2024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B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Good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Diaconescu et al.; 2024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8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Good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El-Setouhy et al.; 2024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Good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9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Elnaggar et al.; 2023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Franchi et al.; 2022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Henning et al.; 1998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9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B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Herța et al.; 2024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Poor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1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Holliday et al.; 2019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3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7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Hu et al.; 2019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9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Khalil et al.; 2024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E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1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Good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3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Kim et al.; 2024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7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9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Klen et al.; 2023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B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D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E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F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Kristofferson et al.; 2024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3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5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Levant et al.; 2020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7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9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B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Levant et al.; 2020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D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E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F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1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Mashhadi et al.; 2022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3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5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7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Naser et al.; 2022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9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B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D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Neufeld et al.; 2022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E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F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1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Good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3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Neufeld et al.; 2024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5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7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9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Ogunyemi et al.; 2022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B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D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E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Good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F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Priya et al.; 2024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1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5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Qureshi et al.; 2017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7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9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Rice et al.; 2023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D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1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Sawant et al.; 2023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3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5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7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Shill-Russell et al.; 2022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9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B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D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Shinawatra et al.; 2023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E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F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1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3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Shreffler et al.; 2020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5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7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9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Sivananthajothy et al.; 2024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B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D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E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F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Vilchez-Cornejo et al.; 2023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1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3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5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Vilwok et al.; 2016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7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9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Good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B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Wang et al.; 2023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D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E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F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Satisfactory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1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Wrench et al.; 2024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3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5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Good quality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7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Gupta el al.; 2025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9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B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Good quality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D">
      <w:pPr>
        <w:spacing w:line="48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tabs>
          <w:tab w:val="left" w:leader="none" w:pos="7640"/>
        </w:tabs>
        <w:spacing w:line="48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line="48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Style w:val="Heading1"/>
        <w:spacing w:line="480" w:lineRule="auto"/>
        <w:rPr>
          <w:rFonts w:ascii="Times New Roman" w:cs="Times New Roman" w:eastAsia="Times New Roman" w:hAnsi="Times New Roman"/>
        </w:rPr>
      </w:pPr>
      <w:bookmarkStart w:colFirst="0" w:colLast="0" w:name="_heading=h.x82tjvvpod71" w:id="3"/>
      <w:bookmarkEnd w:id="3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Figures</w:t>
      </w:r>
    </w:p>
    <w:p w:rsidR="00000000" w:rsidDel="00000000" w:rsidP="00000000" w:rsidRDefault="00000000" w:rsidRPr="00000000" w14:paraId="00000141">
      <w:pPr>
        <w:spacing w:line="48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4660900" cy="3187700"/>
            <wp:effectExtent b="0" l="0" r="0" t="0"/>
            <wp:docPr id="134419597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18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after="200" w:line="480" w:lineRule="auto"/>
        <w:jc w:val="center"/>
        <w:rPr>
          <w:rFonts w:ascii="Times New Roman" w:cs="Times New Roman" w:eastAsia="Times New Roman" w:hAnsi="Times New Roman"/>
          <w:i w:val="1"/>
          <w:color w:val="0e284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e2841"/>
          <w:rtl w:val="0"/>
        </w:rPr>
        <w:t xml:space="preserve">Figure S1. Funnel plot assessing publication bias</w:t>
      </w:r>
    </w:p>
    <w:p w:rsidR="00000000" w:rsidDel="00000000" w:rsidP="00000000" w:rsidRDefault="00000000" w:rsidRPr="00000000" w14:paraId="00000143">
      <w:pPr>
        <w:spacing w:after="200" w:line="480" w:lineRule="auto"/>
        <w:jc w:val="center"/>
        <w:rPr>
          <w:rFonts w:ascii="Times New Roman" w:cs="Times New Roman" w:eastAsia="Times New Roman" w:hAnsi="Times New Roman"/>
          <w:i w:val="1"/>
          <w:color w:val="0e28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line="48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4826000" cy="6946900"/>
            <wp:effectExtent b="0" l="0" r="0" t="0"/>
            <wp:docPr id="134419596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694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after="200" w:line="480" w:lineRule="auto"/>
        <w:jc w:val="center"/>
        <w:rPr>
          <w:rFonts w:ascii="Times New Roman" w:cs="Times New Roman" w:eastAsia="Times New Roman" w:hAnsi="Times New Roman"/>
          <w:i w:val="1"/>
          <w:color w:val="0e284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e2841"/>
          <w:rtl w:val="0"/>
        </w:rPr>
        <w:t xml:space="preserve">Figure S2. Forest plot of the prevalence of Impostor phenomenon (IP) by sex using a random-effects model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line="480" w:lineRule="auto"/>
        <w:jc w:val="center"/>
        <w:rPr>
          <w:rFonts w:ascii="Times New Roman" w:cs="Times New Roman" w:eastAsia="Times New Roman" w:hAnsi="Times New Roman"/>
          <w:b w:val="1"/>
          <w:color w:val="0e284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e2841"/>
        </w:rPr>
        <w:drawing>
          <wp:inline distB="114300" distT="114300" distL="114300" distR="114300">
            <wp:extent cx="3158933" cy="6432897"/>
            <wp:effectExtent b="0" l="0" r="0" t="0"/>
            <wp:docPr id="134419596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933" cy="64328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after="200" w:line="480" w:lineRule="auto"/>
        <w:jc w:val="center"/>
        <w:rPr>
          <w:rFonts w:ascii="Times New Roman" w:cs="Times New Roman" w:eastAsia="Times New Roman" w:hAnsi="Times New Roman"/>
          <w:b w:val="1"/>
          <w:i w:val="1"/>
          <w:color w:val="0e284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e2841"/>
          <w:rtl w:val="0"/>
        </w:rPr>
        <w:t xml:space="preserve">Figure S3. Forest plot of the prevalence of Impostor phenomenon (IP) by academic year using a random-effects model</w:t>
      </w:r>
    </w:p>
    <w:p w:rsidR="00000000" w:rsidDel="00000000" w:rsidP="00000000" w:rsidRDefault="00000000" w:rsidRPr="00000000" w14:paraId="00000149">
      <w:pPr>
        <w:spacing w:line="480" w:lineRule="auto"/>
        <w:jc w:val="center"/>
        <w:rPr>
          <w:rFonts w:ascii="Times New Roman" w:cs="Times New Roman" w:eastAsia="Times New Roman" w:hAnsi="Times New Roman"/>
          <w:b w:val="1"/>
          <w:color w:val="0e284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e2841"/>
        </w:rPr>
        <w:drawing>
          <wp:inline distB="114300" distT="114300" distL="114300" distR="114300">
            <wp:extent cx="4279900" cy="6845300"/>
            <wp:effectExtent b="0" l="0" r="0" t="0"/>
            <wp:docPr id="134419597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684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200" w:line="480" w:lineRule="auto"/>
        <w:jc w:val="center"/>
        <w:rPr>
          <w:rFonts w:ascii="Times New Roman" w:cs="Times New Roman" w:eastAsia="Times New Roman" w:hAnsi="Times New Roman"/>
          <w:b w:val="1"/>
          <w:i w:val="1"/>
          <w:color w:val="0e284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e2841"/>
          <w:rtl w:val="0"/>
        </w:rPr>
        <w:t xml:space="preserve">Figure S4. Forest plot of the prevalence of Impostor phenomenon (IP) by region using a random-effects model</w:t>
      </w:r>
    </w:p>
    <w:p w:rsidR="00000000" w:rsidDel="00000000" w:rsidP="00000000" w:rsidRDefault="00000000" w:rsidRPr="00000000" w14:paraId="0000014B">
      <w:pPr>
        <w:spacing w:line="480" w:lineRule="auto"/>
        <w:jc w:val="center"/>
        <w:rPr>
          <w:rFonts w:ascii="Times New Roman" w:cs="Times New Roman" w:eastAsia="Times New Roman" w:hAnsi="Times New Roman"/>
          <w:b w:val="1"/>
          <w:color w:val="0e284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e2841"/>
        </w:rPr>
        <w:drawing>
          <wp:inline distB="114300" distT="114300" distL="114300" distR="114300">
            <wp:extent cx="4978400" cy="6731000"/>
            <wp:effectExtent b="0" l="0" r="0" t="0"/>
            <wp:docPr descr="A screenshot of a graph&#10;&#10;AI-generated content may be incorrect." id="1344195971" name="image3.png"/>
            <a:graphic>
              <a:graphicData uri="http://schemas.openxmlformats.org/drawingml/2006/picture">
                <pic:pic>
                  <pic:nvPicPr>
                    <pic:cNvPr descr="A screenshot of a graph&#10;&#10;AI-generated content may be incorrect."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673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200" w:line="480" w:lineRule="auto"/>
        <w:jc w:val="center"/>
        <w:rPr>
          <w:rFonts w:ascii="Times New Roman" w:cs="Times New Roman" w:eastAsia="Times New Roman" w:hAnsi="Times New Roman"/>
          <w:b w:val="1"/>
          <w:i w:val="1"/>
          <w:color w:val="0e284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e2841"/>
          <w:rtl w:val="0"/>
        </w:rPr>
        <w:t xml:space="preserve">Figure S5. Forest plot of the prevalence of Impostor phenomenon (IP) by tool using a random-effects model</w:t>
      </w:r>
    </w:p>
    <w:p w:rsidR="00000000" w:rsidDel="00000000" w:rsidP="00000000" w:rsidRDefault="00000000" w:rsidRPr="00000000" w14:paraId="0000014D">
      <w:pPr>
        <w:spacing w:line="480" w:lineRule="auto"/>
        <w:jc w:val="center"/>
        <w:rPr>
          <w:rFonts w:ascii="Times New Roman" w:cs="Times New Roman" w:eastAsia="Times New Roman" w:hAnsi="Times New Roman"/>
          <w:b w:val="1"/>
          <w:i w:val="1"/>
          <w:color w:val="0e284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e2841"/>
        </w:rPr>
        <w:drawing>
          <wp:inline distB="114300" distT="114300" distL="114300" distR="114300">
            <wp:extent cx="4978400" cy="6731000"/>
            <wp:effectExtent b="0" l="0" r="0" t="0"/>
            <wp:docPr id="134419597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673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200" w:line="480" w:lineRule="auto"/>
        <w:jc w:val="center"/>
        <w:rPr>
          <w:rFonts w:ascii="Times New Roman" w:cs="Times New Roman" w:eastAsia="Times New Roman" w:hAnsi="Times New Roman"/>
          <w:b w:val="1"/>
          <w:i w:val="1"/>
          <w:color w:val="0e284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e2841"/>
          <w:rtl w:val="0"/>
        </w:rPr>
        <w:t xml:space="preserve">Figure S6. Forest plot of the prevalence of Impostor phenomenon (IP) by quality using a random-effects model</w:t>
      </w:r>
    </w:p>
    <w:p w:rsidR="00000000" w:rsidDel="00000000" w:rsidP="00000000" w:rsidRDefault="00000000" w:rsidRPr="00000000" w14:paraId="0000014F">
      <w:pPr>
        <w:spacing w:line="480" w:lineRule="auto"/>
        <w:jc w:val="center"/>
        <w:rPr>
          <w:rFonts w:ascii="Times New Roman" w:cs="Times New Roman" w:eastAsia="Times New Roman" w:hAnsi="Times New Roman"/>
          <w:b w:val="1"/>
          <w:i w:val="1"/>
          <w:color w:val="0e284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e2841"/>
        </w:rPr>
        <w:drawing>
          <wp:inline distB="114300" distT="114300" distL="114300" distR="114300">
            <wp:extent cx="4597400" cy="4597400"/>
            <wp:effectExtent b="0" l="0" r="0" t="0"/>
            <wp:docPr id="134419596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459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after="200" w:line="480" w:lineRule="auto"/>
        <w:jc w:val="center"/>
        <w:rPr>
          <w:rFonts w:ascii="Times New Roman" w:cs="Times New Roman" w:eastAsia="Times New Roman" w:hAnsi="Times New Roman"/>
          <w:b w:val="1"/>
          <w:i w:val="1"/>
          <w:color w:val="0e284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e2841"/>
          <w:rtl w:val="0"/>
        </w:rPr>
        <w:t xml:space="preserve">Figure S7. Baujat plot identifying influential studies</w:t>
      </w:r>
    </w:p>
    <w:p w:rsidR="00000000" w:rsidDel="00000000" w:rsidP="00000000" w:rsidRDefault="00000000" w:rsidRPr="00000000" w14:paraId="00000151">
      <w:pPr>
        <w:spacing w:after="200" w:line="480" w:lineRule="auto"/>
        <w:jc w:val="center"/>
        <w:rPr>
          <w:rFonts w:ascii="Times New Roman" w:cs="Times New Roman" w:eastAsia="Times New Roman" w:hAnsi="Times New Roman"/>
          <w:b w:val="1"/>
          <w:i w:val="1"/>
          <w:color w:val="0e28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line="480" w:lineRule="auto"/>
        <w:jc w:val="center"/>
        <w:rPr>
          <w:rFonts w:ascii="Times New Roman" w:cs="Times New Roman" w:eastAsia="Times New Roman" w:hAnsi="Times New Roman"/>
          <w:b w:val="1"/>
          <w:i w:val="1"/>
          <w:color w:val="0e284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e2841"/>
        </w:rPr>
        <w:drawing>
          <wp:inline distB="114300" distT="114300" distL="114300" distR="114300">
            <wp:extent cx="4978400" cy="4978400"/>
            <wp:effectExtent b="0" l="0" r="0" t="0"/>
            <wp:docPr id="134419596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after="200" w:line="480" w:lineRule="auto"/>
        <w:jc w:val="center"/>
        <w:rPr>
          <w:rFonts w:ascii="Times New Roman" w:cs="Times New Roman" w:eastAsia="Times New Roman" w:hAnsi="Times New Roman"/>
          <w:b w:val="1"/>
          <w:i w:val="1"/>
          <w:color w:val="0e284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e2841"/>
          <w:rtl w:val="0"/>
        </w:rPr>
        <w:t xml:space="preserve">Figure S8. Influence diagnostics plot</w:t>
      </w:r>
    </w:p>
    <w:p w:rsidR="00000000" w:rsidDel="00000000" w:rsidP="00000000" w:rsidRDefault="00000000" w:rsidRPr="00000000" w14:paraId="00000154">
      <w:pPr>
        <w:spacing w:line="480" w:lineRule="auto"/>
        <w:jc w:val="center"/>
        <w:rPr>
          <w:rFonts w:ascii="Times New Roman" w:cs="Times New Roman" w:eastAsia="Times New Roman" w:hAnsi="Times New Roman"/>
          <w:b w:val="1"/>
          <w:i w:val="1"/>
          <w:color w:val="0e284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e2841"/>
        </w:rPr>
        <w:drawing>
          <wp:inline distB="114300" distT="114300" distL="114300" distR="114300">
            <wp:extent cx="4978400" cy="5054600"/>
            <wp:effectExtent b="0" l="0" r="0" t="0"/>
            <wp:docPr id="134419597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505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200" w:line="480" w:lineRule="auto"/>
        <w:jc w:val="center"/>
        <w:rPr>
          <w:rFonts w:ascii="Times New Roman" w:cs="Times New Roman" w:eastAsia="Times New Roman" w:hAnsi="Times New Roman"/>
          <w:b w:val="1"/>
          <w:i w:val="1"/>
          <w:color w:val="0e284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e2841"/>
          <w:rtl w:val="0"/>
        </w:rPr>
        <w:t xml:space="preserve">Figure S9. Forest plot of the sensitivity analysis after removing outliers</w:t>
      </w:r>
    </w:p>
    <w:p w:rsidR="00000000" w:rsidDel="00000000" w:rsidP="00000000" w:rsidRDefault="00000000" w:rsidRPr="00000000" w14:paraId="00000156">
      <w:pPr>
        <w:spacing w:line="480" w:lineRule="auto"/>
        <w:jc w:val="center"/>
        <w:rPr>
          <w:rFonts w:ascii="Times New Roman" w:cs="Times New Roman" w:eastAsia="Times New Roman" w:hAnsi="Times New Roman"/>
          <w:b w:val="1"/>
          <w:i w:val="1"/>
          <w:color w:val="0e284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e2841"/>
        </w:rPr>
        <w:drawing>
          <wp:inline distB="114300" distT="114300" distL="114300" distR="114300">
            <wp:extent cx="4978400" cy="5054600"/>
            <wp:effectExtent b="0" l="0" r="0" t="0"/>
            <wp:docPr id="134419596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505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after="200" w:line="480" w:lineRule="auto"/>
        <w:jc w:val="center"/>
        <w:rPr>
          <w:rFonts w:ascii="Times New Roman" w:cs="Times New Roman" w:eastAsia="Times New Roman" w:hAnsi="Times New Roman"/>
          <w:b w:val="1"/>
          <w:i w:val="1"/>
          <w:color w:val="0e284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e2841"/>
          <w:rtl w:val="0"/>
        </w:rPr>
        <w:t xml:space="preserve">Figure S10. Leave-one-out sensitivity analysis</w:t>
      </w:r>
    </w:p>
    <w:p w:rsidR="00000000" w:rsidDel="00000000" w:rsidP="00000000" w:rsidRDefault="00000000" w:rsidRPr="00000000" w14:paraId="00000158">
      <w:pPr>
        <w:spacing w:after="200" w:line="480" w:lineRule="auto"/>
        <w:jc w:val="center"/>
        <w:rPr>
          <w:rFonts w:ascii="Times New Roman" w:cs="Times New Roman" w:eastAsia="Times New Roman" w:hAnsi="Times New Roman"/>
          <w:b w:val="1"/>
          <w:i w:val="1"/>
          <w:color w:val="0e2841"/>
        </w:rPr>
      </w:pPr>
      <w:r w:rsidDel="00000000" w:rsidR="00000000" w:rsidRPr="00000000">
        <w:rPr>
          <w:rtl w:val="0"/>
        </w:rPr>
      </w:r>
    </w:p>
    <w:sectPr>
      <w:footerReference r:id="rId1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9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-US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</w:rPr>
  </w:style>
  <w:style w:type="paragraph" w:styleId="Heading2">
    <w:name w:val="heading 2"/>
    <w:basedOn w:val="Normal"/>
    <w:next w:val="Normal"/>
    <w:pPr>
      <w:keepNext w:val="1"/>
      <w:spacing w:after="200" w:line="240" w:lineRule="auto"/>
    </w:pPr>
    <w:rPr>
      <w:b w:val="1"/>
      <w:i w:val="0"/>
      <w:color w:val="000000"/>
      <w:sz w:val="18"/>
      <w:szCs w:val="1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D567C6"/>
    <w:pPr>
      <w:keepNext w:val="1"/>
      <w:jc w:val="center"/>
      <w:outlineLvl w:val="0"/>
    </w:pPr>
    <w:rPr>
      <w:rFonts w:asciiTheme="majorBidi" w:cstheme="majorBidi" w:hAnsiTheme="majorBidi"/>
      <w:b w:val="1"/>
      <w:bCs w:val="1"/>
    </w:rPr>
  </w:style>
  <w:style w:type="paragraph" w:styleId="Heading2">
    <w:name w:val="heading 2"/>
    <w:basedOn w:val="Caption"/>
    <w:next w:val="Normal"/>
    <w:link w:val="Heading2Char"/>
    <w:uiPriority w:val="9"/>
    <w:unhideWhenUsed w:val="1"/>
    <w:qFormat w:val="1"/>
    <w:rsid w:val="007877C5"/>
    <w:pPr>
      <w:keepNext w:val="1"/>
      <w:outlineLvl w:val="1"/>
    </w:pPr>
    <w:rPr>
      <w:rFonts w:asciiTheme="majorBidi" w:cstheme="majorBidi" w:hAnsiTheme="majorBidi"/>
      <w:b w:val="1"/>
      <w:bCs w:val="1"/>
      <w:i w:val="0"/>
      <w:iCs w:val="0"/>
      <w:color w:val="000000" w:themeColor="text1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6408E8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6408E8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6408E8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6408E8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6408E8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6408E8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6408E8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D567C6"/>
    <w:rPr>
      <w:rFonts w:asciiTheme="majorBidi" w:cstheme="majorBidi" w:hAnsiTheme="majorBidi"/>
      <w:b w:val="1"/>
      <w:bCs w:val="1"/>
    </w:rPr>
  </w:style>
  <w:style w:type="character" w:styleId="Heading2Char" w:customStyle="1">
    <w:name w:val="Heading 2 Char"/>
    <w:basedOn w:val="DefaultParagraphFont"/>
    <w:link w:val="Heading2"/>
    <w:uiPriority w:val="9"/>
    <w:rsid w:val="007877C5"/>
    <w:rPr>
      <w:rFonts w:asciiTheme="majorBidi" w:cstheme="majorBidi" w:hAnsiTheme="majorBidi"/>
      <w:b w:val="1"/>
      <w:bCs w:val="1"/>
      <w:color w:val="000000" w:themeColor="text1"/>
      <w:sz w:val="18"/>
      <w:szCs w:val="18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6408E8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6408E8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6408E8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6408E8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6408E8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6408E8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6408E8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6408E8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6408E8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6408E8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6408E8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6408E8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6408E8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6408E8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6408E8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6408E8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6408E8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6408E8"/>
    <w:rPr>
      <w:b w:val="1"/>
      <w:bCs w:val="1"/>
      <w:smallCaps w:val="1"/>
      <w:color w:val="0f4761" w:themeColor="accent1" w:themeShade="0000BF"/>
      <w:spacing w:val="5"/>
    </w:rPr>
  </w:style>
  <w:style w:type="table" w:styleId="TableGrid">
    <w:name w:val="Table Grid"/>
    <w:basedOn w:val="TableNormal"/>
    <w:uiPriority w:val="39"/>
    <w:rsid w:val="006408E8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aption">
    <w:name w:val="caption"/>
    <w:basedOn w:val="Normal"/>
    <w:next w:val="Normal"/>
    <w:uiPriority w:val="35"/>
    <w:unhideWhenUsed w:val="1"/>
    <w:qFormat w:val="1"/>
    <w:rsid w:val="006408E8"/>
    <w:pPr>
      <w:spacing w:after="200" w:line="240" w:lineRule="auto"/>
    </w:pPr>
    <w:rPr>
      <w:i w:val="1"/>
      <w:iCs w:val="1"/>
      <w:color w:val="0e2841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 w:val="1"/>
    <w:rsid w:val="00EB4D16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B4D16"/>
  </w:style>
  <w:style w:type="paragraph" w:styleId="Footer">
    <w:name w:val="footer"/>
    <w:basedOn w:val="Normal"/>
    <w:link w:val="FooterChar"/>
    <w:uiPriority w:val="99"/>
    <w:unhideWhenUsed w:val="1"/>
    <w:rsid w:val="00EB4D16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B4D16"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436609"/>
    <w:pPr>
      <w:keepLines w:val="1"/>
      <w:spacing w:after="0" w:before="240" w:line="259" w:lineRule="auto"/>
      <w:jc w:val="left"/>
      <w:outlineLvl w:val="9"/>
    </w:pPr>
    <w:rPr>
      <w:rFonts w:asciiTheme="majorHAnsi" w:eastAsiaTheme="majorEastAsia" w:hAnsiTheme="majorHAnsi"/>
      <w:b w:val="0"/>
      <w:bCs w:val="0"/>
      <w:color w:val="0f4761" w:themeColor="accent1" w:themeShade="0000BF"/>
      <w:kern w:val="0"/>
      <w:sz w:val="32"/>
      <w:szCs w:val="32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436609"/>
    <w:pPr>
      <w:tabs>
        <w:tab w:val="right" w:leader="dot" w:pos="9350"/>
      </w:tabs>
      <w:spacing w:after="100"/>
    </w:pPr>
    <w:rPr>
      <w:rFonts w:asciiTheme="majorBidi" w:cstheme="majorBidi" w:hAnsiTheme="majorBidi"/>
      <w:noProof w:val="1"/>
    </w:rPr>
  </w:style>
  <w:style w:type="paragraph" w:styleId="TOC2">
    <w:name w:val="toc 2"/>
    <w:basedOn w:val="Normal"/>
    <w:next w:val="Normal"/>
    <w:autoRedefine w:val="1"/>
    <w:uiPriority w:val="39"/>
    <w:unhideWhenUsed w:val="1"/>
    <w:rsid w:val="00436609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 w:val="1"/>
    <w:rsid w:val="00436609"/>
    <w:rPr>
      <w:color w:val="467886" w:themeColor="hyperlink"/>
      <w:u w:val="single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0.png"/><Relationship Id="rId13" Type="http://schemas.openxmlformats.org/officeDocument/2006/relationships/image" Target="media/image1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6.png"/><Relationship Id="rId14" Type="http://schemas.openxmlformats.org/officeDocument/2006/relationships/image" Target="media/image2.png"/><Relationship Id="rId17" Type="http://schemas.openxmlformats.org/officeDocument/2006/relationships/footer" Target="footer1.xml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286PbFSG8K8BUX16dABt8kKwCQ==">CgMxLjAyDmgua25ucWExODM5dDFqMg5oLnBmMjJ5MjY4MnkwNDIOaC4yd3VwN2Y0MjNxYjMyDmgueDgydGp2dnBvZDcxOABqJgoUc3VnZ2VzdC44dDA4eHQ3MHd1MzASDllvdXNlZiBLaGF0dGFiaiYKFHN1Z2dlc3QuMWZteHZlYmViaXl5Eg5Zb3VzZWYgS2hhdHRhYmomChRzdWdnZXN0LjdyYzI5aGFoeDJjZxIOWW91c2VmIEtoYXR0YWJyITFnZ2ZGUlZINjNvT1o5bEJHWUtzT2N5S2lsdjdiUHRu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2025-03-17T23:45:00Z</dcterms:created>
  <dc:creator>220331Mark Wael Daniel Messak</dc:creator>
</cp:coreProperties>
</file>