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3FF" w:rsidRDefault="003B33FF">
      <w:pPr>
        <w:pStyle w:val="Titre"/>
        <w:jc w:val="center"/>
        <w:outlineLvl w:val="9"/>
        <w:rPr>
          <w:rFonts w:ascii="Arial" w:hAnsi="Arial" w:cs="Arial"/>
          <w:sz w:val="60"/>
          <w:szCs w:val="6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51E81" w:rsidRPr="00351E81" w:rsidRDefault="00351E81" w:rsidP="00351E81">
      <w:pPr>
        <w:pStyle w:val="Corps"/>
        <w:rPr>
          <w:lang w:val="en-GB"/>
        </w:rPr>
      </w:pPr>
    </w:p>
    <w:p w:rsidR="003B33FF" w:rsidRPr="00351E81" w:rsidRDefault="00CF6ECC" w:rsidP="00D733D9">
      <w:pPr>
        <w:pStyle w:val="Pardfaut"/>
        <w:spacing w:before="0" w:line="240" w:lineRule="auto"/>
        <w:jc w:val="center"/>
        <w:rPr>
          <w:rStyle w:val="Aucun"/>
          <w:rFonts w:ascii="Arial" w:eastAsia="Arial" w:hAnsi="Arial" w:cs="Arial"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Helvetica Neue" w:hAnsi="Arial" w:cs="Arial"/>
          <w:b/>
          <w:bCs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Standard Operating Procedure (SOP): </w:t>
      </w:r>
      <w:r w:rsidR="008E066D">
        <w:rPr>
          <w:rFonts w:ascii="Arial" w:eastAsia="Helvetica Neue" w:hAnsi="Arial" w:cs="Arial"/>
          <w:b/>
          <w:bCs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Regional anaesthesia for hip fracture</w:t>
      </w:r>
      <w:r w:rsidR="00431DD9">
        <w:rPr>
          <w:rFonts w:ascii="Arial" w:eastAsia="Helvetica Neue" w:hAnsi="Arial" w:cs="Arial"/>
          <w:b/>
          <w:bCs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 femoral nerve blockade</w:t>
      </w:r>
    </w:p>
    <w:p w:rsidR="003B33FF" w:rsidRPr="003A55A0" w:rsidRDefault="003B33FF">
      <w:pPr>
        <w:pStyle w:val="Pardfaut"/>
        <w:spacing w:before="0" w:line="240" w:lineRule="auto"/>
        <w:rPr>
          <w:rStyle w:val="Aucun"/>
          <w:rFonts w:ascii="Arial" w:eastAsia="Arial" w:hAnsi="Arial" w:cs="Arial"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B33FF" w:rsidRDefault="003B33FF" w:rsidP="00431DD9">
      <w:pPr>
        <w:pStyle w:val="Pardfaut"/>
        <w:spacing w:before="0" w:line="240" w:lineRule="auto"/>
        <w:rPr>
          <w:rStyle w:val="Aucun"/>
          <w:rFonts w:ascii="Arial" w:eastAsia="Arial" w:hAnsi="Arial" w:cs="Arial"/>
          <w:sz w:val="28"/>
          <w:szCs w:val="2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31DD9" w:rsidRPr="003A55A0" w:rsidRDefault="00431DD9" w:rsidP="00431DD9">
      <w:pPr>
        <w:pStyle w:val="Pardfaut"/>
        <w:spacing w:before="0" w:line="240" w:lineRule="auto"/>
        <w:rPr>
          <w:rStyle w:val="Aucun"/>
          <w:rFonts w:ascii="Arial" w:eastAsia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B33FF" w:rsidRPr="003A55A0" w:rsidRDefault="003B33FF">
      <w:pPr>
        <w:pStyle w:val="Pardfaut"/>
        <w:spacing w:before="0" w:line="240" w:lineRule="auto"/>
        <w:rPr>
          <w:rStyle w:val="Aucun"/>
          <w:rFonts w:ascii="Arial" w:eastAsia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51E81" w:rsidRDefault="00351E81" w:rsidP="00431DD9">
      <w:pPr>
        <w:pStyle w:val="Pardfaut"/>
        <w:spacing w:line="360" w:lineRule="auto"/>
        <w:rPr>
          <w:rStyle w:val="Aucun"/>
          <w:rFonts w:ascii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51E81">
        <w:rPr>
          <w:rStyle w:val="Aucun"/>
          <w:rFonts w:ascii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Positioning </w:t>
      </w:r>
    </w:p>
    <w:p w:rsidR="003B33FF" w:rsidRPr="003A55A0" w:rsidRDefault="00B34F43" w:rsidP="00431DD9">
      <w:pPr>
        <w:pStyle w:val="Pardfaut"/>
        <w:spacing w:line="360" w:lineRule="auto"/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The patient is placed in s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upine position.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FA41D5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anaesthesiologist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stands at the hip on the side of the puncture, while the ultrasound device is positioned at hip level on the opposite side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3B33FF" w:rsidRPr="003A55A0" w:rsidRDefault="003B33FF" w:rsidP="00431DD9">
      <w:pPr>
        <w:pStyle w:val="Pardfaut"/>
        <w:spacing w:before="0" w:line="360" w:lineRule="auto"/>
        <w:rPr>
          <w:rStyle w:val="Aucun"/>
          <w:rFonts w:ascii="Arial" w:eastAsia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8396F" w:rsidRPr="003A55A0" w:rsidRDefault="00A8396F" w:rsidP="00431DD9">
      <w:pPr>
        <w:pStyle w:val="Pardfaut"/>
        <w:spacing w:before="0" w:line="360" w:lineRule="auto"/>
        <w:rPr>
          <w:rStyle w:val="Aucun"/>
          <w:rFonts w:ascii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55A0">
        <w:rPr>
          <w:rStyle w:val="Aucun"/>
          <w:rFonts w:ascii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Equipment</w:t>
      </w:r>
    </w:p>
    <w:p w:rsidR="003A55A0" w:rsidRPr="00351E81" w:rsidRDefault="00A8396F" w:rsidP="00431DD9">
      <w:pPr>
        <w:pStyle w:val="Pardfaut"/>
        <w:spacing w:before="0" w:line="360" w:lineRule="auto"/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An u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ltrasound machine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 used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with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linear probe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FA41D5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Disinfection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 made with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Chlorhexidine 2%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solution. Sterile procedure is ensured by </w:t>
      </w:r>
      <w:r w:rsidR="00351E81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utilisation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sterile filed, s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terile gloves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 s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terile contact gel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and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sterile protective cover for ultrasound probe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Puncture is made with a 22G x 50 mm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needle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. If a cath</w:t>
      </w:r>
      <w:r w:rsidR="00351E81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et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er is desired, a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21G x 50mm needle with 21G x 400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mm catheter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 used. The regional </w:t>
      </w:r>
      <w:r w:rsidR="00351E81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anaesthesia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 made by the utilisation of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ml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 </w:t>
      </w: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Ropivacaine 0.5%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Maximum dose of ropivacaine: 3 mg/kg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75792C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A8396F" w:rsidRPr="003A55A0" w:rsidRDefault="00A8396F" w:rsidP="00431DD9">
      <w:pPr>
        <w:pStyle w:val="Pardfaut"/>
        <w:spacing w:before="0" w:line="360" w:lineRule="auto"/>
        <w:rPr>
          <w:rStyle w:val="Aucun"/>
          <w:rFonts w:ascii="Arial" w:eastAsia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8396F" w:rsidRPr="003A55A0" w:rsidRDefault="00A8396F" w:rsidP="00431DD9">
      <w:pPr>
        <w:pStyle w:val="Pardfaut"/>
        <w:spacing w:before="0" w:line="360" w:lineRule="auto"/>
        <w:rPr>
          <w:rStyle w:val="Aucun"/>
          <w:rFonts w:ascii="Arial" w:eastAsia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55A0">
        <w:rPr>
          <w:rStyle w:val="Aucun"/>
          <w:rFonts w:ascii="Arial" w:eastAsia="Arial" w:hAnsi="Arial" w:cs="Arial"/>
          <w:b/>
          <w:bCs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RA technique</w:t>
      </w:r>
    </w:p>
    <w:p w:rsidR="00A8396F" w:rsidRPr="003A55A0" w:rsidRDefault="00903319" w:rsidP="00431DD9">
      <w:pPr>
        <w:pStyle w:val="Pardfaut"/>
        <w:spacing w:line="360" w:lineRule="auto"/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 </w:t>
      </w:r>
      <w:r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femoral</w:t>
      </w:r>
      <w:r w:rsidR="003C125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nerve </w:t>
      </w:r>
      <w:r w:rsidR="003C125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single shot block</w:t>
      </w:r>
      <w:r w:rsidR="003C125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ade,</w:t>
      </w:r>
      <w:r w:rsidR="003C125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puncture is made through </w:t>
      </w:r>
      <w:r w:rsidR="00D5189A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an</w:t>
      </w:r>
      <w:r w:rsidR="003C125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in-plane technique. For femoral</w:t>
      </w:r>
      <w:r w:rsidR="00D5189A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nerve</w:t>
      </w:r>
      <w:r w:rsidR="003C125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catheter</w:t>
      </w:r>
      <w:r w:rsidR="00D5189A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placement</w:t>
      </w:r>
      <w:r w:rsidR="003C125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 an out-of-plane puncture is made allowing the catheter to follow the path of the femoral nerve.</w:t>
      </w:r>
      <w:r w:rsidR="003C125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First, </w:t>
      </w:r>
      <w:r w:rsidR="00A8396F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the femoral artery and vein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(at the point 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where the superficial femoral artery and deep femoral artery </w:t>
      </w:r>
      <w:r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are 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join</w:t>
      </w:r>
      <w:r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ing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) as well as</w:t>
      </w:r>
      <w:r w:rsidR="007C4F04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femoral nerve under the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1E81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iliac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fascia </w:t>
      </w:r>
      <w:r w:rsidR="00404A5C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are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1E81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visualized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Then, the </w:t>
      </w:r>
      <w:r w:rsidR="00A8396F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injection of the local </w:t>
      </w:r>
      <w:r w:rsidR="00FA41D5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aesthetic</w:t>
      </w:r>
      <w:r w:rsidR="00A8396F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A55A0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 made </w:t>
      </w:r>
      <w:r w:rsidR="00A8396F" w:rsidRPr="003A55A0">
        <w:rPr>
          <w:rStyle w:val="Aucun"/>
          <w:rFonts w:ascii="Arial" w:hAnsi="Arial" w:cs="Arial"/>
          <w:sz w:val="22"/>
          <w:szCs w:val="2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under the iliac fascia, at the lateral edge of the nerve.</w:t>
      </w:r>
    </w:p>
    <w:p w:rsidR="003B33FF" w:rsidRDefault="003B33FF">
      <w:pPr>
        <w:pStyle w:val="Pardfaut"/>
        <w:spacing w:before="0" w:line="240" w:lineRule="auto"/>
      </w:pPr>
    </w:p>
    <w:sectPr w:rsidR="003B33F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6CB" w:rsidRDefault="005D16CB">
      <w:r>
        <w:separator/>
      </w:r>
    </w:p>
  </w:endnote>
  <w:endnote w:type="continuationSeparator" w:id="0">
    <w:p w:rsidR="005D16CB" w:rsidRDefault="005D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3FF" w:rsidRPr="00FA41D5" w:rsidRDefault="00FA41D5" w:rsidP="00FA41D5">
    <w:pPr>
      <w:pStyle w:val="Pieddepage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>OG fast track Study</w:t>
    </w:r>
    <w:r>
      <w:rPr>
        <w:rFonts w:ascii="Arial" w:hAnsi="Arial" w:cs="Arial"/>
        <w:sz w:val="16"/>
        <w:szCs w:val="16"/>
      </w:rPr>
      <w:t xml:space="preserve"> – RA SOP</w:t>
    </w:r>
    <w:r w:rsidRPr="00B26DB5">
      <w:rPr>
        <w:rFonts w:ascii="Arial" w:hAnsi="Arial" w:cs="Arial"/>
        <w:sz w:val="16"/>
        <w:szCs w:val="16"/>
      </w:rPr>
      <w:ptab w:relativeTo="margin" w:alignment="center" w:leader="none"/>
    </w:r>
    <w:r w:rsidRPr="00B26DB5">
      <w:rPr>
        <w:rFonts w:ascii="Arial" w:hAnsi="Arial" w:cs="Arial"/>
        <w:sz w:val="16"/>
        <w:szCs w:val="16"/>
      </w:rPr>
      <w:ptab w:relativeTo="margin" w:alignment="right" w:leader="none"/>
    </w:r>
    <w:r w:rsidRPr="009053E9">
      <w:rPr>
        <w:rFonts w:ascii="Arial" w:hAnsi="Arial" w:cs="Arial"/>
        <w:sz w:val="16"/>
        <w:szCs w:val="16"/>
      </w:rPr>
      <w:t xml:space="preserve">Page </w:t>
    </w:r>
    <w:r w:rsidRPr="00B26DB5">
      <w:rPr>
        <w:rFonts w:ascii="Arial" w:hAnsi="Arial" w:cs="Arial"/>
        <w:bCs/>
        <w:sz w:val="16"/>
        <w:szCs w:val="16"/>
      </w:rPr>
      <w:fldChar w:fldCharType="begin"/>
    </w:r>
    <w:r w:rsidRPr="009053E9">
      <w:rPr>
        <w:rFonts w:ascii="Arial" w:hAnsi="Arial" w:cs="Arial"/>
        <w:bCs/>
        <w:sz w:val="16"/>
        <w:szCs w:val="16"/>
      </w:rPr>
      <w:instrText>PAGE  \* Arabic  \* MERGEFORMAT</w:instrText>
    </w:r>
    <w:r w:rsidRPr="00B26DB5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1</w:t>
    </w:r>
    <w:r w:rsidRPr="00B26DB5">
      <w:rPr>
        <w:rFonts w:ascii="Arial" w:hAnsi="Arial" w:cs="Arial"/>
        <w:bCs/>
        <w:sz w:val="16"/>
        <w:szCs w:val="16"/>
      </w:rPr>
      <w:fldChar w:fldCharType="end"/>
    </w:r>
    <w:r w:rsidRPr="009053E9">
      <w:rPr>
        <w:rFonts w:ascii="Arial" w:hAnsi="Arial" w:cs="Arial"/>
        <w:bCs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6CB" w:rsidRDefault="005D16CB">
      <w:r>
        <w:separator/>
      </w:r>
    </w:p>
  </w:footnote>
  <w:footnote w:type="continuationSeparator" w:id="0">
    <w:p w:rsidR="005D16CB" w:rsidRDefault="005D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3FF" w:rsidRPr="00FA41D5" w:rsidRDefault="00FA41D5" w:rsidP="00FA41D5">
    <w:pPr>
      <w:pStyle w:val="En-tte"/>
      <w:rPr>
        <w:rFonts w:ascii="Arial" w:hAnsi="Arial" w:cs="Arial"/>
        <w:sz w:val="16"/>
        <w:szCs w:val="16"/>
        <w:lang w:val="fr-CH"/>
      </w:rPr>
    </w:pPr>
    <w:r w:rsidRPr="003F3F73">
      <w:rPr>
        <w:rFonts w:ascii="Arial" w:hAnsi="Arial" w:cs="Arial"/>
        <w:sz w:val="16"/>
        <w:szCs w:val="16"/>
        <w:lang w:val="fr-CH"/>
      </w:rPr>
      <w:t>HFR- Hôpital Fribourgeois</w:t>
    </w:r>
    <w:r>
      <w:rPr>
        <w:rFonts w:ascii="Arial" w:hAnsi="Arial" w:cs="Arial"/>
        <w:sz w:val="16"/>
        <w:szCs w:val="16"/>
        <w:lang w:val="fr-CH"/>
      </w:rPr>
      <w:tab/>
    </w:r>
    <w:r>
      <w:rPr>
        <w:rFonts w:ascii="Arial" w:hAnsi="Arial" w:cs="Arial"/>
        <w:noProof/>
        <w:sz w:val="16"/>
        <w:szCs w:val="16"/>
        <w:lang w:val="fr-CH"/>
      </w:rPr>
      <w:drawing>
        <wp:inline distT="0" distB="0" distL="0" distR="0" wp14:anchorId="7E292C2D" wp14:editId="0C90C44B">
          <wp:extent cx="411480" cy="382956"/>
          <wp:effectExtent l="0" t="0" r="0" b="0"/>
          <wp:docPr id="56689649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96495" name="Image 1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518" cy="43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53"/>
    <w:multiLevelType w:val="hybridMultilevel"/>
    <w:tmpl w:val="1F2A0C66"/>
    <w:styleLink w:val="Tiret"/>
    <w:lvl w:ilvl="0" w:tplc="09F20E3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F146BE4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7E14691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FDECD4D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B8BE071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4092A40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E6FAAC5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9E4A265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613A44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 w15:restartNumberingAfterBreak="0">
    <w:nsid w:val="252E197D"/>
    <w:multiLevelType w:val="hybridMultilevel"/>
    <w:tmpl w:val="F8A0D840"/>
    <w:styleLink w:val="Nombres"/>
    <w:lvl w:ilvl="0" w:tplc="A964152A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65534">
      <w:start w:val="1"/>
      <w:numFmt w:val="decimal"/>
      <w:lvlText w:val="%2."/>
      <w:lvlJc w:val="left"/>
      <w:pPr>
        <w:ind w:left="94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643DE">
      <w:start w:val="1"/>
      <w:numFmt w:val="decimal"/>
      <w:lvlText w:val="%3."/>
      <w:lvlJc w:val="left"/>
      <w:pPr>
        <w:ind w:left="130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22E352">
      <w:start w:val="1"/>
      <w:numFmt w:val="decimal"/>
      <w:lvlText w:val="%4."/>
      <w:lvlJc w:val="left"/>
      <w:pPr>
        <w:ind w:left="166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D897DE">
      <w:start w:val="1"/>
      <w:numFmt w:val="decimal"/>
      <w:lvlText w:val="%5."/>
      <w:lvlJc w:val="left"/>
      <w:pPr>
        <w:ind w:left="202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CDD68">
      <w:start w:val="1"/>
      <w:numFmt w:val="decimal"/>
      <w:lvlText w:val="%6."/>
      <w:lvlJc w:val="left"/>
      <w:pPr>
        <w:ind w:left="23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8F16C">
      <w:start w:val="1"/>
      <w:numFmt w:val="decimal"/>
      <w:lvlText w:val="%7."/>
      <w:lvlJc w:val="left"/>
      <w:pPr>
        <w:ind w:left="274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E0C5BE">
      <w:start w:val="1"/>
      <w:numFmt w:val="decimal"/>
      <w:lvlText w:val="%8."/>
      <w:lvlJc w:val="left"/>
      <w:pPr>
        <w:ind w:left="310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0963A">
      <w:start w:val="1"/>
      <w:numFmt w:val="decimal"/>
      <w:lvlText w:val="%9."/>
      <w:lvlJc w:val="left"/>
      <w:pPr>
        <w:ind w:left="346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6F2AD4"/>
    <w:multiLevelType w:val="hybridMultilevel"/>
    <w:tmpl w:val="F8A0D840"/>
    <w:numStyleLink w:val="Nombres"/>
  </w:abstractNum>
  <w:abstractNum w:abstractNumId="3" w15:restartNumberingAfterBreak="0">
    <w:nsid w:val="453F32CB"/>
    <w:multiLevelType w:val="hybridMultilevel"/>
    <w:tmpl w:val="1F2A0C66"/>
    <w:numStyleLink w:val="Tiret"/>
  </w:abstractNum>
  <w:num w:numId="1" w16cid:durableId="1713263393">
    <w:abstractNumId w:val="1"/>
  </w:num>
  <w:num w:numId="2" w16cid:durableId="1776553494">
    <w:abstractNumId w:val="2"/>
  </w:num>
  <w:num w:numId="3" w16cid:durableId="1015696541">
    <w:abstractNumId w:val="0"/>
  </w:num>
  <w:num w:numId="4" w16cid:durableId="912735942">
    <w:abstractNumId w:val="3"/>
  </w:num>
  <w:num w:numId="5" w16cid:durableId="547685571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FF"/>
    <w:rsid w:val="001377DF"/>
    <w:rsid w:val="00173372"/>
    <w:rsid w:val="00351E81"/>
    <w:rsid w:val="003A55A0"/>
    <w:rsid w:val="003B33FF"/>
    <w:rsid w:val="003C1250"/>
    <w:rsid w:val="00404A5C"/>
    <w:rsid w:val="00431DD9"/>
    <w:rsid w:val="005D16CB"/>
    <w:rsid w:val="0075763B"/>
    <w:rsid w:val="0075792C"/>
    <w:rsid w:val="007840CF"/>
    <w:rsid w:val="007C4F04"/>
    <w:rsid w:val="008E066D"/>
    <w:rsid w:val="00903319"/>
    <w:rsid w:val="00956F5F"/>
    <w:rsid w:val="00A8396F"/>
    <w:rsid w:val="00B34F43"/>
    <w:rsid w:val="00CF6ECC"/>
    <w:rsid w:val="00D5189A"/>
    <w:rsid w:val="00D733D9"/>
    <w:rsid w:val="00DF6538"/>
    <w:rsid w:val="00FA41D5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04D96"/>
  <w15:docId w15:val="{36B67D0C-C4D9-EA4F-A762-2361A8AA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Nombres">
    <w:name w:val="Nombres"/>
    <w:pPr>
      <w:numPr>
        <w:numId w:val="1"/>
      </w:numPr>
    </w:pPr>
  </w:style>
  <w:style w:type="numbering" w:customStyle="1" w:styleId="Tiret">
    <w:name w:val="Tiret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B34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F43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A41D5"/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von Allmen</cp:lastModifiedBy>
  <cp:revision>47</cp:revision>
  <dcterms:created xsi:type="dcterms:W3CDTF">2025-09-18T12:51:00Z</dcterms:created>
  <dcterms:modified xsi:type="dcterms:W3CDTF">2025-09-18T13:16:00Z</dcterms:modified>
</cp:coreProperties>
</file>