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E7EFD" w14:textId="3528FD50" w:rsidR="002E5A4F" w:rsidRPr="00A65F82" w:rsidRDefault="002E5A4F" w:rsidP="002E5A4F">
      <w:pPr>
        <w:spacing w:before="200" w:line="360" w:lineRule="auto"/>
        <w:jc w:val="both"/>
        <w:rPr>
          <w:rFonts w:asciiTheme="minorHAnsi" w:eastAsia="Calibri" w:hAnsiTheme="minorHAnsi" w:cstheme="minorHAnsi"/>
          <w:b/>
          <w:color w:val="000000" w:themeColor="text1"/>
          <w:sz w:val="22"/>
          <w:szCs w:val="22"/>
        </w:rPr>
      </w:pPr>
      <w:r w:rsidRPr="00A65F82">
        <w:rPr>
          <w:rStyle w:val="Strong"/>
          <w:rFonts w:asciiTheme="minorHAnsi" w:hAnsiTheme="minorHAnsi" w:cstheme="minorHAnsi"/>
          <w:color w:val="000000" w:themeColor="text1"/>
          <w:sz w:val="22"/>
          <w:szCs w:val="22"/>
        </w:rPr>
        <w:t xml:space="preserve">The Emirati T2T-Level Pangenome: A Graph of 58 </w:t>
      </w:r>
      <w:r w:rsidR="00AB34B2" w:rsidRPr="00A65F82">
        <w:rPr>
          <w:rStyle w:val="Strong"/>
          <w:rFonts w:asciiTheme="minorHAnsi" w:hAnsiTheme="minorHAnsi" w:cstheme="minorHAnsi"/>
          <w:color w:val="000000" w:themeColor="text1"/>
          <w:sz w:val="22"/>
          <w:szCs w:val="22"/>
        </w:rPr>
        <w:t xml:space="preserve">Complete </w:t>
      </w:r>
      <w:r w:rsidRPr="00A65F82">
        <w:rPr>
          <w:rStyle w:val="Strong"/>
          <w:rFonts w:asciiTheme="minorHAnsi" w:hAnsiTheme="minorHAnsi" w:cstheme="minorHAnsi"/>
          <w:color w:val="000000" w:themeColor="text1"/>
          <w:sz w:val="22"/>
          <w:szCs w:val="22"/>
        </w:rPr>
        <w:t>Genomes</w:t>
      </w:r>
    </w:p>
    <w:p w14:paraId="309A6E8D" w14:textId="1DEB6CFB" w:rsidR="002E5A4F" w:rsidRPr="00A65F82" w:rsidRDefault="002E5A4F" w:rsidP="002E5A4F">
      <w:pPr>
        <w:spacing w:before="240" w:after="240" w:line="360" w:lineRule="auto"/>
        <w:jc w:val="both"/>
        <w:rPr>
          <w:rFonts w:asciiTheme="minorHAnsi" w:eastAsia="Calibri" w:hAnsiTheme="minorHAnsi" w:cstheme="minorHAnsi"/>
          <w:color w:val="000000" w:themeColor="text1"/>
          <w:sz w:val="22"/>
          <w:szCs w:val="22"/>
          <w:lang w:val="en-US"/>
        </w:rPr>
      </w:pPr>
      <w:r w:rsidRPr="00A65F82">
        <w:rPr>
          <w:rFonts w:asciiTheme="minorHAnsi" w:eastAsia="Calibri" w:hAnsiTheme="minorHAnsi" w:cstheme="minorHAnsi"/>
          <w:color w:val="000000" w:themeColor="text1"/>
          <w:sz w:val="22"/>
          <w:szCs w:val="22"/>
          <w:lang w:val="en-US"/>
        </w:rPr>
        <w:t>Michael Olbrich</w:t>
      </w:r>
      <w:r w:rsidRPr="00A65F82">
        <w:rPr>
          <w:rFonts w:asciiTheme="minorHAnsi" w:eastAsia="Calibri" w:hAnsiTheme="minorHAnsi" w:cstheme="minorHAnsi"/>
          <w:color w:val="000000" w:themeColor="text1"/>
          <w:sz w:val="22"/>
          <w:szCs w:val="22"/>
          <w:vertAlign w:val="superscript"/>
          <w:lang w:val="en-US"/>
        </w:rPr>
        <w:t>1</w:t>
      </w:r>
      <w:r w:rsidRPr="00A65F82">
        <w:rPr>
          <w:rFonts w:asciiTheme="minorHAnsi" w:eastAsia="Calibri" w:hAnsiTheme="minorHAnsi" w:cstheme="minorHAnsi"/>
          <w:color w:val="000000" w:themeColor="text1"/>
          <w:sz w:val="22"/>
          <w:szCs w:val="22"/>
          <w:lang w:val="en-US"/>
        </w:rPr>
        <w:t>*, Mira Mousa</w:t>
      </w:r>
      <w:r w:rsidRPr="00A65F82">
        <w:rPr>
          <w:rFonts w:asciiTheme="minorHAnsi" w:eastAsia="Calibri" w:hAnsiTheme="minorHAnsi" w:cstheme="minorHAnsi"/>
          <w:color w:val="000000" w:themeColor="text1"/>
          <w:sz w:val="22"/>
          <w:szCs w:val="22"/>
          <w:vertAlign w:val="superscript"/>
          <w:lang w:val="en-US"/>
        </w:rPr>
        <w:t>1,2</w:t>
      </w:r>
      <w:r w:rsidRPr="00A65F82">
        <w:rPr>
          <w:rFonts w:asciiTheme="minorHAnsi" w:eastAsia="Calibri" w:hAnsiTheme="minorHAnsi" w:cstheme="minorHAnsi"/>
          <w:color w:val="000000" w:themeColor="text1"/>
          <w:sz w:val="22"/>
          <w:szCs w:val="22"/>
          <w:lang w:val="en-US"/>
        </w:rPr>
        <w:t>*, Inken Wohlers</w:t>
      </w:r>
      <w:r w:rsidRPr="00A65F82">
        <w:rPr>
          <w:rFonts w:asciiTheme="minorHAnsi" w:eastAsia="Calibri" w:hAnsiTheme="minorHAnsi" w:cstheme="minorHAnsi"/>
          <w:color w:val="000000" w:themeColor="text1"/>
          <w:sz w:val="22"/>
          <w:szCs w:val="22"/>
          <w:vertAlign w:val="superscript"/>
          <w:lang w:val="en-US"/>
        </w:rPr>
        <w:t>3,11</w:t>
      </w:r>
      <w:r w:rsidR="00AB34B2" w:rsidRPr="00A65F82">
        <w:rPr>
          <w:rFonts w:asciiTheme="minorHAnsi" w:eastAsia="Calibri" w:hAnsiTheme="minorHAnsi" w:cstheme="minorHAnsi"/>
          <w:color w:val="000000" w:themeColor="text1"/>
          <w:sz w:val="22"/>
          <w:szCs w:val="22"/>
          <w:vertAlign w:val="superscript"/>
          <w:lang w:val="en-US"/>
        </w:rPr>
        <w:t>,12</w:t>
      </w:r>
      <w:r w:rsidRPr="00A65F82">
        <w:rPr>
          <w:rFonts w:asciiTheme="minorHAnsi" w:eastAsia="Calibri" w:hAnsiTheme="minorHAnsi" w:cstheme="minorHAnsi"/>
          <w:color w:val="000000" w:themeColor="text1"/>
          <w:sz w:val="22"/>
          <w:szCs w:val="22"/>
          <w:lang w:val="en-US"/>
        </w:rPr>
        <w:t>, Amira Al Aamri</w:t>
      </w:r>
      <w:r w:rsidRPr="00A65F82">
        <w:rPr>
          <w:rFonts w:asciiTheme="minorHAnsi" w:eastAsia="Calibri" w:hAnsiTheme="minorHAnsi" w:cstheme="minorHAnsi"/>
          <w:color w:val="000000" w:themeColor="text1"/>
          <w:sz w:val="22"/>
          <w:szCs w:val="22"/>
          <w:vertAlign w:val="superscript"/>
          <w:lang w:val="en-US"/>
        </w:rPr>
        <w:t>1</w:t>
      </w:r>
      <w:r w:rsidRPr="00A65F82">
        <w:rPr>
          <w:rFonts w:asciiTheme="minorHAnsi" w:eastAsia="Calibri" w:hAnsiTheme="minorHAnsi" w:cstheme="minorHAnsi"/>
          <w:color w:val="000000" w:themeColor="text1"/>
          <w:sz w:val="22"/>
          <w:szCs w:val="22"/>
          <w:lang w:val="en-US"/>
        </w:rPr>
        <w:t>, Halima Alnaqbi</w:t>
      </w:r>
      <w:r w:rsidRPr="00A65F82">
        <w:rPr>
          <w:rFonts w:asciiTheme="minorHAnsi" w:eastAsia="Calibri" w:hAnsiTheme="minorHAnsi" w:cstheme="minorHAnsi"/>
          <w:color w:val="000000" w:themeColor="text1"/>
          <w:sz w:val="22"/>
          <w:szCs w:val="22"/>
          <w:vertAlign w:val="superscript"/>
          <w:lang w:val="en-US"/>
        </w:rPr>
        <w:t>1,4</w:t>
      </w:r>
      <w:r w:rsidRPr="00A65F82">
        <w:rPr>
          <w:rFonts w:asciiTheme="minorHAnsi" w:eastAsia="Calibri" w:hAnsiTheme="minorHAnsi" w:cstheme="minorHAnsi"/>
          <w:color w:val="000000" w:themeColor="text1"/>
          <w:sz w:val="22"/>
          <w:szCs w:val="22"/>
          <w:lang w:val="en-US"/>
        </w:rPr>
        <w:t>, Aisha Hanaya Alsuwaidi</w:t>
      </w:r>
      <w:r w:rsidRPr="00A65F82">
        <w:rPr>
          <w:rFonts w:asciiTheme="minorHAnsi" w:eastAsia="Calibri" w:hAnsiTheme="minorHAnsi" w:cstheme="minorHAnsi"/>
          <w:color w:val="000000" w:themeColor="text1"/>
          <w:sz w:val="22"/>
          <w:szCs w:val="22"/>
          <w:vertAlign w:val="superscript"/>
          <w:lang w:val="en-US"/>
        </w:rPr>
        <w:t>1,4</w:t>
      </w:r>
      <w:r w:rsidRPr="00A65F82">
        <w:rPr>
          <w:rFonts w:asciiTheme="minorHAnsi" w:eastAsia="Calibri" w:hAnsiTheme="minorHAnsi" w:cstheme="minorHAnsi"/>
          <w:color w:val="000000" w:themeColor="text1"/>
          <w:sz w:val="22"/>
          <w:szCs w:val="22"/>
          <w:lang w:val="en-US"/>
        </w:rPr>
        <w:t xml:space="preserve">, Hima </w:t>
      </w:r>
      <w:proofErr w:type="spellStart"/>
      <w:r w:rsidRPr="00A65F82">
        <w:rPr>
          <w:rFonts w:asciiTheme="minorHAnsi" w:eastAsia="Calibri" w:hAnsiTheme="minorHAnsi" w:cstheme="minorHAnsi"/>
          <w:color w:val="000000" w:themeColor="text1"/>
          <w:sz w:val="22"/>
          <w:szCs w:val="22"/>
          <w:lang w:val="en-US"/>
        </w:rPr>
        <w:t>Vadakkeveettil</w:t>
      </w:r>
      <w:proofErr w:type="spellEnd"/>
      <w:r w:rsidRPr="00A65F82">
        <w:rPr>
          <w:rFonts w:asciiTheme="minorHAnsi" w:eastAsia="Calibri" w:hAnsiTheme="minorHAnsi" w:cstheme="minorHAnsi"/>
          <w:color w:val="000000" w:themeColor="text1"/>
          <w:sz w:val="22"/>
          <w:szCs w:val="22"/>
          <w:lang w:val="en-US"/>
        </w:rPr>
        <w:t xml:space="preserve"> Manoharan</w:t>
      </w:r>
      <w:r w:rsidRPr="00A65F82">
        <w:rPr>
          <w:rFonts w:asciiTheme="minorHAnsi" w:eastAsia="Calibri" w:hAnsiTheme="minorHAnsi" w:cstheme="minorHAnsi"/>
          <w:color w:val="000000" w:themeColor="text1"/>
          <w:sz w:val="22"/>
          <w:szCs w:val="22"/>
          <w:vertAlign w:val="superscript"/>
          <w:lang w:val="en-US"/>
        </w:rPr>
        <w:t>1</w:t>
      </w:r>
      <w:r w:rsidRPr="00A65F82">
        <w:rPr>
          <w:rFonts w:asciiTheme="minorHAnsi" w:eastAsia="Calibri" w:hAnsiTheme="minorHAnsi" w:cstheme="minorHAnsi"/>
          <w:color w:val="000000" w:themeColor="text1"/>
          <w:sz w:val="22"/>
          <w:szCs w:val="22"/>
          <w:lang w:val="en-US"/>
        </w:rPr>
        <w:t>, Nour al-</w:t>
      </w:r>
      <w:proofErr w:type="spellStart"/>
      <w:r w:rsidRPr="00A65F82">
        <w:rPr>
          <w:rFonts w:asciiTheme="minorHAnsi" w:eastAsia="Calibri" w:hAnsiTheme="minorHAnsi" w:cstheme="minorHAnsi"/>
          <w:color w:val="000000" w:themeColor="text1"/>
          <w:sz w:val="22"/>
          <w:szCs w:val="22"/>
          <w:lang w:val="en-US"/>
        </w:rPr>
        <w:t>dain</w:t>
      </w:r>
      <w:proofErr w:type="spellEnd"/>
      <w:r w:rsidRPr="00A65F82">
        <w:rPr>
          <w:rFonts w:asciiTheme="minorHAnsi" w:eastAsia="Calibri" w:hAnsiTheme="minorHAnsi" w:cstheme="minorHAnsi"/>
          <w:color w:val="000000" w:themeColor="text1"/>
          <w:sz w:val="22"/>
          <w:szCs w:val="22"/>
          <w:lang w:val="en-US"/>
        </w:rPr>
        <w:t xml:space="preserve"> Marzouka</w:t>
      </w:r>
      <w:r w:rsidRPr="00A65F82">
        <w:rPr>
          <w:rFonts w:asciiTheme="minorHAnsi" w:eastAsia="Calibri" w:hAnsiTheme="minorHAnsi" w:cstheme="minorHAnsi"/>
          <w:color w:val="000000" w:themeColor="text1"/>
          <w:sz w:val="22"/>
          <w:szCs w:val="22"/>
          <w:vertAlign w:val="superscript"/>
          <w:lang w:val="en-US"/>
        </w:rPr>
        <w:t>1</w:t>
      </w:r>
      <w:r w:rsidRPr="00A65F82">
        <w:rPr>
          <w:rFonts w:asciiTheme="minorHAnsi" w:eastAsia="Calibri" w:hAnsiTheme="minorHAnsi" w:cstheme="minorHAnsi"/>
          <w:color w:val="000000" w:themeColor="text1"/>
          <w:sz w:val="22"/>
          <w:szCs w:val="22"/>
          <w:lang w:val="en-US"/>
        </w:rPr>
        <w:t>, Sanjay Erathodi Ramachandran</w:t>
      </w:r>
      <w:r w:rsidRPr="00A65F82">
        <w:rPr>
          <w:rFonts w:asciiTheme="minorHAnsi" w:eastAsia="Calibri" w:hAnsiTheme="minorHAnsi" w:cstheme="minorHAnsi"/>
          <w:color w:val="000000" w:themeColor="text1"/>
          <w:sz w:val="22"/>
          <w:szCs w:val="22"/>
          <w:vertAlign w:val="superscript"/>
          <w:lang w:val="en-US"/>
        </w:rPr>
        <w:t>1</w:t>
      </w:r>
      <w:r w:rsidRPr="00A65F82">
        <w:rPr>
          <w:rFonts w:asciiTheme="minorHAnsi" w:eastAsia="Calibri" w:hAnsiTheme="minorHAnsi" w:cstheme="minorHAnsi"/>
          <w:color w:val="000000" w:themeColor="text1"/>
          <w:sz w:val="22"/>
          <w:szCs w:val="22"/>
          <w:lang w:val="en-US"/>
        </w:rPr>
        <w:t>, Anju Annie Thomas</w:t>
      </w:r>
      <w:r w:rsidRPr="00A65F82">
        <w:rPr>
          <w:rFonts w:asciiTheme="minorHAnsi" w:eastAsia="Calibri" w:hAnsiTheme="minorHAnsi" w:cstheme="minorHAnsi"/>
          <w:color w:val="000000" w:themeColor="text1"/>
          <w:sz w:val="22"/>
          <w:szCs w:val="22"/>
          <w:vertAlign w:val="superscript"/>
          <w:lang w:val="en-US"/>
        </w:rPr>
        <w:t>1</w:t>
      </w:r>
      <w:r w:rsidRPr="00A65F82">
        <w:rPr>
          <w:rFonts w:asciiTheme="minorHAnsi" w:eastAsia="Calibri" w:hAnsiTheme="minorHAnsi" w:cstheme="minorHAnsi"/>
          <w:color w:val="000000" w:themeColor="text1"/>
          <w:sz w:val="22"/>
          <w:szCs w:val="22"/>
          <w:lang w:val="en-US"/>
        </w:rPr>
        <w:t>, Mauricio Paton Gasso</w:t>
      </w:r>
      <w:r w:rsidRPr="00A65F82">
        <w:rPr>
          <w:rFonts w:asciiTheme="minorHAnsi" w:eastAsia="Calibri" w:hAnsiTheme="minorHAnsi" w:cstheme="minorHAnsi"/>
          <w:color w:val="000000" w:themeColor="text1"/>
          <w:sz w:val="22"/>
          <w:szCs w:val="22"/>
          <w:vertAlign w:val="superscript"/>
          <w:lang w:val="en-US"/>
        </w:rPr>
        <w:t>1</w:t>
      </w:r>
      <w:r w:rsidRPr="00A65F82">
        <w:rPr>
          <w:rFonts w:asciiTheme="minorHAnsi" w:eastAsia="Calibri" w:hAnsiTheme="minorHAnsi" w:cstheme="minorHAnsi"/>
          <w:color w:val="000000" w:themeColor="text1"/>
          <w:sz w:val="22"/>
          <w:szCs w:val="22"/>
          <w:lang w:val="en-US"/>
        </w:rPr>
        <w:t>, Mubarak Almehairbi</w:t>
      </w:r>
      <w:r w:rsidRPr="00A65F82">
        <w:rPr>
          <w:rFonts w:asciiTheme="minorHAnsi" w:eastAsia="Calibri" w:hAnsiTheme="minorHAnsi" w:cstheme="minorHAnsi"/>
          <w:color w:val="000000" w:themeColor="text1"/>
          <w:sz w:val="22"/>
          <w:szCs w:val="22"/>
          <w:vertAlign w:val="superscript"/>
          <w:lang w:val="en-US"/>
        </w:rPr>
        <w:t>1</w:t>
      </w:r>
      <w:r w:rsidRPr="00A65F82">
        <w:rPr>
          <w:rFonts w:asciiTheme="minorHAnsi" w:eastAsia="Calibri" w:hAnsiTheme="minorHAnsi" w:cstheme="minorHAnsi"/>
          <w:color w:val="000000" w:themeColor="text1"/>
          <w:sz w:val="22"/>
          <w:szCs w:val="22"/>
          <w:lang w:val="en-US"/>
        </w:rPr>
        <w:t>, Mohamed Alameri</w:t>
      </w:r>
      <w:r w:rsidRPr="00A65F82">
        <w:rPr>
          <w:rFonts w:asciiTheme="minorHAnsi" w:eastAsia="Calibri" w:hAnsiTheme="minorHAnsi" w:cstheme="minorHAnsi"/>
          <w:color w:val="000000" w:themeColor="text1"/>
          <w:sz w:val="22"/>
          <w:szCs w:val="22"/>
          <w:vertAlign w:val="superscript"/>
          <w:lang w:val="en-US"/>
        </w:rPr>
        <w:t>5</w:t>
      </w:r>
      <w:r w:rsidRPr="00A65F82">
        <w:rPr>
          <w:rFonts w:asciiTheme="minorHAnsi" w:eastAsia="Calibri" w:hAnsiTheme="minorHAnsi" w:cstheme="minorHAnsi"/>
          <w:color w:val="000000" w:themeColor="text1"/>
          <w:sz w:val="22"/>
          <w:szCs w:val="22"/>
          <w:lang w:val="en-US"/>
        </w:rPr>
        <w:t>, Guan Tay</w:t>
      </w:r>
      <w:r w:rsidRPr="00A65F82">
        <w:rPr>
          <w:rFonts w:asciiTheme="minorHAnsi" w:eastAsia="Calibri" w:hAnsiTheme="minorHAnsi" w:cstheme="minorHAnsi"/>
          <w:color w:val="000000" w:themeColor="text1"/>
          <w:sz w:val="22"/>
          <w:szCs w:val="22"/>
          <w:vertAlign w:val="superscript"/>
          <w:lang w:val="en-US"/>
        </w:rPr>
        <w:t>6,7,8</w:t>
      </w:r>
      <w:r w:rsidRPr="00A65F82">
        <w:rPr>
          <w:rFonts w:asciiTheme="minorHAnsi" w:eastAsia="Calibri" w:hAnsiTheme="minorHAnsi" w:cstheme="minorHAnsi"/>
          <w:color w:val="000000" w:themeColor="text1"/>
          <w:sz w:val="22"/>
          <w:szCs w:val="22"/>
          <w:lang w:val="en-US"/>
        </w:rPr>
        <w:t>, Rifat Hamoudi</w:t>
      </w:r>
      <w:r w:rsidRPr="00A65F82">
        <w:rPr>
          <w:rFonts w:asciiTheme="minorHAnsi" w:eastAsia="Calibri" w:hAnsiTheme="minorHAnsi" w:cstheme="minorHAnsi"/>
          <w:color w:val="000000" w:themeColor="text1"/>
          <w:sz w:val="22"/>
          <w:szCs w:val="22"/>
          <w:vertAlign w:val="superscript"/>
          <w:lang w:val="en-US"/>
        </w:rPr>
        <w:t>9,10</w:t>
      </w:r>
      <w:r w:rsidRPr="00A65F82">
        <w:rPr>
          <w:rFonts w:asciiTheme="minorHAnsi" w:eastAsia="Calibri" w:hAnsiTheme="minorHAnsi" w:cstheme="minorHAnsi"/>
          <w:color w:val="000000" w:themeColor="text1"/>
          <w:sz w:val="22"/>
          <w:szCs w:val="22"/>
          <w:lang w:val="en-US"/>
        </w:rPr>
        <w:t>, Saleh Ibrahim</w:t>
      </w:r>
      <w:r w:rsidRPr="00A65F82">
        <w:rPr>
          <w:rFonts w:asciiTheme="minorHAnsi" w:eastAsia="Calibri" w:hAnsiTheme="minorHAnsi" w:cstheme="minorHAnsi"/>
          <w:color w:val="000000" w:themeColor="text1"/>
          <w:sz w:val="22"/>
          <w:szCs w:val="22"/>
          <w:vertAlign w:val="superscript"/>
          <w:lang w:val="en-US"/>
        </w:rPr>
        <w:t>1,11</w:t>
      </w:r>
      <w:r w:rsidRPr="00A65F82">
        <w:rPr>
          <w:rFonts w:asciiTheme="minorHAnsi" w:eastAsia="Calibri" w:hAnsiTheme="minorHAnsi" w:cstheme="minorHAnsi"/>
          <w:color w:val="000000" w:themeColor="text1"/>
          <w:sz w:val="22"/>
          <w:szCs w:val="22"/>
          <w:lang w:val="en-US"/>
        </w:rPr>
        <w:t>, Noura Al Ghaithi</w:t>
      </w:r>
      <w:r w:rsidRPr="00A65F82">
        <w:rPr>
          <w:rFonts w:asciiTheme="minorHAnsi" w:eastAsia="Calibri" w:hAnsiTheme="minorHAnsi" w:cstheme="minorHAnsi"/>
          <w:color w:val="000000" w:themeColor="text1"/>
          <w:sz w:val="22"/>
          <w:szCs w:val="22"/>
          <w:vertAlign w:val="superscript"/>
          <w:lang w:val="en-US"/>
        </w:rPr>
        <w:t>5</w:t>
      </w:r>
      <w:r w:rsidRPr="00A65F82">
        <w:rPr>
          <w:rFonts w:asciiTheme="minorHAnsi" w:eastAsia="Calibri" w:hAnsiTheme="minorHAnsi" w:cstheme="minorHAnsi"/>
          <w:color w:val="000000" w:themeColor="text1"/>
          <w:sz w:val="22"/>
          <w:szCs w:val="22"/>
          <w:lang w:val="en-US"/>
        </w:rPr>
        <w:t>, Habiba Alsafar</w:t>
      </w:r>
      <w:r w:rsidRPr="00A65F82">
        <w:rPr>
          <w:rFonts w:asciiTheme="minorHAnsi" w:eastAsia="Calibri" w:hAnsiTheme="minorHAnsi" w:cstheme="minorHAnsi"/>
          <w:color w:val="000000" w:themeColor="text1"/>
          <w:sz w:val="22"/>
          <w:szCs w:val="22"/>
          <w:vertAlign w:val="superscript"/>
          <w:lang w:val="en-US"/>
        </w:rPr>
        <w:t>1,4</w:t>
      </w:r>
      <w:r w:rsidRPr="00A65F82">
        <w:rPr>
          <w:rFonts w:asciiTheme="minorHAnsi" w:eastAsia="Calibri" w:hAnsiTheme="minorHAnsi" w:cstheme="minorHAnsi"/>
          <w:color w:val="000000" w:themeColor="text1"/>
          <w:sz w:val="22"/>
          <w:szCs w:val="22"/>
          <w:lang w:val="en-US"/>
        </w:rPr>
        <w:t>**</w:t>
      </w:r>
    </w:p>
    <w:p w14:paraId="2F8FEB5E" w14:textId="77777777" w:rsidR="002E5A4F" w:rsidRPr="00A65F82" w:rsidRDefault="002E5A4F" w:rsidP="002E5A4F">
      <w:pPr>
        <w:spacing w:before="200"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Affiliations:</w:t>
      </w:r>
    </w:p>
    <w:p w14:paraId="3F454E50" w14:textId="77777777" w:rsidR="002E5A4F" w:rsidRPr="00A65F82" w:rsidRDefault="002E5A4F" w:rsidP="002E5A4F">
      <w:pPr>
        <w:numPr>
          <w:ilvl w:val="0"/>
          <w:numId w:val="3"/>
        </w:numPr>
        <w:spacing w:before="200" w:line="360" w:lineRule="auto"/>
        <w:jc w:val="both"/>
        <w:rPr>
          <w:rFonts w:asciiTheme="minorHAnsi" w:eastAsia="Calibri" w:hAnsiTheme="minorHAnsi" w:cstheme="minorHAnsi"/>
          <w:color w:val="000000" w:themeColor="text1"/>
          <w:sz w:val="22"/>
          <w:szCs w:val="22"/>
        </w:rPr>
      </w:pPr>
      <w:proofErr w:type="spellStart"/>
      <w:r w:rsidRPr="00A65F82">
        <w:rPr>
          <w:rFonts w:asciiTheme="minorHAnsi" w:eastAsia="Calibri" w:hAnsiTheme="minorHAnsi" w:cstheme="minorHAnsi"/>
          <w:color w:val="000000" w:themeColor="text1"/>
          <w:sz w:val="22"/>
          <w:szCs w:val="22"/>
        </w:rPr>
        <w:t>Center</w:t>
      </w:r>
      <w:proofErr w:type="spellEnd"/>
      <w:r w:rsidRPr="00A65F82">
        <w:rPr>
          <w:rFonts w:asciiTheme="minorHAnsi" w:eastAsia="Calibri" w:hAnsiTheme="minorHAnsi" w:cstheme="minorHAnsi"/>
          <w:color w:val="000000" w:themeColor="text1"/>
          <w:sz w:val="22"/>
          <w:szCs w:val="22"/>
        </w:rPr>
        <w:t xml:space="preserve"> for Biotechnology, Khalifa University of Science and Technology, Abu Dhabi, UAE</w:t>
      </w:r>
    </w:p>
    <w:p w14:paraId="60DA32BF"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Department of Public Health and Epidemiology, Khalifa University of Science and Technology, Abu Dhabi, UAE</w:t>
      </w:r>
    </w:p>
    <w:p w14:paraId="2DD9A181"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 xml:space="preserve">Biomolecular Data Science in Pneumology, Research </w:t>
      </w:r>
      <w:proofErr w:type="spellStart"/>
      <w:r w:rsidRPr="00A65F82">
        <w:rPr>
          <w:rFonts w:asciiTheme="minorHAnsi" w:eastAsia="Calibri" w:hAnsiTheme="minorHAnsi" w:cstheme="minorHAnsi"/>
          <w:color w:val="000000" w:themeColor="text1"/>
          <w:sz w:val="22"/>
          <w:szCs w:val="22"/>
        </w:rPr>
        <w:t>Center</w:t>
      </w:r>
      <w:proofErr w:type="spellEnd"/>
      <w:r w:rsidRPr="00A65F82">
        <w:rPr>
          <w:rFonts w:asciiTheme="minorHAnsi" w:eastAsia="Calibri" w:hAnsiTheme="minorHAnsi" w:cstheme="minorHAnsi"/>
          <w:color w:val="000000" w:themeColor="text1"/>
          <w:sz w:val="22"/>
          <w:szCs w:val="22"/>
        </w:rPr>
        <w:t xml:space="preserve"> Borstel - Leibniz Lung </w:t>
      </w:r>
      <w:proofErr w:type="spellStart"/>
      <w:r w:rsidRPr="00A65F82">
        <w:rPr>
          <w:rFonts w:asciiTheme="minorHAnsi" w:eastAsia="Calibri" w:hAnsiTheme="minorHAnsi" w:cstheme="minorHAnsi"/>
          <w:color w:val="000000" w:themeColor="text1"/>
          <w:sz w:val="22"/>
          <w:szCs w:val="22"/>
        </w:rPr>
        <w:t>Center</w:t>
      </w:r>
      <w:proofErr w:type="spellEnd"/>
      <w:r w:rsidRPr="00A65F82">
        <w:rPr>
          <w:rFonts w:asciiTheme="minorHAnsi" w:eastAsia="Calibri" w:hAnsiTheme="minorHAnsi" w:cstheme="minorHAnsi"/>
          <w:color w:val="000000" w:themeColor="text1"/>
          <w:sz w:val="22"/>
          <w:szCs w:val="22"/>
        </w:rPr>
        <w:t>, Germany</w:t>
      </w:r>
    </w:p>
    <w:p w14:paraId="11159CB8"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Department of Biomedical Engineering and Biotechnology, Khalifa University of Science and Technology, Abu Dhabi, UAE</w:t>
      </w:r>
    </w:p>
    <w:p w14:paraId="052A03EE"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Abu Dhabi Department of Health, Abu Dhabi, UAE</w:t>
      </w:r>
    </w:p>
    <w:p w14:paraId="37E58712"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College of Medicine and Health Sciences, Khalifa University for Science and Technology, Abu Dhabi, UAE</w:t>
      </w:r>
    </w:p>
    <w:p w14:paraId="7B7B8D8F"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Psychiatry, UWA Medical School, University of Western Australia, Perth, Western Australia, Australia</w:t>
      </w:r>
    </w:p>
    <w:p w14:paraId="4DF2A6DA"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School of Medical and Health Sciences, Edith Cowan University, Joondalup, Western Australia, Australia</w:t>
      </w:r>
    </w:p>
    <w:p w14:paraId="70F7D56E"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College of Medicine, University of Sharjah, Sharjah, UAE</w:t>
      </w:r>
    </w:p>
    <w:p w14:paraId="6EC3CDCD"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Division of Surgery and Interventional Science, University College London, London, UK</w:t>
      </w:r>
    </w:p>
    <w:p w14:paraId="68BB2097" w14:textId="77777777" w:rsidR="002E5A4F" w:rsidRPr="00A65F82" w:rsidRDefault="002E5A4F" w:rsidP="002E5A4F">
      <w:pPr>
        <w:numPr>
          <w:ilvl w:val="0"/>
          <w:numId w:val="3"/>
        </w:numPr>
        <w:spacing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Department of Medical Sciences, Khalifa University of Science and Technology, Abu Dhabi, UAE</w:t>
      </w:r>
    </w:p>
    <w:p w14:paraId="61E0AEF2" w14:textId="7EF2CE65" w:rsidR="00833876" w:rsidRPr="00A65F82" w:rsidRDefault="00833876" w:rsidP="00833876">
      <w:pPr>
        <w:numPr>
          <w:ilvl w:val="0"/>
          <w:numId w:val="3"/>
        </w:numPr>
        <w:spacing w:line="360" w:lineRule="auto"/>
        <w:jc w:val="both"/>
        <w:rPr>
          <w:rFonts w:asciiTheme="minorHAnsi" w:eastAsiaTheme="majorEastAsia" w:hAnsiTheme="minorHAnsi" w:cstheme="minorHAnsi"/>
          <w:color w:val="000000" w:themeColor="text1"/>
          <w:sz w:val="22"/>
          <w:szCs w:val="22"/>
        </w:rPr>
      </w:pPr>
      <w:r w:rsidRPr="00A65F82">
        <w:rPr>
          <w:rFonts w:asciiTheme="minorHAnsi" w:hAnsiTheme="minorHAnsi" w:cstheme="minorHAnsi"/>
          <w:color w:val="000000" w:themeColor="text1"/>
          <w:sz w:val="22"/>
          <w:szCs w:val="22"/>
        </w:rPr>
        <w:t>University of Lübeck, Lübeck, Germany</w:t>
      </w:r>
    </w:p>
    <w:p w14:paraId="6DDE2914" w14:textId="77777777" w:rsidR="002E5A4F" w:rsidRPr="00A65F82" w:rsidRDefault="002E5A4F" w:rsidP="002E5A4F">
      <w:pPr>
        <w:spacing w:before="200"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Keywords: Population genetics, Middle East, Genome reference assembly, Diploid assembly, Telomere-to-telomere, human pangenome</w:t>
      </w:r>
    </w:p>
    <w:p w14:paraId="7EDAD780" w14:textId="77777777" w:rsidR="002E5A4F" w:rsidRPr="00A65F82" w:rsidRDefault="002E5A4F" w:rsidP="002E5A4F">
      <w:pPr>
        <w:spacing w:before="200"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*These authors contributed equally to this work</w:t>
      </w:r>
    </w:p>
    <w:p w14:paraId="2C8A57CA" w14:textId="77777777" w:rsidR="002E5A4F" w:rsidRPr="00A65F82" w:rsidRDefault="002E5A4F" w:rsidP="002E5A4F">
      <w:pPr>
        <w:spacing w:before="200" w:line="360" w:lineRule="auto"/>
        <w:jc w:val="both"/>
        <w:rPr>
          <w:rFonts w:asciiTheme="minorHAnsi" w:eastAsia="Calibri" w:hAnsiTheme="minorHAnsi" w:cstheme="minorHAnsi"/>
          <w:color w:val="000000" w:themeColor="text1"/>
          <w:sz w:val="22"/>
          <w:szCs w:val="22"/>
        </w:rPr>
      </w:pPr>
      <w:r w:rsidRPr="00A65F82">
        <w:rPr>
          <w:rFonts w:asciiTheme="minorHAnsi" w:eastAsia="Calibri" w:hAnsiTheme="minorHAnsi" w:cstheme="minorHAnsi"/>
          <w:color w:val="000000" w:themeColor="text1"/>
          <w:sz w:val="22"/>
          <w:szCs w:val="22"/>
        </w:rPr>
        <w:t xml:space="preserve">**Correspondence: </w:t>
      </w:r>
      <w:hyperlink r:id="rId6">
        <w:r w:rsidRPr="00A65F82">
          <w:rPr>
            <w:rFonts w:asciiTheme="minorHAnsi" w:eastAsia="Calibri" w:hAnsiTheme="minorHAnsi" w:cstheme="minorHAnsi"/>
            <w:color w:val="000000" w:themeColor="text1"/>
            <w:sz w:val="22"/>
            <w:szCs w:val="22"/>
            <w:u w:val="single"/>
          </w:rPr>
          <w:t>habiba.alsafar@ku.ac.ae</w:t>
        </w:r>
      </w:hyperlink>
      <w:r w:rsidRPr="00A65F82">
        <w:rPr>
          <w:rFonts w:asciiTheme="minorHAnsi" w:eastAsia="Calibri" w:hAnsiTheme="minorHAnsi" w:cstheme="minorHAnsi"/>
          <w:color w:val="000000" w:themeColor="text1"/>
          <w:sz w:val="22"/>
          <w:szCs w:val="22"/>
        </w:rPr>
        <w:t xml:space="preserve"> </w:t>
      </w:r>
    </w:p>
    <w:p w14:paraId="64181661" w14:textId="77777777" w:rsidR="00BE29A9" w:rsidRPr="00A65F82" w:rsidRDefault="00BE29A9" w:rsidP="00627CC9">
      <w:pPr>
        <w:spacing w:line="360" w:lineRule="auto"/>
        <w:jc w:val="both"/>
        <w:rPr>
          <w:rFonts w:asciiTheme="minorHAnsi" w:hAnsiTheme="minorHAnsi" w:cstheme="minorHAnsi"/>
          <w:b/>
          <w:bCs/>
          <w:iCs/>
          <w:color w:val="000000" w:themeColor="text1"/>
          <w:sz w:val="22"/>
          <w:szCs w:val="22"/>
        </w:rPr>
      </w:pPr>
    </w:p>
    <w:p w14:paraId="106432C4" w14:textId="77777777" w:rsidR="00EA39C0" w:rsidRPr="00A65F82" w:rsidRDefault="00EA39C0" w:rsidP="00627CC9">
      <w:pPr>
        <w:spacing w:line="360" w:lineRule="auto"/>
        <w:jc w:val="both"/>
        <w:rPr>
          <w:rFonts w:asciiTheme="minorHAnsi" w:hAnsiTheme="minorHAnsi" w:cstheme="minorHAnsi"/>
          <w:b/>
          <w:bCs/>
          <w:iCs/>
          <w:color w:val="000000" w:themeColor="text1"/>
          <w:sz w:val="22"/>
          <w:szCs w:val="22"/>
        </w:rPr>
      </w:pPr>
    </w:p>
    <w:p w14:paraId="56777968" w14:textId="14BD0E76" w:rsidR="000552B1" w:rsidRPr="00A65F82" w:rsidRDefault="000552B1" w:rsidP="00F5601E">
      <w:pPr>
        <w:spacing w:line="360" w:lineRule="auto"/>
        <w:jc w:val="both"/>
        <w:rPr>
          <w:rFonts w:asciiTheme="minorHAnsi" w:hAnsiTheme="minorHAnsi" w:cstheme="minorHAnsi"/>
          <w:b/>
          <w:bCs/>
          <w:iCs/>
          <w:color w:val="000000" w:themeColor="text1"/>
          <w:sz w:val="22"/>
          <w:szCs w:val="22"/>
        </w:rPr>
      </w:pPr>
      <w:r w:rsidRPr="00A65F82">
        <w:rPr>
          <w:rFonts w:asciiTheme="minorHAnsi" w:hAnsiTheme="minorHAnsi" w:cstheme="minorHAnsi"/>
          <w:b/>
          <w:bCs/>
          <w:iCs/>
          <w:color w:val="000000" w:themeColor="text1"/>
          <w:sz w:val="22"/>
          <w:szCs w:val="22"/>
        </w:rPr>
        <w:lastRenderedPageBreak/>
        <w:t>Supplementary Table</w:t>
      </w:r>
      <w:r w:rsidR="002235A2" w:rsidRPr="00A65F82">
        <w:rPr>
          <w:rFonts w:asciiTheme="minorHAnsi" w:hAnsiTheme="minorHAnsi" w:cstheme="minorHAnsi"/>
          <w:b/>
          <w:bCs/>
          <w:iCs/>
          <w:color w:val="000000" w:themeColor="text1"/>
          <w:sz w:val="22"/>
          <w:szCs w:val="22"/>
        </w:rPr>
        <w:t>s</w:t>
      </w:r>
    </w:p>
    <w:p w14:paraId="0120AB3D" w14:textId="6E6488D4" w:rsidR="77413F4C" w:rsidRPr="00A65F82" w:rsidRDefault="77413F4C"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w:t>
      </w:r>
      <w:r w:rsidRPr="00A65F82">
        <w:rPr>
          <w:rFonts w:asciiTheme="minorHAnsi" w:hAnsiTheme="minorHAnsi" w:cstheme="minorHAnsi"/>
          <w:color w:val="000000" w:themeColor="text1"/>
          <w:sz w:val="22"/>
          <w:szCs w:val="22"/>
        </w:rPr>
        <w:t xml:space="preserve"> Summary of Illumina short-read sequencing data generated using the NovaSeq 6000 platform. Sequencing was performed with a read length of 150 bp, yielding coverage exceeding 90</w:t>
      </w:r>
      <w:r w:rsidR="0331F16C" w:rsidRPr="00A65F82">
        <w:rPr>
          <w:rFonts w:asciiTheme="minorHAnsi" w:hAnsiTheme="minorHAnsi" w:cstheme="minorHAnsi"/>
          <w:color w:val="000000" w:themeColor="text1"/>
          <w:sz w:val="22"/>
          <w:szCs w:val="22"/>
        </w:rPr>
        <w:t>X</w:t>
      </w:r>
      <w:r w:rsidRPr="00A65F82">
        <w:rPr>
          <w:rFonts w:asciiTheme="minorHAnsi" w:hAnsiTheme="minorHAnsi" w:cstheme="minorHAnsi"/>
          <w:color w:val="000000" w:themeColor="text1"/>
          <w:sz w:val="22"/>
          <w:szCs w:val="22"/>
        </w:rPr>
        <w:t xml:space="preserve"> for all individuals. Coverage was calculated based on the CHM13 genome length.</w:t>
      </w:r>
    </w:p>
    <w:p w14:paraId="26146323" w14:textId="3E9EEDEB" w:rsidR="09A1D1E3" w:rsidRPr="00A65F82" w:rsidRDefault="09A1D1E3"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2:</w:t>
      </w:r>
      <w:r w:rsidRPr="00A65F82">
        <w:rPr>
          <w:rFonts w:asciiTheme="minorHAnsi" w:hAnsiTheme="minorHAnsi" w:cstheme="minorHAnsi"/>
          <w:color w:val="000000" w:themeColor="text1"/>
          <w:sz w:val="22"/>
          <w:szCs w:val="22"/>
        </w:rPr>
        <w:t xml:space="preserve"> Summary of long-read sequencing data generated for ERG_FATHER, ERG_MOTHER, and </w:t>
      </w:r>
      <w:r w:rsidR="00F132AC" w:rsidRPr="00A65F82">
        <w:rPr>
          <w:rFonts w:asciiTheme="minorHAnsi" w:hAnsiTheme="minorHAnsi" w:cstheme="minorHAnsi"/>
          <w:color w:val="000000" w:themeColor="text1"/>
          <w:sz w:val="22"/>
          <w:szCs w:val="22"/>
        </w:rPr>
        <w:t>T2T-</w:t>
      </w:r>
      <w:r w:rsidRPr="00A65F82">
        <w:rPr>
          <w:rFonts w:asciiTheme="minorHAnsi" w:hAnsiTheme="minorHAnsi" w:cstheme="minorHAnsi"/>
          <w:color w:val="000000" w:themeColor="text1"/>
          <w:sz w:val="22"/>
          <w:szCs w:val="22"/>
        </w:rPr>
        <w:t xml:space="preserve">ERG_XX using PacBio HiFi and Oxford Nanopore Technologies (ONT) platforms. Coverage is computed for the genome length of CHM13. ERG_FATHER has two HiFi and one ONT run, ERG_MOTHER has three HiFi and one ONT and </w:t>
      </w:r>
      <w:r w:rsidR="00DD6860">
        <w:rPr>
          <w:rFonts w:asciiTheme="minorHAnsi" w:hAnsiTheme="minorHAnsi" w:cstheme="minorHAnsi"/>
          <w:color w:val="000000" w:themeColor="text1"/>
          <w:sz w:val="22"/>
          <w:szCs w:val="22"/>
        </w:rPr>
        <w:t>T2T-</w:t>
      </w:r>
      <w:r w:rsidRPr="00A65F82">
        <w:rPr>
          <w:rFonts w:asciiTheme="minorHAnsi" w:hAnsiTheme="minorHAnsi" w:cstheme="minorHAnsi"/>
          <w:color w:val="000000" w:themeColor="text1"/>
          <w:sz w:val="22"/>
          <w:szCs w:val="22"/>
        </w:rPr>
        <w:t xml:space="preserve">ERG_XX has four HiFi and 19 ONT runs. HiFi sequencing data demonstrated high coverage across all individuals, with coverage ranging from 29.52x to 34.54x. ONT sequencing data included multiple files per sample, with varying sequencing depths and coverage ranging from 0.05x to 31.83x. </w:t>
      </w:r>
    </w:p>
    <w:p w14:paraId="7FDCC10C" w14:textId="2028D2EA" w:rsidR="09A1D1E3" w:rsidRPr="00A65F82" w:rsidRDefault="09A1D1E3"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3:</w:t>
      </w:r>
      <w:r w:rsidRPr="00A65F82">
        <w:rPr>
          <w:rFonts w:asciiTheme="minorHAnsi" w:hAnsiTheme="minorHAnsi" w:cstheme="minorHAnsi"/>
          <w:color w:val="000000" w:themeColor="text1"/>
          <w:sz w:val="22"/>
          <w:szCs w:val="22"/>
        </w:rPr>
        <w:t xml:space="preserve"> Summary of processed and merged sequencing data for </w:t>
      </w:r>
      <w:r w:rsidR="00F132AC" w:rsidRPr="00A65F82">
        <w:rPr>
          <w:rFonts w:asciiTheme="minorHAnsi" w:hAnsiTheme="minorHAnsi" w:cstheme="minorHAnsi"/>
          <w:color w:val="000000" w:themeColor="text1"/>
          <w:sz w:val="22"/>
          <w:szCs w:val="22"/>
        </w:rPr>
        <w:t>T2T-</w:t>
      </w:r>
      <w:r w:rsidRPr="00A65F82">
        <w:rPr>
          <w:rFonts w:asciiTheme="minorHAnsi" w:hAnsiTheme="minorHAnsi" w:cstheme="minorHAnsi"/>
          <w:color w:val="000000" w:themeColor="text1"/>
          <w:sz w:val="22"/>
          <w:szCs w:val="22"/>
        </w:rPr>
        <w:t xml:space="preserve">ERG_XX, ERG_FATHER, and ERG_MOTHER across Illumina, Oxford Nanopore Technologies (ONT), and PacBio HiFi platforms. The coverage is computed for the genome length of CHM13. Illumina data has been downsampled by 50% for each sequencing file in Supplementary Table 1 and achieved a coverage of 46.73×. ONT and HiFi data are combined from long-read sequencing data listed in Supplementary Table 2. ONT data for </w:t>
      </w:r>
      <w:r w:rsidR="00F132AC" w:rsidRPr="00A65F82">
        <w:rPr>
          <w:rFonts w:asciiTheme="minorHAnsi" w:hAnsiTheme="minorHAnsi" w:cstheme="minorHAnsi"/>
          <w:color w:val="000000" w:themeColor="text1"/>
          <w:sz w:val="22"/>
          <w:szCs w:val="22"/>
        </w:rPr>
        <w:t>T2T-</w:t>
      </w:r>
      <w:r w:rsidRPr="00A65F82">
        <w:rPr>
          <w:rFonts w:asciiTheme="minorHAnsi" w:hAnsiTheme="minorHAnsi" w:cstheme="minorHAnsi"/>
          <w:color w:val="000000" w:themeColor="text1"/>
          <w:sz w:val="22"/>
          <w:szCs w:val="22"/>
        </w:rPr>
        <w:t xml:space="preserve">ERG_XX amounts to coverage of 111.81x with long-read lengths, as shown by a maximum read length of 824,775 bp and an N50 of 16,928 bp. HiFi sequencing provided high-accuracy data with coverage values ranging from 63.01x to 126.64x and N50 values between 15,167 bp and 17,934 bp. </w:t>
      </w:r>
    </w:p>
    <w:p w14:paraId="4C505B3F" w14:textId="46C6492C" w:rsidR="09A1D1E3" w:rsidRPr="00A65F82" w:rsidRDefault="09A1D1E3"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4:</w:t>
      </w:r>
      <w:r w:rsidRPr="00A65F82">
        <w:rPr>
          <w:rFonts w:asciiTheme="minorHAnsi" w:hAnsiTheme="minorHAnsi" w:cstheme="minorHAnsi"/>
          <w:color w:val="000000" w:themeColor="text1"/>
          <w:sz w:val="22"/>
          <w:szCs w:val="22"/>
        </w:rPr>
        <w:t xml:space="preserve"> Summary of assembly strategies and performance metrics for maternal and paternal haplotypes </w:t>
      </w:r>
      <w:r w:rsidR="005E1208" w:rsidRPr="00A65F82">
        <w:rPr>
          <w:rFonts w:asciiTheme="minorHAnsi" w:hAnsiTheme="minorHAnsi" w:cstheme="minorHAnsi"/>
          <w:color w:val="000000" w:themeColor="text1"/>
          <w:sz w:val="22"/>
          <w:szCs w:val="22"/>
        </w:rPr>
        <w:t xml:space="preserve">of </w:t>
      </w:r>
      <w:r w:rsidR="00F132AC" w:rsidRPr="00A65F82">
        <w:rPr>
          <w:rFonts w:asciiTheme="minorHAnsi" w:hAnsiTheme="minorHAnsi" w:cstheme="minorHAnsi"/>
          <w:color w:val="000000" w:themeColor="text1"/>
          <w:sz w:val="22"/>
          <w:szCs w:val="22"/>
        </w:rPr>
        <w:t>T2T-</w:t>
      </w:r>
      <w:r w:rsidR="005E1208" w:rsidRPr="00A65F82">
        <w:rPr>
          <w:rFonts w:asciiTheme="minorHAnsi" w:hAnsiTheme="minorHAnsi" w:cstheme="minorHAnsi"/>
          <w:color w:val="000000" w:themeColor="text1"/>
          <w:sz w:val="22"/>
          <w:szCs w:val="22"/>
        </w:rPr>
        <w:t xml:space="preserve">ERG_XX </w:t>
      </w:r>
      <w:r w:rsidRPr="00A65F82">
        <w:rPr>
          <w:rFonts w:asciiTheme="minorHAnsi" w:hAnsiTheme="minorHAnsi" w:cstheme="minorHAnsi"/>
          <w:color w:val="000000" w:themeColor="text1"/>
          <w:sz w:val="22"/>
          <w:szCs w:val="22"/>
        </w:rPr>
        <w:t xml:space="preserve">calculated before manually fixing one assembly error in the final maternal and paternal </w:t>
      </w:r>
      <w:r w:rsidR="005E1208" w:rsidRPr="00A65F82">
        <w:rPr>
          <w:rFonts w:asciiTheme="minorHAnsi" w:hAnsiTheme="minorHAnsi" w:cstheme="minorHAnsi"/>
          <w:color w:val="000000" w:themeColor="text1"/>
          <w:sz w:val="22"/>
          <w:szCs w:val="22"/>
        </w:rPr>
        <w:t>haplotype</w:t>
      </w:r>
      <w:r w:rsidRPr="00A65F82">
        <w:rPr>
          <w:rFonts w:asciiTheme="minorHAnsi" w:hAnsiTheme="minorHAnsi" w:cstheme="minorHAnsi"/>
          <w:color w:val="000000" w:themeColor="text1"/>
          <w:sz w:val="22"/>
          <w:szCs w:val="22"/>
        </w:rPr>
        <w:t xml:space="preserve">. The strategy incorporated combinations of assembly tools, including Verkko, ntLink (HiFi and ONT), RagTag, hifiasm, and quarTeT, with and without Ratatosk correction. The number of contigs ranged from 25 to 195, with total base counts exceeding 3.02 Gb for all assemblies. Maternal </w:t>
      </w:r>
      <w:r w:rsidR="005E1208" w:rsidRPr="00A65F82">
        <w:rPr>
          <w:rFonts w:asciiTheme="minorHAnsi" w:hAnsiTheme="minorHAnsi" w:cstheme="minorHAnsi"/>
          <w:color w:val="000000" w:themeColor="text1"/>
          <w:sz w:val="22"/>
          <w:szCs w:val="22"/>
        </w:rPr>
        <w:t>haplotypes</w:t>
      </w:r>
      <w:r w:rsidRPr="00A65F82">
        <w:rPr>
          <w:rFonts w:asciiTheme="minorHAnsi" w:hAnsiTheme="minorHAnsi" w:cstheme="minorHAnsi"/>
          <w:color w:val="000000" w:themeColor="text1"/>
          <w:sz w:val="22"/>
          <w:szCs w:val="22"/>
        </w:rPr>
        <w:t xml:space="preserve"> achieved N50 values up to 153.4 Mb and QV scores over 60, while paternal </w:t>
      </w:r>
      <w:r w:rsidR="005E1208" w:rsidRPr="00A65F82">
        <w:rPr>
          <w:rFonts w:asciiTheme="minorHAnsi" w:hAnsiTheme="minorHAnsi" w:cstheme="minorHAnsi"/>
          <w:color w:val="000000" w:themeColor="text1"/>
          <w:sz w:val="22"/>
          <w:szCs w:val="22"/>
        </w:rPr>
        <w:t xml:space="preserve">haplotypes </w:t>
      </w:r>
      <w:r w:rsidRPr="00A65F82">
        <w:rPr>
          <w:rFonts w:asciiTheme="minorHAnsi" w:hAnsiTheme="minorHAnsi" w:cstheme="minorHAnsi"/>
          <w:color w:val="000000" w:themeColor="text1"/>
          <w:sz w:val="22"/>
          <w:szCs w:val="22"/>
        </w:rPr>
        <w:t xml:space="preserve">exhibited N50 values up to 162.2 Mb. Hamming error rates ranged from 7.2962 to 18.1856, highlighting variability across strategies. </w:t>
      </w:r>
    </w:p>
    <w:p w14:paraId="387A2128" w14:textId="3FF1F2A1" w:rsidR="09A1D1E3" w:rsidRPr="00A65F82" w:rsidRDefault="09A1D1E3"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5:</w:t>
      </w:r>
      <w:r w:rsidRPr="00A65F82">
        <w:rPr>
          <w:rFonts w:asciiTheme="minorHAnsi" w:hAnsiTheme="minorHAnsi" w:cstheme="minorHAnsi"/>
          <w:color w:val="000000" w:themeColor="text1"/>
          <w:sz w:val="22"/>
          <w:szCs w:val="22"/>
        </w:rPr>
        <w:t xml:space="preserve"> Analysis of maternal and paternal </w:t>
      </w:r>
      <w:r w:rsidR="00F132AC" w:rsidRPr="00A65F82">
        <w:rPr>
          <w:rFonts w:asciiTheme="minorHAnsi" w:hAnsiTheme="minorHAnsi" w:cstheme="minorHAnsi"/>
          <w:color w:val="000000" w:themeColor="text1"/>
          <w:sz w:val="22"/>
          <w:szCs w:val="22"/>
        </w:rPr>
        <w:t>T2T-</w:t>
      </w:r>
      <w:r w:rsidRPr="00A65F82">
        <w:rPr>
          <w:rFonts w:asciiTheme="minorHAnsi" w:hAnsiTheme="minorHAnsi" w:cstheme="minorHAnsi"/>
          <w:color w:val="000000" w:themeColor="text1"/>
          <w:sz w:val="22"/>
          <w:szCs w:val="22"/>
        </w:rPr>
        <w:t>ERG</w:t>
      </w:r>
      <w:r w:rsidR="005E1208" w:rsidRPr="00A65F82">
        <w:rPr>
          <w:rFonts w:asciiTheme="minorHAnsi" w:hAnsiTheme="minorHAnsi" w:cstheme="minorHAnsi"/>
          <w:color w:val="000000" w:themeColor="text1"/>
          <w:sz w:val="22"/>
          <w:szCs w:val="22"/>
        </w:rPr>
        <w:t>_XX</w:t>
      </w:r>
      <w:r w:rsidRPr="00A65F82">
        <w:rPr>
          <w:rFonts w:asciiTheme="minorHAnsi" w:hAnsiTheme="minorHAnsi" w:cstheme="minorHAnsi"/>
          <w:color w:val="000000" w:themeColor="text1"/>
          <w:sz w:val="22"/>
          <w:szCs w:val="22"/>
        </w:rPr>
        <w:t xml:space="preserve"> haplotypes derived from a single individual's genome using combined Verkko and HiFiASM assemblies. Metrics from QUAST, yak, and Inspector (see Methods) include contiguity, assembly size, alignment quality, and structural correctness. The maternal haplotype contains 80 contigs (largest: 251.6 Mb, N50: 153.4 Mb), while the paternal haplotype has 100 contigs (largest: 247.6 Mb, N50: 162.2 Mb). Both </w:t>
      </w:r>
      <w:r w:rsidR="005E1208" w:rsidRPr="00A65F82">
        <w:rPr>
          <w:rFonts w:asciiTheme="minorHAnsi" w:hAnsiTheme="minorHAnsi" w:cstheme="minorHAnsi"/>
          <w:color w:val="000000" w:themeColor="text1"/>
          <w:sz w:val="22"/>
          <w:szCs w:val="22"/>
        </w:rPr>
        <w:t xml:space="preserve">haplotypes </w:t>
      </w:r>
      <w:r w:rsidRPr="00A65F82">
        <w:rPr>
          <w:rFonts w:asciiTheme="minorHAnsi" w:hAnsiTheme="minorHAnsi" w:cstheme="minorHAnsi"/>
          <w:color w:val="000000" w:themeColor="text1"/>
          <w:sz w:val="22"/>
          <w:szCs w:val="22"/>
        </w:rPr>
        <w:t xml:space="preserve">achieved high genome coverage (94.38% maternal, 94.40% paternal) and minimal duplication rates (1.017–1.018). Gene coverage, based on CHM13v2.0 annotation, and alignment metrics (NA50, NGA50) indicate high completeness and alignment quality. </w:t>
      </w:r>
    </w:p>
    <w:p w14:paraId="3AD75B09" w14:textId="4C99026B" w:rsidR="09A1D1E3" w:rsidRPr="00A65F82" w:rsidRDefault="09A1D1E3"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6:</w:t>
      </w:r>
      <w:r w:rsidRPr="00A65F82">
        <w:rPr>
          <w:rFonts w:asciiTheme="minorHAnsi" w:hAnsiTheme="minorHAnsi" w:cstheme="minorHAnsi"/>
          <w:color w:val="000000" w:themeColor="text1"/>
          <w:sz w:val="22"/>
          <w:szCs w:val="22"/>
        </w:rPr>
        <w:t xml:space="preserve"> Analysis of maternal and paternal </w:t>
      </w:r>
      <w:r w:rsidR="00F132AC" w:rsidRPr="00A65F82">
        <w:rPr>
          <w:rFonts w:asciiTheme="minorHAnsi" w:hAnsiTheme="minorHAnsi" w:cstheme="minorHAnsi"/>
          <w:color w:val="000000" w:themeColor="text1"/>
          <w:sz w:val="22"/>
          <w:szCs w:val="22"/>
        </w:rPr>
        <w:t>T2T-</w:t>
      </w:r>
      <w:r w:rsidRPr="00A65F82">
        <w:rPr>
          <w:rFonts w:asciiTheme="minorHAnsi" w:hAnsiTheme="minorHAnsi" w:cstheme="minorHAnsi"/>
          <w:color w:val="000000" w:themeColor="text1"/>
          <w:sz w:val="22"/>
          <w:szCs w:val="22"/>
        </w:rPr>
        <w:t>ERG</w:t>
      </w:r>
      <w:r w:rsidR="005E1208" w:rsidRPr="00A65F82">
        <w:rPr>
          <w:rFonts w:asciiTheme="minorHAnsi" w:hAnsiTheme="minorHAnsi" w:cstheme="minorHAnsi"/>
          <w:color w:val="000000" w:themeColor="text1"/>
          <w:sz w:val="22"/>
          <w:szCs w:val="22"/>
        </w:rPr>
        <w:t>_XX</w:t>
      </w:r>
      <w:r w:rsidRPr="00A65F82">
        <w:rPr>
          <w:rFonts w:asciiTheme="minorHAnsi" w:hAnsiTheme="minorHAnsi" w:cstheme="minorHAnsi"/>
          <w:color w:val="000000" w:themeColor="text1"/>
          <w:sz w:val="22"/>
          <w:szCs w:val="22"/>
        </w:rPr>
        <w:t xml:space="preserve"> haplotypes, detailing the start and end positions of gaps across chromosomes and their respective gap sizes. The table provides information on gaps identified in both haplotypes, spanning autosomal chromosomes, sex chromosomes, and mitochondrial DNA. Gap lengths range from 1 bp (e.g., T2TXXmatChrM) to 100,000 bp (e.g., chr19_RagTag for the paternal haplotype). Maternal gaps are predominantly small, with most ranging between 100 bp and 7,500 bp, and are distributed across chromosomes such as chr1_RagTag, </w:t>
      </w:r>
      <w:r w:rsidRPr="00A65F82">
        <w:rPr>
          <w:rFonts w:asciiTheme="minorHAnsi" w:hAnsiTheme="minorHAnsi" w:cstheme="minorHAnsi"/>
          <w:color w:val="000000" w:themeColor="text1"/>
          <w:sz w:val="22"/>
          <w:szCs w:val="22"/>
        </w:rPr>
        <w:lastRenderedPageBreak/>
        <w:t xml:space="preserve">chr2_RagTag, and chrX_RagTag. In contrast, paternal haplotypes show a similar distribution but include a larger gap, with the 100,000 bp gap on chr19_RagTag. </w:t>
      </w:r>
    </w:p>
    <w:p w14:paraId="5C732385" w14:textId="20FBFBB7" w:rsidR="0D391850" w:rsidRPr="00A65F82" w:rsidRDefault="0D391850"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7:</w:t>
      </w:r>
      <w:r w:rsidRPr="00A65F82">
        <w:rPr>
          <w:rFonts w:asciiTheme="minorHAnsi" w:hAnsiTheme="minorHAnsi" w:cstheme="minorHAnsi"/>
          <w:color w:val="000000" w:themeColor="text1"/>
          <w:sz w:val="22"/>
          <w:szCs w:val="22"/>
        </w:rPr>
        <w:t xml:space="preserve"> Sequencing data quality metrics for the HiFi data underlying pangenome assemblies across 27 trio (TA) and 30 single (SA) sample types for male (XY) and female (XX) individuals. Coverage values range from 25.53× to 52.42×, with ten samples marked for sequencing top-up to reach the 25x coverage cutoff.</w:t>
      </w:r>
    </w:p>
    <w:p w14:paraId="0BB9F6A1" w14:textId="3BA47237" w:rsidR="09A1D1E3" w:rsidRPr="00A65F82" w:rsidRDefault="09A1D1E3"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8:</w:t>
      </w:r>
      <w:r w:rsidRPr="00A65F82">
        <w:rPr>
          <w:rFonts w:asciiTheme="minorHAnsi" w:hAnsiTheme="minorHAnsi" w:cstheme="minorHAnsi"/>
          <w:color w:val="000000" w:themeColor="text1"/>
          <w:sz w:val="22"/>
          <w:szCs w:val="22"/>
        </w:rPr>
        <w:t xml:space="preserve"> The raw assembly characteristics of 114 haplotypes from 57 samples were categorized by sample ID, sex, and type (TA: trio assembly or SA: single assembly). Metrics were generated using QUAST, Yak, and Inspector, as described in the methods. The table includes contiguity metrics such as the number of contigs per haplotype, which range from 233 to 836, and N50 values spanning 25.5 Mb to 85.3 Mb. Total genome lengths (≥0 bp) are consistent across assemblies, ranging from 2.89 Gb to 3.09 Gb, with a uniform GC content reported between 40.73% and 40.88%. The largest contigs range in size from approximately 89.6 Mb to 199.0 Mb, with a median of 131.4 Mb. Mismatches per 100 kbp are low, ranging from 125.9 to 177.4 per 100 kbp. Genome alignment metrics are high, with genome fractions exceeding 90.18% and the largest alignments spanning 138.4 Mb. Duplication ratios are stable at around 1.014–1.033, and structural error metrics, such as switch error rates and Hamming error rates, remain below 1%. </w:t>
      </w:r>
    </w:p>
    <w:p w14:paraId="6A4C5DB4" w14:textId="56E96B32" w:rsidR="09A1D1E3" w:rsidRPr="00A65F82" w:rsidRDefault="09A1D1E3"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9:</w:t>
      </w:r>
      <w:r w:rsidRPr="00A65F82">
        <w:rPr>
          <w:rFonts w:asciiTheme="minorHAnsi" w:hAnsiTheme="minorHAnsi" w:cstheme="minorHAnsi"/>
          <w:color w:val="000000" w:themeColor="text1"/>
          <w:sz w:val="22"/>
          <w:szCs w:val="22"/>
        </w:rPr>
        <w:t xml:space="preserve"> The assembly characteristics of 114 haplotypes from 57 samples were categorized by sample ID, sex, and type (TA: trio assembly or SA: single assembly). Metrics were generated using QUAST, Yak, and Inspector after scaffolding, polishing, and error correction. The table includes contiguity metrics such as the number of contigs per haplotype, which range from 100 to 335, and N50 values spanning 140.9 Mb to 154.9 Mb. Total genome lengths (≥0 bp) are consistent across assemblies, ranging from 2.89 Gb to 3.09 Gb, with a uniform GC content reported between 40.73% and 40.88%. The largest contigs range in size from approximately 240.3 Mb to 255.5 Mb, with a median of 243.2 Mb. Mismatches per 100 kbp are low, ranging from 124.0 to 177.2 per 100 kbp. Genome alignment metrics are high, with genome fractions exceeding 90.22% and the largest alignments spanning 147.7 Mb. Duplication ratios are stable at around 1.012–1.031, and median structural error metrics, such as switch error rates and Hamming error rates, remain below 1%. </w:t>
      </w:r>
    </w:p>
    <w:p w14:paraId="2EAEE49F" w14:textId="61D89CFA" w:rsidR="09A1D1E3" w:rsidRPr="00A65F82" w:rsidRDefault="09A1D1E3"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10:</w:t>
      </w:r>
      <w:r w:rsidRPr="00A65F82">
        <w:rPr>
          <w:rFonts w:asciiTheme="minorHAnsi" w:hAnsiTheme="minorHAnsi" w:cstheme="minorHAnsi"/>
          <w:color w:val="000000" w:themeColor="text1"/>
          <w:sz w:val="22"/>
          <w:szCs w:val="22"/>
        </w:rPr>
        <w:t xml:space="preserve"> Comparison of graph assembly metrics across chromosomes for a cohort of 58 samples, with different backbones (GRCh38 and CHM13v2). The table details the number of edges, nodes, and graph lengths for each dataset. Edges range from 2,270 (</w:t>
      </w:r>
      <w:proofErr w:type="spellStart"/>
      <w:r w:rsidRPr="00A65F82">
        <w:rPr>
          <w:rFonts w:asciiTheme="minorHAnsi" w:hAnsiTheme="minorHAnsi" w:cstheme="minorHAnsi"/>
          <w:color w:val="000000" w:themeColor="text1"/>
          <w:sz w:val="22"/>
          <w:szCs w:val="22"/>
        </w:rPr>
        <w:t>chrM</w:t>
      </w:r>
      <w:proofErr w:type="spellEnd"/>
      <w:r w:rsidRPr="00A65F82">
        <w:rPr>
          <w:rFonts w:asciiTheme="minorHAnsi" w:hAnsiTheme="minorHAnsi" w:cstheme="minorHAnsi"/>
          <w:color w:val="000000" w:themeColor="text1"/>
          <w:sz w:val="22"/>
          <w:szCs w:val="22"/>
        </w:rPr>
        <w:t xml:space="preserve">,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to 9.2 million (chr1,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with the total graph containing 121 million edges for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111 million for GRCh38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one. Nodes range from 1,687 (</w:t>
      </w:r>
      <w:proofErr w:type="spellStart"/>
      <w:r w:rsidRPr="00A65F82">
        <w:rPr>
          <w:rFonts w:asciiTheme="minorHAnsi" w:hAnsiTheme="minorHAnsi" w:cstheme="minorHAnsi"/>
          <w:color w:val="000000" w:themeColor="text1"/>
          <w:sz w:val="22"/>
          <w:szCs w:val="22"/>
        </w:rPr>
        <w:t>chrM</w:t>
      </w:r>
      <w:proofErr w:type="spellEnd"/>
      <w:r w:rsidRPr="00A65F82">
        <w:rPr>
          <w:rFonts w:asciiTheme="minorHAnsi" w:hAnsiTheme="minorHAnsi" w:cstheme="minorHAnsi"/>
          <w:color w:val="000000" w:themeColor="text1"/>
          <w:sz w:val="22"/>
          <w:szCs w:val="22"/>
        </w:rPr>
        <w:t xml:space="preserve">,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to 6.7 million (chr1,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with total node counts of 88 million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one)</w:t>
      </w:r>
      <w:r w:rsidR="00DF1E21" w:rsidRPr="00A65F82">
        <w:rPr>
          <w:rFonts w:asciiTheme="minorHAnsi" w:hAnsiTheme="minorHAnsi" w:cstheme="minorHAnsi"/>
          <w:color w:val="000000" w:themeColor="text1"/>
          <w:sz w:val="22"/>
          <w:szCs w:val="22"/>
        </w:rPr>
        <w:t xml:space="preserve"> and</w:t>
      </w:r>
      <w:r w:rsidRPr="00A65F82">
        <w:rPr>
          <w:rFonts w:asciiTheme="minorHAnsi" w:hAnsiTheme="minorHAnsi" w:cstheme="minorHAnsi"/>
          <w:color w:val="000000" w:themeColor="text1"/>
          <w:sz w:val="22"/>
          <w:szCs w:val="22"/>
        </w:rPr>
        <w:t xml:space="preserve"> 79 million (GRCh38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one). Graph lengths span from 17,312 bp (</w:t>
      </w:r>
      <w:proofErr w:type="spellStart"/>
      <w:r w:rsidRPr="00A65F82">
        <w:rPr>
          <w:rFonts w:asciiTheme="minorHAnsi" w:hAnsiTheme="minorHAnsi" w:cstheme="minorHAnsi"/>
          <w:color w:val="000000" w:themeColor="text1"/>
          <w:sz w:val="22"/>
          <w:szCs w:val="22"/>
        </w:rPr>
        <w:t>chrM</w:t>
      </w:r>
      <w:proofErr w:type="spellEnd"/>
      <w:r w:rsidRPr="00A65F82">
        <w:rPr>
          <w:rFonts w:asciiTheme="minorHAnsi" w:hAnsiTheme="minorHAnsi" w:cstheme="minorHAnsi"/>
          <w:color w:val="000000" w:themeColor="text1"/>
          <w:sz w:val="22"/>
          <w:szCs w:val="22"/>
        </w:rPr>
        <w:t xml:space="preserve">,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to 2667.4 million bp (chr1,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with total graph lengths of 3.35 Gb (CHM13v2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and 3.23 Gb (GRCh38 </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707A37" w:rsidRPr="00A65F82">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one). </w:t>
      </w:r>
    </w:p>
    <w:p w14:paraId="3D09F198" w14:textId="4E0B1E00" w:rsidR="0F692AAD" w:rsidRPr="00A65F82" w:rsidRDefault="0F692AAD"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11:</w:t>
      </w:r>
      <w:r w:rsidRPr="00A65F82">
        <w:rPr>
          <w:rFonts w:asciiTheme="minorHAnsi" w:hAnsiTheme="minorHAnsi" w:cstheme="minorHAnsi"/>
          <w:color w:val="000000" w:themeColor="text1"/>
          <w:sz w:val="22"/>
          <w:szCs w:val="22"/>
        </w:rPr>
        <w:t xml:space="preserve"> Pangenome graph growth curve data underlying Figure 4a illustrates the ordered growth of the graph in base pairs (bp) for multiple samples. Metrics are shown for single-sample growth, incremental growth with additional samples (e.g., 1, 2, 3, up to 58 </w:t>
      </w:r>
      <w:r w:rsidR="0027417A" w:rsidRPr="00A65F82">
        <w:rPr>
          <w:rFonts w:asciiTheme="minorHAnsi" w:hAnsiTheme="minorHAnsi" w:cstheme="minorHAnsi"/>
          <w:color w:val="000000" w:themeColor="text1"/>
          <w:sz w:val="22"/>
          <w:szCs w:val="22"/>
        </w:rPr>
        <w:t>genomes</w:t>
      </w:r>
      <w:r w:rsidRPr="00A65F82">
        <w:rPr>
          <w:rFonts w:asciiTheme="minorHAnsi" w:hAnsiTheme="minorHAnsi" w:cstheme="minorHAnsi"/>
          <w:color w:val="000000" w:themeColor="text1"/>
          <w:sz w:val="22"/>
          <w:szCs w:val="22"/>
        </w:rPr>
        <w:t>). The data includes growth curves for panacus-based ordered-growth increments. Growth metrics reveal initial rapid expansions with fewer samples and a plateau as additional samples contribute less to the graph's total base pairs.</w:t>
      </w:r>
    </w:p>
    <w:p w14:paraId="38137615" w14:textId="3E336252" w:rsidR="0F692AAD" w:rsidRDefault="0F692AAD" w:rsidP="00F5601E">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lastRenderedPageBreak/>
        <w:t>Supplementary Table 12:</w:t>
      </w:r>
      <w:r w:rsidRPr="00A65F82">
        <w:rPr>
          <w:rFonts w:asciiTheme="minorHAnsi" w:hAnsiTheme="minorHAnsi" w:cstheme="minorHAnsi"/>
          <w:color w:val="000000" w:themeColor="text1"/>
          <w:sz w:val="22"/>
          <w:szCs w:val="22"/>
        </w:rPr>
        <w:t xml:space="preserve"> The number of variants in the pangenome graph</w:t>
      </w:r>
      <w:r w:rsidR="00237820" w:rsidRPr="00A65F82">
        <w:rPr>
          <w:rFonts w:asciiTheme="minorHAnsi" w:hAnsiTheme="minorHAnsi" w:cstheme="minorHAnsi"/>
          <w:color w:val="000000" w:themeColor="text1"/>
          <w:sz w:val="22"/>
          <w:szCs w:val="22"/>
        </w:rPr>
        <w:t xml:space="preserve"> incorporating the maternal Emirati T2T haplotype (T2T-ERG_XX)</w:t>
      </w:r>
      <w:r w:rsidRPr="00A65F82">
        <w:rPr>
          <w:rFonts w:asciiTheme="minorHAnsi" w:hAnsiTheme="minorHAnsi" w:cstheme="minorHAnsi"/>
          <w:color w:val="000000" w:themeColor="text1"/>
          <w:sz w:val="22"/>
          <w:szCs w:val="22"/>
        </w:rPr>
        <w:t xml:space="preserve"> was calculated for </w:t>
      </w:r>
      <w:r w:rsidR="00237820" w:rsidRPr="00A65F82">
        <w:rPr>
          <w:rFonts w:asciiTheme="minorHAnsi" w:hAnsiTheme="minorHAnsi" w:cstheme="minorHAnsi"/>
          <w:color w:val="000000" w:themeColor="text1"/>
          <w:sz w:val="22"/>
          <w:szCs w:val="22"/>
        </w:rPr>
        <w:t xml:space="preserve">57 </w:t>
      </w:r>
      <w:r w:rsidRPr="00A65F82">
        <w:rPr>
          <w:rFonts w:asciiTheme="minorHAnsi" w:hAnsiTheme="minorHAnsi" w:cstheme="minorHAnsi"/>
          <w:color w:val="000000" w:themeColor="text1"/>
          <w:sz w:val="22"/>
          <w:szCs w:val="22"/>
        </w:rPr>
        <w:t xml:space="preserve">Emirati </w:t>
      </w:r>
      <w:r w:rsidR="00237820" w:rsidRPr="00A65F82">
        <w:rPr>
          <w:rFonts w:asciiTheme="minorHAnsi" w:hAnsiTheme="minorHAnsi" w:cstheme="minorHAnsi"/>
          <w:color w:val="000000" w:themeColor="text1"/>
          <w:sz w:val="22"/>
          <w:szCs w:val="22"/>
        </w:rPr>
        <w:t>genomes</w:t>
      </w:r>
      <w:r w:rsidRPr="00A65F82">
        <w:rPr>
          <w:rFonts w:asciiTheme="minorHAnsi" w:hAnsiTheme="minorHAnsi" w:cstheme="minorHAnsi"/>
          <w:color w:val="000000" w:themeColor="text1"/>
          <w:sz w:val="22"/>
          <w:szCs w:val="22"/>
        </w:rPr>
        <w:t xml:space="preserve">. The table reports the total number of variant records, categorized into SNPs, MNPs, indels, other variant types, multiallelic sites, and multiallelic SNP sites. Comparisons between graphs with different backbone reference highlight the impact of integrating these references on the graph. </w:t>
      </w:r>
      <w:r w:rsidR="00AE14C9" w:rsidRPr="00A65F82">
        <w:rPr>
          <w:rFonts w:asciiTheme="minorHAnsi" w:hAnsiTheme="minorHAnsi" w:cstheme="minorHAnsi"/>
          <w:color w:val="000000" w:themeColor="text1"/>
          <w:sz w:val="22"/>
          <w:szCs w:val="22"/>
        </w:rPr>
        <w:t xml:space="preserve">Variants specified with respect to </w:t>
      </w:r>
      <w:r w:rsidRPr="00A65F82">
        <w:rPr>
          <w:rFonts w:asciiTheme="minorHAnsi" w:hAnsiTheme="minorHAnsi" w:cstheme="minorHAnsi"/>
          <w:color w:val="000000" w:themeColor="text1"/>
          <w:sz w:val="22"/>
          <w:szCs w:val="22"/>
        </w:rPr>
        <w:t xml:space="preserve">CHM13 </w:t>
      </w:r>
      <w:r w:rsidR="00672C58">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ack</w:t>
      </w:r>
      <w:r w:rsidR="00672C58">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one consistently show the highest number</w:t>
      </w:r>
      <w:r w:rsidR="00AE14C9" w:rsidRPr="00A65F82">
        <w:rPr>
          <w:rFonts w:asciiTheme="minorHAnsi" w:hAnsiTheme="minorHAnsi" w:cstheme="minorHAnsi"/>
          <w:color w:val="000000" w:themeColor="text1"/>
          <w:sz w:val="22"/>
          <w:szCs w:val="22"/>
        </w:rPr>
        <w:t>s</w:t>
      </w:r>
      <w:r w:rsidRPr="00A65F82">
        <w:rPr>
          <w:rFonts w:asciiTheme="minorHAnsi" w:hAnsiTheme="minorHAnsi" w:cstheme="minorHAnsi"/>
          <w:color w:val="000000" w:themeColor="text1"/>
          <w:sz w:val="22"/>
          <w:szCs w:val="22"/>
        </w:rPr>
        <w:t xml:space="preserve"> across categories, reflecting its </w:t>
      </w:r>
      <w:r w:rsidR="00853C37" w:rsidRPr="00A65F82">
        <w:rPr>
          <w:rFonts w:asciiTheme="minorHAnsi" w:hAnsiTheme="minorHAnsi" w:cstheme="minorHAnsi"/>
          <w:color w:val="000000" w:themeColor="text1"/>
          <w:sz w:val="22"/>
          <w:szCs w:val="22"/>
        </w:rPr>
        <w:t>completeness</w:t>
      </w:r>
      <w:r w:rsidRPr="00A65F82">
        <w:rPr>
          <w:rFonts w:asciiTheme="minorHAnsi" w:hAnsiTheme="minorHAnsi" w:cstheme="minorHAnsi"/>
          <w:color w:val="000000" w:themeColor="text1"/>
          <w:sz w:val="22"/>
          <w:szCs w:val="22"/>
        </w:rPr>
        <w:t xml:space="preserve">. </w:t>
      </w:r>
    </w:p>
    <w:p w14:paraId="51D3358C" w14:textId="35EA6E2A" w:rsidR="00513A19" w:rsidRPr="00A65F82" w:rsidRDefault="00513A19" w:rsidP="00513A19">
      <w:pPr>
        <w:spacing w:before="200"/>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13:</w:t>
      </w:r>
      <w:r w:rsidRPr="007E35FB">
        <w:rPr>
          <w:rFonts w:asciiTheme="minorHAnsi" w:hAnsiTheme="minorHAnsi" w:cstheme="minorHAnsi"/>
          <w:color w:val="000000" w:themeColor="text1"/>
          <w:sz w:val="22"/>
          <w:szCs w:val="22"/>
        </w:rPr>
        <w:t xml:space="preserve"> </w:t>
      </w:r>
      <w:proofErr w:type="spellStart"/>
      <w:r w:rsidRPr="007E35FB">
        <w:rPr>
          <w:rFonts w:asciiTheme="minorHAnsi" w:hAnsiTheme="minorHAnsi" w:cstheme="minorHAnsi"/>
          <w:color w:val="000000" w:themeColor="text1"/>
          <w:sz w:val="22"/>
          <w:szCs w:val="22"/>
        </w:rPr>
        <w:t>Minigraph</w:t>
      </w:r>
      <w:proofErr w:type="spellEnd"/>
      <w:r w:rsidRPr="007E35FB">
        <w:rPr>
          <w:rFonts w:asciiTheme="minorHAnsi" w:hAnsiTheme="minorHAnsi" w:cstheme="minorHAnsi"/>
          <w:color w:val="000000" w:themeColor="text1"/>
          <w:sz w:val="22"/>
          <w:szCs w:val="22"/>
        </w:rPr>
        <w:t>-Cactus graph paths for the Emirati T2T pangenome graph with CHM13 backbone.</w:t>
      </w:r>
    </w:p>
    <w:p w14:paraId="3E7EED38" w14:textId="3F8D8500" w:rsidR="0F692AAD" w:rsidRDefault="0F692AAD" w:rsidP="00F5601E">
      <w:pPr>
        <w:spacing w:before="200"/>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w:t>
      </w:r>
      <w:r w:rsidR="00513A19" w:rsidRPr="000A5402">
        <w:rPr>
          <w:rFonts w:asciiTheme="minorHAnsi" w:hAnsiTheme="minorHAnsi" w:cstheme="minorHAnsi"/>
          <w:i/>
          <w:iCs/>
          <w:color w:val="000000" w:themeColor="text1"/>
          <w:sz w:val="22"/>
          <w:szCs w:val="22"/>
        </w:rPr>
        <w:t>4</w:t>
      </w:r>
      <w:r w:rsidRPr="000A5402">
        <w:rPr>
          <w:rFonts w:asciiTheme="minorHAnsi" w:hAnsiTheme="minorHAnsi" w:cstheme="minorHAnsi"/>
          <w:i/>
          <w:iCs/>
          <w:color w:val="000000" w:themeColor="text1"/>
          <w:sz w:val="22"/>
          <w:szCs w:val="22"/>
        </w:rPr>
        <w:t>:</w:t>
      </w:r>
      <w:r w:rsidRPr="00A65F82">
        <w:rPr>
          <w:rFonts w:asciiTheme="minorHAnsi" w:hAnsiTheme="minorHAnsi" w:cstheme="minorHAnsi"/>
          <w:color w:val="000000" w:themeColor="text1"/>
          <w:sz w:val="22"/>
          <w:szCs w:val="22"/>
        </w:rPr>
        <w:t xml:space="preserve"> Comparison of CHM13 and </w:t>
      </w:r>
      <w:r w:rsidR="00F132AC" w:rsidRPr="00A65F82">
        <w:rPr>
          <w:rFonts w:asciiTheme="minorHAnsi" w:hAnsiTheme="minorHAnsi" w:cstheme="minorHAnsi"/>
          <w:color w:val="000000" w:themeColor="text1"/>
          <w:sz w:val="22"/>
          <w:szCs w:val="22"/>
        </w:rPr>
        <w:t>T2T-</w:t>
      </w:r>
      <w:r w:rsidR="00853C37" w:rsidRPr="00A65F82">
        <w:rPr>
          <w:rFonts w:asciiTheme="minorHAnsi" w:hAnsiTheme="minorHAnsi" w:cstheme="minorHAnsi"/>
          <w:color w:val="000000" w:themeColor="text1"/>
          <w:sz w:val="22"/>
          <w:szCs w:val="22"/>
        </w:rPr>
        <w:t xml:space="preserve">ERG_XX </w:t>
      </w:r>
      <w:r w:rsidRPr="00A65F82">
        <w:rPr>
          <w:rFonts w:asciiTheme="minorHAnsi" w:hAnsiTheme="minorHAnsi" w:cstheme="minorHAnsi"/>
          <w:color w:val="000000" w:themeColor="text1"/>
          <w:sz w:val="22"/>
          <w:szCs w:val="22"/>
        </w:rPr>
        <w:t xml:space="preserve">T2T chromosome assembly metrics for maternal </w:t>
      </w:r>
      <w:r w:rsidR="00853C37" w:rsidRPr="00A65F82">
        <w:rPr>
          <w:rFonts w:asciiTheme="minorHAnsi" w:hAnsiTheme="minorHAnsi" w:cstheme="minorHAnsi"/>
          <w:color w:val="000000" w:themeColor="text1"/>
          <w:sz w:val="22"/>
          <w:szCs w:val="22"/>
        </w:rPr>
        <w:t xml:space="preserve">(ERG_XX#2) </w:t>
      </w:r>
      <w:r w:rsidRPr="00A65F82">
        <w:rPr>
          <w:rFonts w:asciiTheme="minorHAnsi" w:hAnsiTheme="minorHAnsi" w:cstheme="minorHAnsi"/>
          <w:color w:val="000000" w:themeColor="text1"/>
          <w:sz w:val="22"/>
          <w:szCs w:val="22"/>
        </w:rPr>
        <w:t>and paternal</w:t>
      </w:r>
      <w:r w:rsidR="00853C37" w:rsidRPr="00A65F82">
        <w:rPr>
          <w:rFonts w:asciiTheme="minorHAnsi" w:hAnsiTheme="minorHAnsi" w:cstheme="minorHAnsi"/>
          <w:color w:val="000000" w:themeColor="text1"/>
          <w:sz w:val="22"/>
          <w:szCs w:val="22"/>
        </w:rPr>
        <w:t xml:space="preserve"> (ERG_XX#1)</w:t>
      </w:r>
      <w:r w:rsidRPr="00A65F82">
        <w:rPr>
          <w:rFonts w:asciiTheme="minorHAnsi" w:hAnsiTheme="minorHAnsi" w:cstheme="minorHAnsi"/>
          <w:color w:val="000000" w:themeColor="text1"/>
          <w:sz w:val="22"/>
          <w:szCs w:val="22"/>
        </w:rPr>
        <w:t xml:space="preserve"> T2T haplotypes. The table includes the mapping between CHM13 chromosomes and corresponding T2T chromosomes (RagTag paths), along with path length, percentage of CHM13 coverage, T2T and CHM13 chromosome lengths, and the number of gaps in each T2T chromosome. Path lengths vary from approximately 35 Mb (chr21) to 239 Mb (chr2), with longer path lengths aligning to larger chromosomes such as chr1 and chr2. CHM13 coverage ranges from 77.78% (chr21, ERG_XX#2) to 98.86% (chrX, ERG_XX#2), with most chromosomes exhibiting high coverage (&gt;90%), indicating strong alignment between CHM13 and T2T assemblies. T2T chromosome lengths range from 38 Mb (chr21) to 251 Mb (chr1), closely matching CHM13 chromosome lengths, which span from 45 Mb (chr21) to 248 Mb (chr1). The number of gaps within T2T chromosomes ranges from 0 to 13, with most chromosomes containing fewer than 5 gaps, demonstrating high assembly continuity overall. </w:t>
      </w:r>
    </w:p>
    <w:p w14:paraId="6E93152E" w14:textId="72EF10B0" w:rsidR="0F692AAD" w:rsidRPr="00A65F82" w:rsidRDefault="0F692AAD" w:rsidP="00F5601E">
      <w:pPr>
        <w:spacing w:before="200"/>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w:t>
      </w:r>
      <w:r w:rsidR="00513A19" w:rsidRPr="000A5402">
        <w:rPr>
          <w:rFonts w:asciiTheme="minorHAnsi" w:hAnsiTheme="minorHAnsi" w:cstheme="minorHAnsi"/>
          <w:i/>
          <w:iCs/>
          <w:color w:val="000000" w:themeColor="text1"/>
          <w:sz w:val="22"/>
          <w:szCs w:val="22"/>
        </w:rPr>
        <w:t>5</w:t>
      </w:r>
      <w:r w:rsidRPr="000A5402">
        <w:rPr>
          <w:rFonts w:asciiTheme="minorHAnsi" w:hAnsiTheme="minorHAnsi" w:cstheme="minorHAnsi"/>
          <w:i/>
          <w:iCs/>
          <w:color w:val="000000" w:themeColor="text1"/>
          <w:sz w:val="22"/>
          <w:szCs w:val="22"/>
        </w:rPr>
        <w:t>:</w:t>
      </w:r>
      <w:r w:rsidRPr="00A65F82">
        <w:rPr>
          <w:rFonts w:asciiTheme="minorHAnsi" w:hAnsiTheme="minorHAnsi" w:cstheme="minorHAnsi"/>
          <w:color w:val="000000" w:themeColor="text1"/>
          <w:sz w:val="22"/>
          <w:szCs w:val="22"/>
        </w:rPr>
        <w:t xml:space="preserve"> Longest contig path per pangenome </w:t>
      </w:r>
      <w:r w:rsidR="00707A37" w:rsidRPr="00A65F82">
        <w:rPr>
          <w:rFonts w:asciiTheme="minorHAnsi" w:hAnsiTheme="minorHAnsi" w:cstheme="minorHAnsi"/>
          <w:color w:val="000000" w:themeColor="text1"/>
          <w:sz w:val="22"/>
          <w:szCs w:val="22"/>
        </w:rPr>
        <w:t xml:space="preserve">haplotype </w:t>
      </w:r>
      <w:r w:rsidRPr="00A65F82">
        <w:rPr>
          <w:rFonts w:asciiTheme="minorHAnsi" w:hAnsiTheme="minorHAnsi" w:cstheme="minorHAnsi"/>
          <w:color w:val="000000" w:themeColor="text1"/>
          <w:sz w:val="22"/>
          <w:szCs w:val="22"/>
        </w:rPr>
        <w:t xml:space="preserve">in relation to CHM13 chromosomes across all </w:t>
      </w:r>
      <w:r w:rsidR="00707A37" w:rsidRPr="00A65F82">
        <w:rPr>
          <w:rFonts w:asciiTheme="minorHAnsi" w:hAnsiTheme="minorHAnsi" w:cstheme="minorHAnsi"/>
          <w:color w:val="000000" w:themeColor="text1"/>
          <w:sz w:val="22"/>
          <w:szCs w:val="22"/>
        </w:rPr>
        <w:t xml:space="preserve">58 </w:t>
      </w:r>
      <w:r w:rsidRPr="00A65F82">
        <w:rPr>
          <w:rFonts w:asciiTheme="minorHAnsi" w:hAnsiTheme="minorHAnsi" w:cstheme="minorHAnsi"/>
          <w:color w:val="000000" w:themeColor="text1"/>
          <w:sz w:val="22"/>
          <w:szCs w:val="22"/>
        </w:rPr>
        <w:t xml:space="preserve">assemblies. The percentage indicates the proportion of each contig assigned to its respective CHM13 chromosome relative to the total chromosome length. Autosomes show a median coverage of 94.55% (range: 46.38% to 99.33%). Chromosome X, in female haplotypes and male haplotype 2, exhibits a median coverage of 96.98% (range: 27.63% to 98.82%). Chromosome Y in male haplotype 1 has a lower median coverage of 30.71% (range: 14.42% to 46.57%), indicating persistent fragmentation in the current assemblies. </w:t>
      </w:r>
    </w:p>
    <w:p w14:paraId="50A71994" w14:textId="2B08F520" w:rsidR="0F692AAD" w:rsidRDefault="0F692AAD" w:rsidP="00F5601E">
      <w:pPr>
        <w:spacing w:before="200"/>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15:</w:t>
      </w:r>
      <w:r w:rsidRPr="00A65F82">
        <w:rPr>
          <w:rFonts w:asciiTheme="minorHAnsi" w:hAnsiTheme="minorHAnsi" w:cstheme="minorHAnsi"/>
          <w:color w:val="000000" w:themeColor="text1"/>
          <w:sz w:val="22"/>
          <w:szCs w:val="22"/>
        </w:rPr>
        <w:t xml:space="preserve"> SNP counts for 58 pangenome assemblies as reported by the Minigraph-Cactus pipeline for the CHM13</w:t>
      </w:r>
      <w:r w:rsidR="00707A37" w:rsidRPr="00A65F82">
        <w:rPr>
          <w:rFonts w:asciiTheme="minorHAnsi" w:hAnsiTheme="minorHAnsi" w:cstheme="minorHAnsi"/>
          <w:color w:val="000000" w:themeColor="text1"/>
          <w:sz w:val="22"/>
          <w:szCs w:val="22"/>
        </w:rPr>
        <w:t xml:space="preserve"> backbone</w:t>
      </w:r>
      <w:r w:rsidRPr="00A65F82">
        <w:rPr>
          <w:rFonts w:asciiTheme="minorHAnsi" w:hAnsiTheme="minorHAnsi" w:cstheme="minorHAnsi"/>
          <w:color w:val="000000" w:themeColor="text1"/>
          <w:sz w:val="22"/>
          <w:szCs w:val="22"/>
        </w:rPr>
        <w:t xml:space="preserve"> and GRCh38</w:t>
      </w:r>
      <w:r w:rsidR="00707A37" w:rsidRPr="00A65F82">
        <w:rPr>
          <w:rFonts w:asciiTheme="minorHAnsi" w:hAnsiTheme="minorHAnsi" w:cstheme="minorHAnsi"/>
          <w:color w:val="000000" w:themeColor="text1"/>
          <w:sz w:val="22"/>
          <w:szCs w:val="22"/>
        </w:rPr>
        <w:t xml:space="preserve"> backbone</w:t>
      </w:r>
      <w:r w:rsidRPr="00A65F82">
        <w:rPr>
          <w:rFonts w:asciiTheme="minorHAnsi" w:hAnsiTheme="minorHAnsi" w:cstheme="minorHAnsi"/>
          <w:color w:val="000000" w:themeColor="text1"/>
          <w:sz w:val="22"/>
          <w:szCs w:val="22"/>
        </w:rPr>
        <w:t xml:space="preserve"> graph with respect to CHM13 and GRCh38 are provided. For comparison, the number of SNP calls obtained by HiFi sequencing data-based SNP calling with </w:t>
      </w:r>
      <w:proofErr w:type="spellStart"/>
      <w:r w:rsidRPr="00A65F82">
        <w:rPr>
          <w:rFonts w:asciiTheme="minorHAnsi" w:hAnsiTheme="minorHAnsi" w:cstheme="minorHAnsi"/>
          <w:color w:val="000000" w:themeColor="text1"/>
          <w:sz w:val="22"/>
          <w:szCs w:val="22"/>
        </w:rPr>
        <w:t>Sentio</w:t>
      </w:r>
      <w:r w:rsidR="00707A37" w:rsidRPr="00A65F82">
        <w:rPr>
          <w:rFonts w:asciiTheme="minorHAnsi" w:hAnsiTheme="minorHAnsi" w:cstheme="minorHAnsi"/>
          <w:color w:val="000000" w:themeColor="text1"/>
          <w:sz w:val="22"/>
          <w:szCs w:val="22"/>
        </w:rPr>
        <w:t>n</w:t>
      </w:r>
      <w:proofErr w:type="spellEnd"/>
      <w:r w:rsidRPr="00A65F82">
        <w:rPr>
          <w:rFonts w:asciiTheme="minorHAnsi" w:hAnsiTheme="minorHAnsi" w:cstheme="minorHAnsi"/>
          <w:color w:val="000000" w:themeColor="text1"/>
          <w:sz w:val="22"/>
          <w:szCs w:val="22"/>
        </w:rPr>
        <w:t xml:space="preserve"> with respect to CHM13 and GRCh38 is provided. Ordering is according to the growth curve in Figure 3, i.e., the main ancestry component, and then lexicographically. </w:t>
      </w:r>
    </w:p>
    <w:p w14:paraId="76EFAB7D" w14:textId="4D16BFE7" w:rsidR="00000801" w:rsidRPr="00A65F82" w:rsidRDefault="00000801" w:rsidP="00000801">
      <w:pPr>
        <w:spacing w:before="200" w:line="259" w:lineRule="auto"/>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w:t>
      </w:r>
      <w:r w:rsidRPr="000A5402">
        <w:rPr>
          <w:rFonts w:asciiTheme="minorHAnsi" w:hAnsiTheme="minorHAnsi" w:cstheme="minorHAnsi"/>
          <w:i/>
          <w:iCs/>
          <w:color w:val="000000" w:themeColor="text1"/>
          <w:sz w:val="22"/>
          <w:szCs w:val="22"/>
        </w:rPr>
        <w:t>6</w:t>
      </w:r>
      <w:r w:rsidRPr="000A5402">
        <w:rPr>
          <w:rFonts w:asciiTheme="minorHAnsi" w:hAnsiTheme="minorHAnsi" w:cstheme="minorHAnsi"/>
          <w:i/>
          <w:iCs/>
          <w:color w:val="000000" w:themeColor="text1"/>
          <w:sz w:val="22"/>
          <w:szCs w:val="22"/>
        </w:rPr>
        <w:t>:</w:t>
      </w:r>
      <w:r w:rsidRPr="00A65F82">
        <w:rPr>
          <w:rFonts w:asciiTheme="minorHAnsi" w:hAnsiTheme="minorHAnsi" w:cstheme="minorHAnsi"/>
          <w:color w:val="000000" w:themeColor="text1"/>
          <w:sz w:val="22"/>
          <w:szCs w:val="22"/>
        </w:rPr>
        <w:t xml:space="preserve"> Overview of sample metadata, including sex, assembly type (single assembly (SA) or trio assembly (TA)), ancestry proportions (European (EUR), South Asian (SAS), American (AMR), African (AFR), and East Asian (EAS)), and the main global ancestry component for each genome, defined as the ancestry with the highest proportional value. The table summarizes data for 57 genomes from two sources (G42 and KU). European ancestry is the most prevalent ancestral component across the genomes. The ancestry proportions vary widely, with European contributions reaching as high as 99.7% in GDXY5 and African contributions as high as 83.8% in KHXY13. </w:t>
      </w:r>
    </w:p>
    <w:p w14:paraId="4C910631" w14:textId="16D0290A" w:rsidR="58F50871" w:rsidRPr="00A65F82" w:rsidRDefault="78CFD8E1" w:rsidP="00F5601E">
      <w:pPr>
        <w:spacing w:before="200"/>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w:t>
      </w:r>
      <w:r w:rsidR="00000801" w:rsidRPr="000A5402">
        <w:rPr>
          <w:rFonts w:asciiTheme="minorHAnsi" w:hAnsiTheme="minorHAnsi" w:cstheme="minorHAnsi"/>
          <w:i/>
          <w:iCs/>
          <w:color w:val="000000" w:themeColor="text1"/>
          <w:sz w:val="22"/>
          <w:szCs w:val="22"/>
        </w:rPr>
        <w:t>7</w:t>
      </w:r>
      <w:r w:rsidRPr="000A5402">
        <w:rPr>
          <w:rFonts w:asciiTheme="minorHAnsi" w:hAnsiTheme="minorHAnsi" w:cstheme="minorHAnsi"/>
          <w:i/>
          <w:iCs/>
          <w:color w:val="000000" w:themeColor="text1"/>
          <w:sz w:val="22"/>
          <w:szCs w:val="22"/>
        </w:rPr>
        <w:t>:</w:t>
      </w:r>
      <w:r w:rsidRPr="00A65F82">
        <w:rPr>
          <w:rFonts w:asciiTheme="minorHAnsi" w:hAnsiTheme="minorHAnsi" w:cstheme="minorHAnsi"/>
          <w:color w:val="000000" w:themeColor="text1"/>
          <w:sz w:val="22"/>
          <w:szCs w:val="22"/>
        </w:rPr>
        <w:t xml:space="preserve"> HLA haplotypes stratified by maternal and paternal assembly haplotype. </w:t>
      </w:r>
      <w:r w:rsidR="7A25CA78" w:rsidRPr="00A65F82">
        <w:rPr>
          <w:rFonts w:asciiTheme="minorHAnsi" w:eastAsia="Calibri" w:hAnsiTheme="minorHAnsi" w:cstheme="minorHAnsi"/>
          <w:color w:val="000000" w:themeColor="text1"/>
          <w:sz w:val="22"/>
          <w:szCs w:val="22"/>
        </w:rPr>
        <w:t>The table summarizes the occurrence of major structural haplotypes, including the HLA-Y insertion, the multi-gene deletion spanning HLA-H, HCG4B, HLA-K, and HLA-U, and the rare HLA-H insertion haplotype. Counts and frequencies are reported separately for maternal and paternal haplotypes.</w:t>
      </w:r>
    </w:p>
    <w:p w14:paraId="406A4B9B" w14:textId="7EE36FB9" w:rsidR="58F50871" w:rsidRPr="00A65F82" w:rsidRDefault="58F50871" w:rsidP="00F5601E">
      <w:pPr>
        <w:spacing w:before="200"/>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lastRenderedPageBreak/>
        <w:t>Supplementary Table 1</w:t>
      </w:r>
      <w:r w:rsidR="007509CB" w:rsidRPr="000A5402">
        <w:rPr>
          <w:rFonts w:asciiTheme="minorHAnsi" w:hAnsiTheme="minorHAnsi" w:cstheme="minorHAnsi"/>
          <w:i/>
          <w:iCs/>
          <w:color w:val="000000" w:themeColor="text1"/>
          <w:sz w:val="22"/>
          <w:szCs w:val="22"/>
        </w:rPr>
        <w:t>8</w:t>
      </w:r>
      <w:r w:rsidRPr="000A5402">
        <w:rPr>
          <w:rFonts w:asciiTheme="minorHAnsi" w:hAnsiTheme="minorHAnsi" w:cstheme="minorHAnsi"/>
          <w:i/>
          <w:iCs/>
          <w:color w:val="000000" w:themeColor="text1"/>
          <w:sz w:val="22"/>
          <w:szCs w:val="22"/>
        </w:rPr>
        <w:t>:</w:t>
      </w:r>
      <w:r w:rsidRPr="00A65F82">
        <w:rPr>
          <w:rFonts w:asciiTheme="minorHAnsi" w:hAnsiTheme="minorHAnsi" w:cstheme="minorHAnsi"/>
          <w:color w:val="000000" w:themeColor="text1"/>
          <w:sz w:val="22"/>
          <w:szCs w:val="22"/>
        </w:rPr>
        <w:t xml:space="preserve"> Assessment of different linear and graph-based genomic references using Illumina short-read whole-genome sequencing data from n=119 Emirati individuals generated using the NovaSeq 6000 platform. The table evaluates mapping, coverage, duplication rates, and variant calling metrics across multiple references, including GRCh38, CHM13, and graph-based </w:t>
      </w:r>
      <w:r w:rsidR="00257E74" w:rsidRPr="00A65F82">
        <w:rPr>
          <w:rFonts w:asciiTheme="minorHAnsi" w:hAnsiTheme="minorHAnsi" w:cstheme="minorHAnsi"/>
          <w:color w:val="000000" w:themeColor="text1"/>
          <w:sz w:val="22"/>
          <w:szCs w:val="22"/>
        </w:rPr>
        <w:t>pangenomes</w:t>
      </w:r>
      <w:r w:rsidRPr="00A65F82">
        <w:rPr>
          <w:rFonts w:asciiTheme="minorHAnsi" w:hAnsiTheme="minorHAnsi" w:cstheme="minorHAnsi"/>
          <w:color w:val="000000" w:themeColor="text1"/>
          <w:sz w:val="22"/>
          <w:szCs w:val="22"/>
        </w:rPr>
        <w:t xml:space="preserve">. These </w:t>
      </w:r>
      <w:r w:rsidR="00257E74" w:rsidRPr="00A65F82">
        <w:rPr>
          <w:rFonts w:asciiTheme="minorHAnsi" w:hAnsiTheme="minorHAnsi" w:cstheme="minorHAnsi"/>
          <w:color w:val="000000" w:themeColor="text1"/>
          <w:sz w:val="22"/>
          <w:szCs w:val="22"/>
        </w:rPr>
        <w:t xml:space="preserve">graphs </w:t>
      </w:r>
      <w:r w:rsidRPr="00A65F82">
        <w:rPr>
          <w:rFonts w:asciiTheme="minorHAnsi" w:hAnsiTheme="minorHAnsi" w:cstheme="minorHAnsi"/>
          <w:color w:val="000000" w:themeColor="text1"/>
          <w:sz w:val="22"/>
          <w:szCs w:val="22"/>
        </w:rPr>
        <w:t>are the E</w:t>
      </w:r>
      <w:r w:rsidR="00F132AC" w:rsidRPr="00A65F82">
        <w:rPr>
          <w:rFonts w:asciiTheme="minorHAnsi" w:hAnsiTheme="minorHAnsi" w:cstheme="minorHAnsi"/>
          <w:color w:val="000000" w:themeColor="text1"/>
          <w:sz w:val="22"/>
          <w:szCs w:val="22"/>
        </w:rPr>
        <w:t>P</w:t>
      </w:r>
      <w:r w:rsidRPr="00A65F82">
        <w:rPr>
          <w:rFonts w:asciiTheme="minorHAnsi" w:hAnsiTheme="minorHAnsi" w:cstheme="minorHAnsi"/>
          <w:color w:val="000000" w:themeColor="text1"/>
          <w:sz w:val="22"/>
          <w:szCs w:val="22"/>
        </w:rPr>
        <w:t>R</w:t>
      </w:r>
      <w:r w:rsidR="00F132AC" w:rsidRPr="00A65F82">
        <w:rPr>
          <w:rFonts w:asciiTheme="minorHAnsi" w:hAnsiTheme="minorHAnsi" w:cstheme="minorHAnsi"/>
          <w:color w:val="000000" w:themeColor="text1"/>
          <w:sz w:val="22"/>
          <w:szCs w:val="22"/>
        </w:rPr>
        <w:t>C</w:t>
      </w:r>
      <w:r w:rsidRPr="00A65F82">
        <w:rPr>
          <w:rFonts w:asciiTheme="minorHAnsi" w:hAnsiTheme="minorHAnsi" w:cstheme="minorHAnsi"/>
          <w:color w:val="000000" w:themeColor="text1"/>
          <w:sz w:val="22"/>
          <w:szCs w:val="22"/>
        </w:rPr>
        <w:t xml:space="preserve"> graph</w:t>
      </w:r>
      <w:r w:rsidR="00F132AC" w:rsidRPr="00A65F82">
        <w:rPr>
          <w:rFonts w:asciiTheme="minorHAnsi" w:hAnsiTheme="minorHAnsi" w:cstheme="minorHAnsi"/>
          <w:color w:val="000000" w:themeColor="text1"/>
          <w:sz w:val="22"/>
          <w:szCs w:val="22"/>
        </w:rPr>
        <w:t>s</w:t>
      </w:r>
      <w:r w:rsidRPr="00A65F82">
        <w:rPr>
          <w:rFonts w:asciiTheme="minorHAnsi" w:hAnsiTheme="minorHAnsi" w:cstheme="minorHAnsi"/>
          <w:color w:val="000000" w:themeColor="text1"/>
          <w:sz w:val="22"/>
          <w:szCs w:val="22"/>
        </w:rPr>
        <w:t xml:space="preserve"> (with GRCh38 and CHM13 backbones) and the HPRC graph with a GRCh38 backbone. Coverage was calculated using the CHM13 genome size, which ranges from 30.79X to 76.84X with a median of 40.00X. Mapping rates were high across all references, with median mapped read percentages ranging from 91.26% (EGR graph GRCh38) to 92.54% (CHM13), and duplication rates varied by reference. Median mapped base percentages ranged from 89.96% (EGR graph GRCh38) to 91.79% (CHM13), indicating consistent alignment performance. The variant analysis identified mean counts of 4.06 million SNVs and 967,104 indels across references. </w:t>
      </w:r>
    </w:p>
    <w:p w14:paraId="66938F41" w14:textId="4DD422C4" w:rsidR="00EC6773" w:rsidRPr="00A65F82" w:rsidRDefault="2F7A3B09" w:rsidP="00F5601E">
      <w:pPr>
        <w:spacing w:before="200"/>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Supplementary Table 1</w:t>
      </w:r>
      <w:r w:rsidR="1980F6C8" w:rsidRPr="000A5402">
        <w:rPr>
          <w:rFonts w:asciiTheme="minorHAnsi" w:hAnsiTheme="minorHAnsi" w:cstheme="minorHAnsi"/>
          <w:i/>
          <w:iCs/>
          <w:color w:val="000000" w:themeColor="text1"/>
          <w:sz w:val="22"/>
          <w:szCs w:val="22"/>
        </w:rPr>
        <w:t>9</w:t>
      </w:r>
      <w:r w:rsidRPr="000A5402">
        <w:rPr>
          <w:rFonts w:asciiTheme="minorHAnsi" w:hAnsiTheme="minorHAnsi" w:cstheme="minorHAnsi"/>
          <w:i/>
          <w:iCs/>
          <w:color w:val="000000" w:themeColor="text1"/>
          <w:sz w:val="22"/>
          <w:szCs w:val="22"/>
        </w:rPr>
        <w:t>:</w:t>
      </w:r>
      <w:r w:rsidRPr="00A65F82">
        <w:rPr>
          <w:rFonts w:asciiTheme="minorHAnsi" w:hAnsiTheme="minorHAnsi" w:cstheme="minorHAnsi"/>
          <w:color w:val="000000" w:themeColor="text1"/>
          <w:sz w:val="22"/>
          <w:szCs w:val="22"/>
        </w:rPr>
        <w:t xml:space="preserve"> Performance metrics for variant calling using short- and long-read NGS data across three reference</w:t>
      </w:r>
      <w:r w:rsidR="000D4215" w:rsidRPr="00A65F82">
        <w:rPr>
          <w:rFonts w:asciiTheme="minorHAnsi" w:hAnsiTheme="minorHAnsi" w:cstheme="minorHAnsi"/>
          <w:color w:val="000000" w:themeColor="text1"/>
          <w:sz w:val="22"/>
          <w:szCs w:val="22"/>
        </w:rPr>
        <w:t>s</w:t>
      </w:r>
      <w:r w:rsidRPr="00A65F82">
        <w:rPr>
          <w:rFonts w:asciiTheme="minorHAnsi" w:hAnsiTheme="minorHAnsi" w:cstheme="minorHAnsi"/>
          <w:color w:val="000000" w:themeColor="text1"/>
          <w:sz w:val="22"/>
          <w:szCs w:val="22"/>
        </w:rPr>
        <w:t xml:space="preserve"> (linear </w:t>
      </w:r>
      <w:r w:rsidR="000D4215" w:rsidRPr="00A65F82">
        <w:rPr>
          <w:rFonts w:asciiTheme="minorHAnsi" w:hAnsiTheme="minorHAnsi" w:cstheme="minorHAnsi"/>
          <w:color w:val="000000" w:themeColor="text1"/>
          <w:sz w:val="22"/>
          <w:szCs w:val="22"/>
        </w:rPr>
        <w:t>GRCh</w:t>
      </w:r>
      <w:r w:rsidRPr="00A65F82">
        <w:rPr>
          <w:rFonts w:asciiTheme="minorHAnsi" w:hAnsiTheme="minorHAnsi" w:cstheme="minorHAnsi"/>
          <w:color w:val="000000" w:themeColor="text1"/>
          <w:sz w:val="22"/>
          <w:szCs w:val="22"/>
        </w:rPr>
        <w:t xml:space="preserve">38, KU </w:t>
      </w:r>
      <w:r w:rsidR="000D4215" w:rsidRPr="00A65F82">
        <w:rPr>
          <w:rFonts w:asciiTheme="minorHAnsi" w:hAnsiTheme="minorHAnsi" w:cstheme="minorHAnsi"/>
          <w:color w:val="000000" w:themeColor="text1"/>
          <w:sz w:val="22"/>
          <w:szCs w:val="22"/>
        </w:rPr>
        <w:t>p</w:t>
      </w:r>
      <w:r w:rsidRPr="00A65F82">
        <w:rPr>
          <w:rFonts w:asciiTheme="minorHAnsi" w:hAnsiTheme="minorHAnsi" w:cstheme="minorHAnsi"/>
          <w:color w:val="000000" w:themeColor="text1"/>
          <w:sz w:val="22"/>
          <w:szCs w:val="22"/>
        </w:rPr>
        <w:t xml:space="preserve">angenome, and HPRC </w:t>
      </w:r>
      <w:r w:rsidR="000D4215" w:rsidRPr="00A65F82">
        <w:rPr>
          <w:rFonts w:asciiTheme="minorHAnsi" w:hAnsiTheme="minorHAnsi" w:cstheme="minorHAnsi"/>
          <w:color w:val="000000" w:themeColor="text1"/>
          <w:sz w:val="22"/>
          <w:szCs w:val="22"/>
        </w:rPr>
        <w:t>p</w:t>
      </w:r>
      <w:r w:rsidRPr="00A65F82">
        <w:rPr>
          <w:rFonts w:asciiTheme="minorHAnsi" w:hAnsiTheme="minorHAnsi" w:cstheme="minorHAnsi"/>
          <w:color w:val="000000" w:themeColor="text1"/>
          <w:sz w:val="22"/>
          <w:szCs w:val="22"/>
        </w:rPr>
        <w:t xml:space="preserve">angenome) against GIAB truth sets (HG001–HG007). Evaluation metrics include </w:t>
      </w:r>
      <w:r w:rsidR="000D4215" w:rsidRPr="00A65F82">
        <w:rPr>
          <w:rFonts w:asciiTheme="minorHAnsi" w:hAnsiTheme="minorHAnsi" w:cstheme="minorHAnsi"/>
          <w:color w:val="000000" w:themeColor="text1"/>
          <w:sz w:val="22"/>
          <w:szCs w:val="22"/>
        </w:rPr>
        <w:t>r</w:t>
      </w:r>
      <w:r w:rsidRPr="00A65F82">
        <w:rPr>
          <w:rFonts w:asciiTheme="minorHAnsi" w:hAnsiTheme="minorHAnsi" w:cstheme="minorHAnsi"/>
          <w:color w:val="000000" w:themeColor="text1"/>
          <w:sz w:val="22"/>
          <w:szCs w:val="22"/>
        </w:rPr>
        <w:t xml:space="preserve">ecall, </w:t>
      </w:r>
      <w:r w:rsidR="000D4215" w:rsidRPr="00A65F82">
        <w:rPr>
          <w:rFonts w:asciiTheme="minorHAnsi" w:hAnsiTheme="minorHAnsi" w:cstheme="minorHAnsi"/>
          <w:color w:val="000000" w:themeColor="text1"/>
          <w:sz w:val="22"/>
          <w:szCs w:val="22"/>
        </w:rPr>
        <w:t>p</w:t>
      </w:r>
      <w:r w:rsidRPr="00A65F82">
        <w:rPr>
          <w:rFonts w:asciiTheme="minorHAnsi" w:hAnsiTheme="minorHAnsi" w:cstheme="minorHAnsi"/>
          <w:color w:val="000000" w:themeColor="text1"/>
          <w:sz w:val="22"/>
          <w:szCs w:val="22"/>
        </w:rPr>
        <w:t xml:space="preserve">recision, F1 Score, and Matthews Correlation Coefficient (MCC), along with detailed counts for true positives (TP), false negatives (FN), false positives (FP), and unknowns (UNK). Additional statistics include </w:t>
      </w:r>
      <w:proofErr w:type="spellStart"/>
      <w:r w:rsidRPr="00A65F82">
        <w:rPr>
          <w:rFonts w:asciiTheme="minorHAnsi" w:hAnsiTheme="minorHAnsi" w:cstheme="minorHAnsi"/>
          <w:color w:val="000000" w:themeColor="text1"/>
          <w:sz w:val="22"/>
          <w:szCs w:val="22"/>
        </w:rPr>
        <w:t>TiTv</w:t>
      </w:r>
      <w:proofErr w:type="spellEnd"/>
      <w:r w:rsidRPr="00A65F82">
        <w:rPr>
          <w:rFonts w:asciiTheme="minorHAnsi" w:hAnsiTheme="minorHAnsi" w:cstheme="minorHAnsi"/>
          <w:color w:val="000000" w:themeColor="text1"/>
          <w:sz w:val="22"/>
          <w:szCs w:val="22"/>
        </w:rPr>
        <w:t xml:space="preserve"> ratios, heterozygous-to-homozygous (het/</w:t>
      </w:r>
      <w:proofErr w:type="spellStart"/>
      <w:r w:rsidRPr="00A65F82">
        <w:rPr>
          <w:rFonts w:asciiTheme="minorHAnsi" w:hAnsiTheme="minorHAnsi" w:cstheme="minorHAnsi"/>
          <w:color w:val="000000" w:themeColor="text1"/>
          <w:sz w:val="22"/>
          <w:szCs w:val="22"/>
        </w:rPr>
        <w:t>hom</w:t>
      </w:r>
      <w:proofErr w:type="spellEnd"/>
      <w:r w:rsidRPr="00A65F82">
        <w:rPr>
          <w:rFonts w:asciiTheme="minorHAnsi" w:hAnsiTheme="minorHAnsi" w:cstheme="minorHAnsi"/>
          <w:color w:val="000000" w:themeColor="text1"/>
          <w:sz w:val="22"/>
          <w:szCs w:val="22"/>
        </w:rPr>
        <w:t xml:space="preserve">) ratios, the fraction of variants not assessed (Frac NA), and BED-based true negatives (TN). Overall, long-read data generally yield higher precision and recall for </w:t>
      </w:r>
      <w:r w:rsidR="00F132AC" w:rsidRPr="00A65F82">
        <w:rPr>
          <w:rFonts w:asciiTheme="minorHAnsi" w:hAnsiTheme="minorHAnsi" w:cstheme="minorHAnsi"/>
          <w:color w:val="000000" w:themeColor="text1"/>
          <w:sz w:val="22"/>
          <w:szCs w:val="22"/>
        </w:rPr>
        <w:t>i</w:t>
      </w:r>
      <w:r w:rsidR="000D4215" w:rsidRPr="00A65F82">
        <w:rPr>
          <w:rFonts w:asciiTheme="minorHAnsi" w:hAnsiTheme="minorHAnsi" w:cstheme="minorHAnsi"/>
          <w:color w:val="000000" w:themeColor="text1"/>
          <w:sz w:val="22"/>
          <w:szCs w:val="22"/>
        </w:rPr>
        <w:t>ndel</w:t>
      </w:r>
      <w:r w:rsidRPr="00A65F82">
        <w:rPr>
          <w:rFonts w:asciiTheme="minorHAnsi" w:hAnsiTheme="minorHAnsi" w:cstheme="minorHAnsi"/>
          <w:color w:val="000000" w:themeColor="text1"/>
          <w:sz w:val="22"/>
          <w:szCs w:val="22"/>
        </w:rPr>
        <w:t>s, while SN</w:t>
      </w:r>
      <w:r w:rsidR="000D4215" w:rsidRPr="00A65F82">
        <w:rPr>
          <w:rFonts w:asciiTheme="minorHAnsi" w:hAnsiTheme="minorHAnsi" w:cstheme="minorHAnsi"/>
          <w:color w:val="000000" w:themeColor="text1"/>
          <w:sz w:val="22"/>
          <w:szCs w:val="22"/>
        </w:rPr>
        <w:t>V</w:t>
      </w:r>
      <w:r w:rsidRPr="00A65F82">
        <w:rPr>
          <w:rFonts w:asciiTheme="minorHAnsi" w:hAnsiTheme="minorHAnsi" w:cstheme="minorHAnsi"/>
          <w:color w:val="000000" w:themeColor="text1"/>
          <w:sz w:val="22"/>
          <w:szCs w:val="22"/>
        </w:rPr>
        <w:t xml:space="preserve"> calling across all references shows high performance (F1 &gt; 0.99). Among references, the linear </w:t>
      </w:r>
      <w:r w:rsidR="000D4215" w:rsidRPr="00A65F82">
        <w:rPr>
          <w:rFonts w:asciiTheme="minorHAnsi" w:hAnsiTheme="minorHAnsi" w:cstheme="minorHAnsi"/>
          <w:color w:val="000000" w:themeColor="text1"/>
          <w:sz w:val="22"/>
          <w:szCs w:val="22"/>
        </w:rPr>
        <w:t>GRCh</w:t>
      </w:r>
      <w:r w:rsidRPr="00A65F82">
        <w:rPr>
          <w:rFonts w:asciiTheme="minorHAnsi" w:hAnsiTheme="minorHAnsi" w:cstheme="minorHAnsi"/>
          <w:color w:val="000000" w:themeColor="text1"/>
          <w:sz w:val="22"/>
          <w:szCs w:val="22"/>
        </w:rPr>
        <w:t>38 tends to achieve slightly higher MCC and lower error rates for SN</w:t>
      </w:r>
      <w:r w:rsidR="000D4215" w:rsidRPr="00A65F82">
        <w:rPr>
          <w:rFonts w:asciiTheme="minorHAnsi" w:hAnsiTheme="minorHAnsi" w:cstheme="minorHAnsi"/>
          <w:color w:val="000000" w:themeColor="text1"/>
          <w:sz w:val="22"/>
          <w:szCs w:val="22"/>
        </w:rPr>
        <w:t>V</w:t>
      </w:r>
      <w:r w:rsidRPr="00A65F82">
        <w:rPr>
          <w:rFonts w:asciiTheme="minorHAnsi" w:hAnsiTheme="minorHAnsi" w:cstheme="minorHAnsi"/>
          <w:color w:val="000000" w:themeColor="text1"/>
          <w:sz w:val="22"/>
          <w:szCs w:val="22"/>
        </w:rPr>
        <w:t xml:space="preserve">s, while the pangenome-based references provide competitive or better results for </w:t>
      </w:r>
      <w:r w:rsidR="000D4215" w:rsidRPr="00A65F82">
        <w:rPr>
          <w:rFonts w:asciiTheme="minorHAnsi" w:hAnsiTheme="minorHAnsi" w:cstheme="minorHAnsi"/>
          <w:color w:val="000000" w:themeColor="text1"/>
          <w:sz w:val="22"/>
          <w:szCs w:val="22"/>
        </w:rPr>
        <w:t xml:space="preserve">indel </w:t>
      </w:r>
      <w:r w:rsidRPr="00A65F82">
        <w:rPr>
          <w:rFonts w:asciiTheme="minorHAnsi" w:hAnsiTheme="minorHAnsi" w:cstheme="minorHAnsi"/>
          <w:color w:val="000000" w:themeColor="text1"/>
          <w:sz w:val="22"/>
          <w:szCs w:val="22"/>
        </w:rPr>
        <w:t xml:space="preserve">detection in some cases. These findings highlight both the advantages of long-read sequencing and the subtle performance differences between reference choices. </w:t>
      </w:r>
    </w:p>
    <w:p w14:paraId="59301D2B" w14:textId="31709474" w:rsidR="2F7A3B09" w:rsidRPr="00A65F82" w:rsidRDefault="2F7A3B09" w:rsidP="00F5601E">
      <w:pPr>
        <w:spacing w:before="200"/>
        <w:jc w:val="both"/>
        <w:rPr>
          <w:rFonts w:asciiTheme="minorHAnsi" w:hAnsiTheme="minorHAnsi" w:cstheme="minorHAnsi"/>
          <w:color w:val="000000" w:themeColor="text1"/>
          <w:sz w:val="22"/>
          <w:szCs w:val="22"/>
        </w:rPr>
      </w:pPr>
      <w:r w:rsidRPr="000A5402">
        <w:rPr>
          <w:rFonts w:asciiTheme="minorHAnsi" w:hAnsiTheme="minorHAnsi" w:cstheme="minorHAnsi"/>
          <w:i/>
          <w:iCs/>
          <w:color w:val="000000" w:themeColor="text1"/>
          <w:sz w:val="22"/>
          <w:szCs w:val="22"/>
        </w:rPr>
        <w:t xml:space="preserve">Supplementary Table </w:t>
      </w:r>
      <w:r w:rsidR="00440E9C" w:rsidRPr="000A5402">
        <w:rPr>
          <w:rFonts w:asciiTheme="minorHAnsi" w:hAnsiTheme="minorHAnsi" w:cstheme="minorHAnsi"/>
          <w:i/>
          <w:iCs/>
          <w:color w:val="000000" w:themeColor="text1"/>
          <w:sz w:val="22"/>
          <w:szCs w:val="22"/>
        </w:rPr>
        <w:t>20</w:t>
      </w:r>
      <w:r w:rsidRPr="000A5402">
        <w:rPr>
          <w:rFonts w:asciiTheme="minorHAnsi" w:hAnsiTheme="minorHAnsi" w:cstheme="minorHAnsi"/>
          <w:i/>
          <w:iCs/>
          <w:color w:val="000000" w:themeColor="text1"/>
          <w:sz w:val="22"/>
          <w:szCs w:val="22"/>
        </w:rPr>
        <w:t>:</w:t>
      </w:r>
      <w:r w:rsidRPr="00A65F82">
        <w:rPr>
          <w:rFonts w:asciiTheme="minorHAnsi" w:hAnsiTheme="minorHAnsi" w:cstheme="minorHAnsi"/>
          <w:color w:val="000000" w:themeColor="text1"/>
          <w:sz w:val="22"/>
          <w:szCs w:val="22"/>
        </w:rPr>
        <w:t xml:space="preserve"> </w:t>
      </w:r>
      <w:r w:rsidR="0DF186A4" w:rsidRPr="00A65F82">
        <w:rPr>
          <w:rFonts w:asciiTheme="minorHAnsi" w:eastAsia="Calibri" w:hAnsiTheme="minorHAnsi" w:cstheme="minorHAnsi"/>
          <w:color w:val="000000" w:themeColor="text1"/>
          <w:sz w:val="22"/>
          <w:szCs w:val="22"/>
        </w:rPr>
        <w:t>List of computational tools, software packages, and their corresponding versions used in the respective analyses throughout this study. The table details the specific role of each tool (e.g., assembly, alignment, variant calling, graph construction, phasing, and visualization), along with version numbers and references, to ensure reproducibility and transparency of all analyses performed.</w:t>
      </w:r>
    </w:p>
    <w:p w14:paraId="0730C944" w14:textId="77777777" w:rsidR="00F87D14" w:rsidRPr="00A65F82" w:rsidRDefault="00F87D14" w:rsidP="00F5601E">
      <w:pPr>
        <w:spacing w:line="360" w:lineRule="auto"/>
        <w:jc w:val="both"/>
        <w:rPr>
          <w:rFonts w:asciiTheme="minorHAnsi" w:hAnsiTheme="minorHAnsi" w:cstheme="minorHAnsi"/>
          <w:color w:val="000000" w:themeColor="text1"/>
          <w:sz w:val="22"/>
          <w:szCs w:val="22"/>
        </w:rPr>
      </w:pPr>
    </w:p>
    <w:p w14:paraId="7F49B080" w14:textId="272391FF"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333EB54F" w14:textId="42CC92DE"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0C314A84" w14:textId="67A17727"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1E9E95B7" w14:textId="7BC67A62"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03B16D2A" w14:textId="7FB2F8A2"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23C3E92B" w14:textId="1F782F10"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5890E463" w14:textId="0168040C"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4A9E4DA7" w14:textId="3B6F33A0"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2B9B0A81" w14:textId="587C40BF"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239EB00D" w14:textId="5E37CFE1"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5DFD7B82" w14:textId="015C44E5"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625F4DB5" w14:textId="19F594F6"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0204C597" w14:textId="41959812" w:rsidR="429F7243" w:rsidRPr="00A65F82" w:rsidRDefault="429F7243" w:rsidP="00F5601E">
      <w:pPr>
        <w:spacing w:line="360" w:lineRule="auto"/>
        <w:jc w:val="both"/>
        <w:rPr>
          <w:rFonts w:asciiTheme="minorHAnsi" w:hAnsiTheme="minorHAnsi" w:cstheme="minorHAnsi"/>
          <w:color w:val="000000" w:themeColor="text1"/>
          <w:sz w:val="22"/>
          <w:szCs w:val="22"/>
        </w:rPr>
      </w:pPr>
    </w:p>
    <w:p w14:paraId="7D1F42E3" w14:textId="77777777" w:rsidR="005A7B48" w:rsidRPr="00A65F82" w:rsidRDefault="005A7B48" w:rsidP="00F5601E">
      <w:pPr>
        <w:spacing w:line="360" w:lineRule="auto"/>
        <w:jc w:val="both"/>
        <w:rPr>
          <w:rFonts w:asciiTheme="minorHAnsi" w:hAnsiTheme="minorHAnsi" w:cstheme="minorHAnsi"/>
          <w:iCs/>
          <w:color w:val="000000" w:themeColor="text1"/>
          <w:sz w:val="22"/>
          <w:szCs w:val="22"/>
        </w:rPr>
      </w:pPr>
    </w:p>
    <w:p w14:paraId="1A834E42" w14:textId="578BFBC0" w:rsidR="00F63560" w:rsidRPr="00A65F82" w:rsidRDefault="000552B1" w:rsidP="00F5601E">
      <w:pPr>
        <w:spacing w:line="360" w:lineRule="auto"/>
        <w:jc w:val="both"/>
        <w:rPr>
          <w:rFonts w:asciiTheme="minorHAnsi" w:hAnsiTheme="minorHAnsi" w:cstheme="minorHAnsi"/>
          <w:b/>
          <w:bCs/>
          <w:iCs/>
          <w:color w:val="000000" w:themeColor="text1"/>
          <w:sz w:val="22"/>
          <w:szCs w:val="22"/>
        </w:rPr>
      </w:pPr>
      <w:r w:rsidRPr="00A65F82">
        <w:rPr>
          <w:rFonts w:asciiTheme="minorHAnsi" w:hAnsiTheme="minorHAnsi" w:cstheme="minorHAnsi"/>
          <w:b/>
          <w:bCs/>
          <w:iCs/>
          <w:color w:val="000000" w:themeColor="text1"/>
          <w:sz w:val="22"/>
          <w:szCs w:val="22"/>
        </w:rPr>
        <w:lastRenderedPageBreak/>
        <w:t>Supplementary Figure</w:t>
      </w:r>
      <w:r w:rsidR="002235A2" w:rsidRPr="00A65F82">
        <w:rPr>
          <w:rFonts w:asciiTheme="minorHAnsi" w:hAnsiTheme="minorHAnsi" w:cstheme="minorHAnsi"/>
          <w:b/>
          <w:bCs/>
          <w:iCs/>
          <w:color w:val="000000" w:themeColor="text1"/>
          <w:sz w:val="22"/>
          <w:szCs w:val="22"/>
        </w:rPr>
        <w:t>s</w:t>
      </w:r>
    </w:p>
    <w:p w14:paraId="3A8E21A3" w14:textId="77777777" w:rsidR="00087DB5" w:rsidRPr="00A65F82" w:rsidRDefault="00087DB5" w:rsidP="00F5601E">
      <w:pPr>
        <w:keepNext/>
        <w:spacing w:line="360" w:lineRule="auto"/>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drawing>
          <wp:inline distT="0" distB="0" distL="0" distR="0" wp14:anchorId="704B5C31" wp14:editId="5E0C3D7B">
            <wp:extent cx="5731509" cy="2354013"/>
            <wp:effectExtent l="0" t="0" r="0" b="0"/>
            <wp:docPr id="97354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41592" name="Picture 1"/>
                    <pic:cNvPicPr/>
                  </pic:nvPicPr>
                  <pic:blipFill>
                    <a:blip r:embed="rId7"/>
                    <a:stretch>
                      <a:fillRect/>
                    </a:stretch>
                  </pic:blipFill>
                  <pic:spPr>
                    <a:xfrm>
                      <a:off x="0" y="0"/>
                      <a:ext cx="5731509" cy="2354013"/>
                    </a:xfrm>
                    <a:prstGeom prst="rect">
                      <a:avLst/>
                    </a:prstGeom>
                  </pic:spPr>
                </pic:pic>
              </a:graphicData>
            </a:graphic>
          </wp:inline>
        </w:drawing>
      </w:r>
    </w:p>
    <w:p w14:paraId="0B7AB3E8" w14:textId="7EF9A276" w:rsidR="00506856" w:rsidRPr="00A65F82" w:rsidRDefault="00087DB5"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rPr>
        <w:t xml:space="preserve">Supplementary Figure </w:t>
      </w:r>
      <w:r w:rsidRPr="00A65F82">
        <w:rPr>
          <w:rFonts w:asciiTheme="minorHAnsi" w:hAnsiTheme="minorHAnsi" w:cstheme="minorHAnsi"/>
          <w:color w:val="000000" w:themeColor="text1"/>
          <w:sz w:val="22"/>
          <w:szCs w:val="22"/>
        </w:rPr>
        <w:fldChar w:fldCharType="begin"/>
      </w:r>
      <w:r w:rsidRPr="00A65F82">
        <w:rPr>
          <w:rFonts w:asciiTheme="minorHAnsi" w:hAnsiTheme="minorHAnsi" w:cstheme="minorHAnsi"/>
          <w:color w:val="000000" w:themeColor="text1"/>
          <w:sz w:val="22"/>
          <w:szCs w:val="22"/>
        </w:rPr>
        <w:instrText xml:space="preserve"> SEQ Supplementary_Figure \* ARABIC </w:instrText>
      </w:r>
      <w:r w:rsidRPr="00A65F82">
        <w:rPr>
          <w:rFonts w:asciiTheme="minorHAnsi" w:hAnsiTheme="minorHAnsi" w:cstheme="minorHAnsi"/>
          <w:color w:val="000000" w:themeColor="text1"/>
          <w:sz w:val="22"/>
          <w:szCs w:val="22"/>
        </w:rPr>
        <w:fldChar w:fldCharType="separate"/>
      </w:r>
      <w:r w:rsidR="00C1654D" w:rsidRPr="00A65F82">
        <w:rPr>
          <w:rFonts w:asciiTheme="minorHAnsi" w:hAnsiTheme="minorHAnsi" w:cstheme="minorHAnsi"/>
          <w:noProof/>
          <w:color w:val="000000" w:themeColor="text1"/>
          <w:sz w:val="22"/>
          <w:szCs w:val="22"/>
        </w:rPr>
        <w:t>1</w:t>
      </w:r>
      <w:r w:rsidRPr="00A65F82">
        <w:rPr>
          <w:rFonts w:asciiTheme="minorHAnsi" w:hAnsiTheme="minorHAnsi" w:cstheme="minorHAnsi"/>
          <w:color w:val="000000" w:themeColor="text1"/>
          <w:sz w:val="22"/>
          <w:szCs w:val="22"/>
        </w:rPr>
        <w:fldChar w:fldCharType="end"/>
      </w:r>
      <w:r w:rsidR="00024FF9" w:rsidRPr="00A65F82">
        <w:rPr>
          <w:rFonts w:asciiTheme="minorHAnsi" w:hAnsiTheme="minorHAnsi" w:cstheme="minorHAnsi"/>
          <w:color w:val="000000" w:themeColor="text1"/>
          <w:sz w:val="22"/>
          <w:szCs w:val="22"/>
        </w:rPr>
        <w:t xml:space="preserve">: </w:t>
      </w:r>
      <w:r w:rsidR="0079289A" w:rsidRPr="00A65F82">
        <w:rPr>
          <w:rFonts w:asciiTheme="minorHAnsi" w:hAnsiTheme="minorHAnsi" w:cstheme="minorHAnsi"/>
          <w:color w:val="000000" w:themeColor="text1"/>
          <w:sz w:val="22"/>
          <w:szCs w:val="22"/>
        </w:rPr>
        <w:t xml:space="preserve">Processing workflow for human chromosome-level genome assemblies. The diagram outlines steps for integrating sequencing data from multiple platforms (HiFi, ONT, and Illumina) to create a comprehensive trio-based diploid assembly. Following read trimming (purple) and long-read polishing (pink), the assembly stage (red) </w:t>
      </w:r>
      <w:r w:rsidR="00484A98" w:rsidRPr="00A65F82">
        <w:rPr>
          <w:rFonts w:asciiTheme="minorHAnsi" w:hAnsiTheme="minorHAnsi" w:cstheme="minorHAnsi"/>
          <w:color w:val="000000" w:themeColor="text1"/>
          <w:sz w:val="22"/>
          <w:szCs w:val="22"/>
        </w:rPr>
        <w:t xml:space="preserve">begins by generating </w:t>
      </w:r>
      <w:r w:rsidR="0071710C" w:rsidRPr="00A65F82">
        <w:rPr>
          <w:rFonts w:asciiTheme="minorHAnsi" w:hAnsiTheme="minorHAnsi" w:cstheme="minorHAnsi"/>
          <w:color w:val="000000" w:themeColor="text1"/>
          <w:sz w:val="22"/>
          <w:szCs w:val="22"/>
        </w:rPr>
        <w:t>k</w:t>
      </w:r>
      <w:r w:rsidR="00484A98" w:rsidRPr="00A65F82">
        <w:rPr>
          <w:rFonts w:asciiTheme="minorHAnsi" w:hAnsiTheme="minorHAnsi" w:cstheme="minorHAnsi"/>
          <w:color w:val="000000" w:themeColor="text1"/>
          <w:sz w:val="22"/>
          <w:szCs w:val="22"/>
        </w:rPr>
        <w:t>-</w:t>
      </w:r>
      <w:proofErr w:type="spellStart"/>
      <w:r w:rsidR="00484A98" w:rsidRPr="00A65F82">
        <w:rPr>
          <w:rFonts w:asciiTheme="minorHAnsi" w:hAnsiTheme="minorHAnsi" w:cstheme="minorHAnsi"/>
          <w:color w:val="000000" w:themeColor="text1"/>
          <w:sz w:val="22"/>
          <w:szCs w:val="22"/>
        </w:rPr>
        <w:t>mer</w:t>
      </w:r>
      <w:proofErr w:type="spellEnd"/>
      <w:r w:rsidR="00484A98" w:rsidRPr="00A65F82">
        <w:rPr>
          <w:rFonts w:asciiTheme="minorHAnsi" w:hAnsiTheme="minorHAnsi" w:cstheme="minorHAnsi"/>
          <w:color w:val="000000" w:themeColor="text1"/>
          <w:sz w:val="22"/>
          <w:szCs w:val="22"/>
        </w:rPr>
        <w:t xml:space="preserve"> databases of parental reads using Meryl and Yak for the assembly pipelines </w:t>
      </w:r>
      <w:proofErr w:type="spellStart"/>
      <w:r w:rsidR="00484A98" w:rsidRPr="00A65F82">
        <w:rPr>
          <w:rFonts w:asciiTheme="minorHAnsi" w:hAnsiTheme="minorHAnsi" w:cstheme="minorHAnsi"/>
          <w:color w:val="000000" w:themeColor="text1"/>
          <w:sz w:val="22"/>
          <w:szCs w:val="22"/>
        </w:rPr>
        <w:t>Verkko</w:t>
      </w:r>
      <w:proofErr w:type="spellEnd"/>
      <w:r w:rsidR="00484A98" w:rsidRPr="00A65F82">
        <w:rPr>
          <w:rFonts w:asciiTheme="minorHAnsi" w:hAnsiTheme="minorHAnsi" w:cstheme="minorHAnsi"/>
          <w:color w:val="000000" w:themeColor="text1"/>
          <w:sz w:val="22"/>
          <w:szCs w:val="22"/>
        </w:rPr>
        <w:t xml:space="preserve"> and </w:t>
      </w:r>
      <w:proofErr w:type="spellStart"/>
      <w:r w:rsidR="00EF37BB" w:rsidRPr="00A65F82">
        <w:rPr>
          <w:rFonts w:asciiTheme="minorHAnsi" w:hAnsiTheme="minorHAnsi" w:cstheme="minorHAnsi"/>
          <w:color w:val="000000" w:themeColor="text1"/>
          <w:sz w:val="22"/>
          <w:szCs w:val="22"/>
        </w:rPr>
        <w:t>hifi</w:t>
      </w:r>
      <w:r w:rsidR="00484A98" w:rsidRPr="00A65F82">
        <w:rPr>
          <w:rFonts w:asciiTheme="minorHAnsi" w:hAnsiTheme="minorHAnsi" w:cstheme="minorHAnsi"/>
          <w:color w:val="000000" w:themeColor="text1"/>
          <w:sz w:val="22"/>
          <w:szCs w:val="22"/>
        </w:rPr>
        <w:t>asm</w:t>
      </w:r>
      <w:proofErr w:type="spellEnd"/>
      <w:r w:rsidR="00484A98" w:rsidRPr="00A65F82">
        <w:rPr>
          <w:rFonts w:asciiTheme="minorHAnsi" w:hAnsiTheme="minorHAnsi" w:cstheme="minorHAnsi"/>
          <w:color w:val="000000" w:themeColor="text1"/>
          <w:sz w:val="22"/>
          <w:szCs w:val="22"/>
        </w:rPr>
        <w:t>,</w:t>
      </w:r>
      <w:r w:rsidR="0079289A" w:rsidRPr="00A65F82">
        <w:rPr>
          <w:rFonts w:asciiTheme="minorHAnsi" w:hAnsiTheme="minorHAnsi" w:cstheme="minorHAnsi"/>
          <w:color w:val="000000" w:themeColor="text1"/>
          <w:sz w:val="22"/>
          <w:szCs w:val="22"/>
        </w:rPr>
        <w:t xml:space="preserve"> respectively. The generated draft assemblies are scaffolded (orange) using ntLink and further improved using RagTag for reference-guided assembly based on the CHM13v2.0 reference genome. The final assembly refinement involves gap-filling (green) using </w:t>
      </w:r>
      <w:proofErr w:type="spellStart"/>
      <w:r w:rsidR="0079289A" w:rsidRPr="00A65F82">
        <w:rPr>
          <w:rFonts w:asciiTheme="minorHAnsi" w:hAnsiTheme="minorHAnsi" w:cstheme="minorHAnsi"/>
          <w:color w:val="000000" w:themeColor="text1"/>
          <w:sz w:val="22"/>
          <w:szCs w:val="22"/>
        </w:rPr>
        <w:t>quarteT</w:t>
      </w:r>
      <w:proofErr w:type="spellEnd"/>
      <w:r w:rsidR="0079289A" w:rsidRPr="00A65F82">
        <w:rPr>
          <w:rFonts w:asciiTheme="minorHAnsi" w:hAnsiTheme="minorHAnsi" w:cstheme="minorHAnsi"/>
          <w:color w:val="000000" w:themeColor="text1"/>
          <w:sz w:val="22"/>
          <w:szCs w:val="22"/>
        </w:rPr>
        <w:t>, culminating in the gap-filled scaffolded assembly (dark blue).</w:t>
      </w:r>
    </w:p>
    <w:p w14:paraId="5BBFF8A4" w14:textId="77777777" w:rsidR="0079289A" w:rsidRPr="00A65F82" w:rsidRDefault="0079289A" w:rsidP="00F5601E">
      <w:pPr>
        <w:jc w:val="both"/>
        <w:rPr>
          <w:rFonts w:asciiTheme="minorHAnsi" w:hAnsiTheme="minorHAnsi" w:cstheme="minorHAnsi"/>
          <w:color w:val="000000" w:themeColor="text1"/>
          <w:sz w:val="22"/>
          <w:szCs w:val="22"/>
        </w:rPr>
      </w:pPr>
    </w:p>
    <w:p w14:paraId="54728BFD" w14:textId="77777777" w:rsidR="0079289A" w:rsidRPr="00A65F82" w:rsidRDefault="0079289A" w:rsidP="00F5601E">
      <w:pPr>
        <w:jc w:val="both"/>
        <w:rPr>
          <w:rFonts w:asciiTheme="minorHAnsi" w:hAnsiTheme="minorHAnsi" w:cstheme="minorHAnsi"/>
          <w:color w:val="000000" w:themeColor="text1"/>
          <w:sz w:val="22"/>
          <w:szCs w:val="22"/>
        </w:rPr>
      </w:pPr>
    </w:p>
    <w:p w14:paraId="4786487E" w14:textId="77777777" w:rsidR="00EB78BF" w:rsidRPr="00A65F82" w:rsidRDefault="00EB78BF"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drawing>
          <wp:inline distT="0" distB="0" distL="0" distR="0" wp14:anchorId="19520B18" wp14:editId="5DA646DD">
            <wp:extent cx="5731510" cy="2273300"/>
            <wp:effectExtent l="0" t="0" r="0" b="0"/>
            <wp:docPr id="1483659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59065" name="Picture 1483659065"/>
                    <pic:cNvPicPr/>
                  </pic:nvPicPr>
                  <pic:blipFill>
                    <a:blip r:embed="rId8"/>
                    <a:stretch>
                      <a:fillRect/>
                    </a:stretch>
                  </pic:blipFill>
                  <pic:spPr>
                    <a:xfrm>
                      <a:off x="0" y="0"/>
                      <a:ext cx="5731510" cy="2273300"/>
                    </a:xfrm>
                    <a:prstGeom prst="rect">
                      <a:avLst/>
                    </a:prstGeom>
                  </pic:spPr>
                </pic:pic>
              </a:graphicData>
            </a:graphic>
          </wp:inline>
        </w:drawing>
      </w:r>
    </w:p>
    <w:p w14:paraId="0EEA2A8F" w14:textId="0F45B9EB" w:rsidR="00EB78BF" w:rsidRPr="00A65F82" w:rsidRDefault="00EB78BF"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rPr>
        <w:t xml:space="preserve">Supplementary Figure </w:t>
      </w:r>
      <w:r w:rsidRPr="00A65F82">
        <w:rPr>
          <w:rFonts w:asciiTheme="minorHAnsi" w:hAnsiTheme="minorHAnsi" w:cstheme="minorHAnsi"/>
          <w:color w:val="000000" w:themeColor="text1"/>
          <w:sz w:val="22"/>
          <w:szCs w:val="22"/>
        </w:rPr>
        <w:fldChar w:fldCharType="begin"/>
      </w:r>
      <w:r w:rsidRPr="00A65F82">
        <w:rPr>
          <w:rFonts w:asciiTheme="minorHAnsi" w:hAnsiTheme="minorHAnsi" w:cstheme="minorHAnsi"/>
          <w:color w:val="000000" w:themeColor="text1"/>
          <w:sz w:val="22"/>
          <w:szCs w:val="22"/>
        </w:rPr>
        <w:instrText>SEQ Supplementary_Figure \* ARABIC</w:instrText>
      </w:r>
      <w:r w:rsidRPr="00A65F82">
        <w:rPr>
          <w:rFonts w:asciiTheme="minorHAnsi" w:hAnsiTheme="minorHAnsi" w:cstheme="minorHAnsi"/>
          <w:color w:val="000000" w:themeColor="text1"/>
          <w:sz w:val="22"/>
          <w:szCs w:val="22"/>
        </w:rPr>
        <w:fldChar w:fldCharType="separate"/>
      </w:r>
      <w:r w:rsidR="00C1654D" w:rsidRPr="00A65F82">
        <w:rPr>
          <w:rFonts w:asciiTheme="minorHAnsi" w:hAnsiTheme="minorHAnsi" w:cstheme="minorHAnsi"/>
          <w:noProof/>
          <w:color w:val="000000" w:themeColor="text1"/>
          <w:sz w:val="22"/>
          <w:szCs w:val="22"/>
        </w:rPr>
        <w:t>2</w:t>
      </w:r>
      <w:r w:rsidRPr="00A65F82">
        <w:rPr>
          <w:rFonts w:asciiTheme="minorHAnsi" w:hAnsiTheme="minorHAnsi" w:cstheme="minorHAnsi"/>
          <w:color w:val="000000" w:themeColor="text1"/>
          <w:sz w:val="22"/>
          <w:szCs w:val="22"/>
        </w:rPr>
        <w:fldChar w:fldCharType="end"/>
      </w:r>
      <w:r w:rsidR="00423D03" w:rsidRPr="00A65F82">
        <w:rPr>
          <w:rFonts w:asciiTheme="minorHAnsi" w:hAnsiTheme="minorHAnsi" w:cstheme="minorHAnsi"/>
          <w:noProof/>
          <w:color w:val="000000" w:themeColor="text1"/>
          <w:sz w:val="22"/>
          <w:szCs w:val="22"/>
        </w:rPr>
        <w:t>: Alignment of T2T-ERG_XX paternal haplotype with CHM13v2.0. All primary alignments are shown. (a) Dotplot. (b) The coverage of T2T-ERG_XX chromosomes with CHM13 chromosomes. (c) The coverage of CHM13 chromosomes with T2T-ERG_XX chromosomes. In (b) and (c), all assembly sequences with a length of more than 5 Mb are shown.</w:t>
      </w:r>
    </w:p>
    <w:p w14:paraId="2B39C50D" w14:textId="77777777" w:rsidR="00506856" w:rsidRPr="00A65F82" w:rsidRDefault="00506856" w:rsidP="00F5601E">
      <w:pPr>
        <w:spacing w:line="360" w:lineRule="auto"/>
        <w:jc w:val="both"/>
        <w:rPr>
          <w:rFonts w:asciiTheme="minorHAnsi" w:hAnsiTheme="minorHAnsi" w:cstheme="minorHAnsi"/>
          <w:b/>
          <w:bCs/>
          <w:iCs/>
          <w:color w:val="000000" w:themeColor="text1"/>
          <w:sz w:val="22"/>
          <w:szCs w:val="22"/>
        </w:rPr>
      </w:pPr>
    </w:p>
    <w:p w14:paraId="02FA418F" w14:textId="50529389" w:rsidR="00024FF9" w:rsidRPr="00A65F82" w:rsidRDefault="1EE0C022" w:rsidP="00F5601E">
      <w:pPr>
        <w:keepNext/>
        <w:spacing w:line="360" w:lineRule="auto"/>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5F307DA0" wp14:editId="5CC04446">
            <wp:extent cx="5724525" cy="3219450"/>
            <wp:effectExtent l="0" t="0" r="0" b="0"/>
            <wp:docPr id="1357611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1156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5" cy="3219450"/>
                    </a:xfrm>
                    <a:prstGeom prst="rect">
                      <a:avLst/>
                    </a:prstGeom>
                  </pic:spPr>
                </pic:pic>
              </a:graphicData>
            </a:graphic>
          </wp:inline>
        </w:drawing>
      </w:r>
    </w:p>
    <w:p w14:paraId="7783ED68" w14:textId="31AB917B" w:rsidR="00817496" w:rsidRDefault="05F8CC5C" w:rsidP="00F5601E">
      <w:pPr>
        <w:pStyle w:val="Caption"/>
        <w:jc w:val="both"/>
        <w:rPr>
          <w:rFonts w:asciiTheme="minorHAnsi" w:hAnsiTheme="minorHAnsi" w:cstheme="minorHAnsi"/>
          <w:color w:val="000000" w:themeColor="text1"/>
          <w:sz w:val="22"/>
          <w:szCs w:val="22"/>
          <w:lang w:val="en-US"/>
        </w:rPr>
      </w:pPr>
      <w:r w:rsidRPr="00A65F82">
        <w:rPr>
          <w:rFonts w:asciiTheme="minorHAnsi" w:hAnsiTheme="minorHAnsi" w:cstheme="minorHAnsi"/>
          <w:color w:val="000000" w:themeColor="text1"/>
          <w:sz w:val="22"/>
          <w:szCs w:val="22"/>
          <w:lang w:val="en-US"/>
        </w:rPr>
        <w:t xml:space="preserve">Supplementary Figure 3: Sequencing summary quality control across the HiFi data of the 57 Emirati genome reference genomes. The figure summarizes quality control (QC) results from </w:t>
      </w:r>
      <w:proofErr w:type="spellStart"/>
      <w:r w:rsidRPr="00A65F82">
        <w:rPr>
          <w:rFonts w:asciiTheme="minorHAnsi" w:hAnsiTheme="minorHAnsi" w:cstheme="minorHAnsi"/>
          <w:color w:val="000000" w:themeColor="text1"/>
          <w:sz w:val="22"/>
          <w:szCs w:val="22"/>
          <w:lang w:val="en-US"/>
        </w:rPr>
        <w:t>FastQC</w:t>
      </w:r>
      <w:proofErr w:type="spellEnd"/>
      <w:r w:rsidRPr="00A65F82">
        <w:rPr>
          <w:rFonts w:asciiTheme="minorHAnsi" w:hAnsiTheme="minorHAnsi" w:cstheme="minorHAnsi"/>
          <w:color w:val="000000" w:themeColor="text1"/>
          <w:sz w:val="22"/>
          <w:szCs w:val="22"/>
          <w:lang w:val="en-US"/>
        </w:rPr>
        <w:t xml:space="preserve"> analysis showcasing distributions across multiple QC metrics. (a) </w:t>
      </w:r>
      <w:r w:rsidR="00644BBF" w:rsidRPr="00A65F82">
        <w:rPr>
          <w:rFonts w:asciiTheme="minorHAnsi" w:hAnsiTheme="minorHAnsi" w:cstheme="minorHAnsi"/>
          <w:color w:val="000000" w:themeColor="text1"/>
          <w:sz w:val="22"/>
          <w:szCs w:val="22"/>
          <w:lang w:val="en-US"/>
        </w:rPr>
        <w:t>Sequence number;</w:t>
      </w:r>
      <w:r w:rsidRPr="00A65F82">
        <w:rPr>
          <w:rFonts w:asciiTheme="minorHAnsi" w:hAnsiTheme="minorHAnsi" w:cstheme="minorHAnsi"/>
          <w:color w:val="000000" w:themeColor="text1"/>
          <w:sz w:val="22"/>
          <w:szCs w:val="22"/>
          <w:lang w:val="en-US"/>
        </w:rPr>
        <w:t xml:space="preserve"> (b) </w:t>
      </w:r>
      <w:r w:rsidR="00644BBF" w:rsidRPr="00A65F82">
        <w:rPr>
          <w:rFonts w:asciiTheme="minorHAnsi" w:hAnsiTheme="minorHAnsi" w:cstheme="minorHAnsi"/>
          <w:color w:val="000000" w:themeColor="text1"/>
          <w:sz w:val="22"/>
          <w:szCs w:val="22"/>
          <w:lang w:val="en-US"/>
        </w:rPr>
        <w:t>Average genome coverage;</w:t>
      </w:r>
      <w:r w:rsidRPr="00A65F82">
        <w:rPr>
          <w:rFonts w:asciiTheme="minorHAnsi" w:hAnsiTheme="minorHAnsi" w:cstheme="minorHAnsi"/>
          <w:color w:val="000000" w:themeColor="text1"/>
          <w:sz w:val="22"/>
          <w:szCs w:val="22"/>
          <w:lang w:val="en-US"/>
        </w:rPr>
        <w:t xml:space="preserve"> (c) </w:t>
      </w:r>
      <w:r w:rsidR="00F132AC" w:rsidRPr="00A65F82">
        <w:rPr>
          <w:rFonts w:asciiTheme="minorHAnsi" w:hAnsiTheme="minorHAnsi" w:cstheme="minorHAnsi"/>
          <w:color w:val="000000" w:themeColor="text1"/>
          <w:sz w:val="22"/>
          <w:szCs w:val="22"/>
          <w:lang w:val="en-US"/>
        </w:rPr>
        <w:t xml:space="preserve">Read </w:t>
      </w:r>
      <w:r w:rsidRPr="00A65F82">
        <w:rPr>
          <w:rFonts w:asciiTheme="minorHAnsi" w:hAnsiTheme="minorHAnsi" w:cstheme="minorHAnsi"/>
          <w:color w:val="000000" w:themeColor="text1"/>
          <w:sz w:val="22"/>
          <w:szCs w:val="22"/>
          <w:lang w:val="en-US"/>
        </w:rPr>
        <w:t xml:space="preserve">N50 </w:t>
      </w:r>
      <w:r w:rsidR="00F132AC" w:rsidRPr="00A65F82">
        <w:rPr>
          <w:rFonts w:asciiTheme="minorHAnsi" w:hAnsiTheme="minorHAnsi" w:cstheme="minorHAnsi"/>
          <w:color w:val="000000" w:themeColor="text1"/>
          <w:sz w:val="22"/>
          <w:szCs w:val="22"/>
          <w:lang w:val="en-US"/>
        </w:rPr>
        <w:t>length</w:t>
      </w:r>
      <w:r w:rsidR="00644BBF" w:rsidRPr="00A65F82">
        <w:rPr>
          <w:rFonts w:asciiTheme="minorHAnsi" w:hAnsiTheme="minorHAnsi" w:cstheme="minorHAnsi"/>
          <w:color w:val="000000" w:themeColor="text1"/>
          <w:sz w:val="22"/>
          <w:szCs w:val="22"/>
          <w:lang w:val="en-US"/>
        </w:rPr>
        <w:t>;</w:t>
      </w:r>
      <w:r w:rsidR="00F132AC" w:rsidRPr="00A65F82">
        <w:rPr>
          <w:rFonts w:asciiTheme="minorHAnsi" w:hAnsiTheme="minorHAnsi" w:cstheme="minorHAnsi"/>
          <w:color w:val="000000" w:themeColor="text1"/>
          <w:sz w:val="22"/>
          <w:szCs w:val="22"/>
          <w:lang w:val="en-US"/>
        </w:rPr>
        <w:t xml:space="preserve"> </w:t>
      </w:r>
      <w:r w:rsidRPr="00A65F82">
        <w:rPr>
          <w:rFonts w:asciiTheme="minorHAnsi" w:hAnsiTheme="minorHAnsi" w:cstheme="minorHAnsi"/>
          <w:color w:val="000000" w:themeColor="text1"/>
          <w:sz w:val="22"/>
          <w:szCs w:val="22"/>
          <w:lang w:val="en-US"/>
        </w:rPr>
        <w:t xml:space="preserve">(d) </w:t>
      </w:r>
      <w:r w:rsidR="00F132AC" w:rsidRPr="00A65F82">
        <w:rPr>
          <w:rFonts w:asciiTheme="minorHAnsi" w:hAnsiTheme="minorHAnsi" w:cstheme="minorHAnsi"/>
          <w:color w:val="000000" w:themeColor="text1"/>
          <w:sz w:val="22"/>
          <w:szCs w:val="22"/>
          <w:lang w:val="en-US"/>
        </w:rPr>
        <w:t xml:space="preserve">Read </w:t>
      </w:r>
      <w:r w:rsidRPr="00A65F82">
        <w:rPr>
          <w:rFonts w:asciiTheme="minorHAnsi" w:hAnsiTheme="minorHAnsi" w:cstheme="minorHAnsi"/>
          <w:color w:val="000000" w:themeColor="text1"/>
          <w:sz w:val="22"/>
          <w:szCs w:val="22"/>
          <w:lang w:val="en-US"/>
        </w:rPr>
        <w:t>N90</w:t>
      </w:r>
      <w:r w:rsidR="00F132AC" w:rsidRPr="00A65F82">
        <w:rPr>
          <w:rFonts w:asciiTheme="minorHAnsi" w:hAnsiTheme="minorHAnsi" w:cstheme="minorHAnsi"/>
          <w:color w:val="000000" w:themeColor="text1"/>
          <w:sz w:val="22"/>
          <w:szCs w:val="22"/>
          <w:lang w:val="en-US"/>
        </w:rPr>
        <w:t xml:space="preserve"> length.</w:t>
      </w:r>
      <w:r w:rsidRPr="00A65F82">
        <w:rPr>
          <w:rFonts w:asciiTheme="minorHAnsi" w:hAnsiTheme="minorHAnsi" w:cstheme="minorHAnsi"/>
          <w:color w:val="000000" w:themeColor="text1"/>
          <w:sz w:val="22"/>
          <w:szCs w:val="22"/>
          <w:lang w:val="en-US"/>
        </w:rPr>
        <w:t xml:space="preserve"> </w:t>
      </w:r>
    </w:p>
    <w:p w14:paraId="6271ABA4" w14:textId="77777777" w:rsidR="001416CA" w:rsidRPr="00A65F82" w:rsidRDefault="001416CA" w:rsidP="001416CA">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3DD2AD29" wp14:editId="46FB330A">
            <wp:extent cx="2559058" cy="5195922"/>
            <wp:effectExtent l="0" t="0" r="0" b="0"/>
            <wp:docPr id="7684950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04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963" cy="5222125"/>
                    </a:xfrm>
                    <a:prstGeom prst="rect">
                      <a:avLst/>
                    </a:prstGeom>
                  </pic:spPr>
                </pic:pic>
              </a:graphicData>
            </a:graphic>
          </wp:inline>
        </w:drawing>
      </w:r>
    </w:p>
    <w:p w14:paraId="5F8DCB09" w14:textId="323D74E7" w:rsidR="00FF1F09" w:rsidRPr="004E0B78" w:rsidRDefault="001416CA" w:rsidP="004E0B78">
      <w:pPr>
        <w:rPr>
          <w:rFonts w:asciiTheme="minorHAnsi" w:hAnsiTheme="minorHAnsi" w:cstheme="minorHAnsi"/>
          <w:i/>
          <w:iCs/>
          <w:sz w:val="22"/>
          <w:szCs w:val="22"/>
          <w:lang w:val="en-US"/>
        </w:rPr>
      </w:pPr>
      <w:r w:rsidRPr="001416CA">
        <w:rPr>
          <w:rFonts w:asciiTheme="minorHAnsi" w:hAnsiTheme="minorHAnsi" w:cstheme="minorHAnsi"/>
          <w:i/>
          <w:iCs/>
          <w:sz w:val="22"/>
          <w:szCs w:val="22"/>
          <w:lang w:val="en-US"/>
        </w:rPr>
        <w:t xml:space="preserve">Supplementary Figure 4: Workflow for post-assembly processing of </w:t>
      </w:r>
      <w:proofErr w:type="spellStart"/>
      <w:r w:rsidRPr="001416CA">
        <w:rPr>
          <w:rFonts w:asciiTheme="minorHAnsi" w:hAnsiTheme="minorHAnsi" w:cstheme="minorHAnsi"/>
          <w:i/>
          <w:iCs/>
          <w:sz w:val="22"/>
          <w:szCs w:val="22"/>
          <w:lang w:val="en-US"/>
        </w:rPr>
        <w:t>hifiasm</w:t>
      </w:r>
      <w:proofErr w:type="spellEnd"/>
      <w:r w:rsidRPr="001416CA">
        <w:rPr>
          <w:rFonts w:asciiTheme="minorHAnsi" w:hAnsiTheme="minorHAnsi" w:cstheme="minorHAnsi"/>
          <w:i/>
          <w:iCs/>
          <w:sz w:val="22"/>
          <w:szCs w:val="22"/>
          <w:lang w:val="en-US"/>
        </w:rPr>
        <w:t xml:space="preserve">-generated assemblies in pangenome construction. The initial assembly undergoes quality control (QC) using Quast and YAK evaluation. Scaffolding is performed with </w:t>
      </w:r>
      <w:proofErr w:type="spellStart"/>
      <w:r w:rsidRPr="001416CA">
        <w:rPr>
          <w:rFonts w:asciiTheme="minorHAnsi" w:hAnsiTheme="minorHAnsi" w:cstheme="minorHAnsi"/>
          <w:i/>
          <w:iCs/>
          <w:sz w:val="22"/>
          <w:szCs w:val="22"/>
          <w:lang w:val="en-US"/>
        </w:rPr>
        <w:t>ntLink</w:t>
      </w:r>
      <w:proofErr w:type="spellEnd"/>
      <w:r w:rsidRPr="001416CA">
        <w:rPr>
          <w:rFonts w:asciiTheme="minorHAnsi" w:hAnsiTheme="minorHAnsi" w:cstheme="minorHAnsi"/>
          <w:i/>
          <w:iCs/>
          <w:sz w:val="22"/>
          <w:szCs w:val="22"/>
          <w:lang w:val="en-US"/>
        </w:rPr>
        <w:t xml:space="preserve"> and further improved using </w:t>
      </w:r>
      <w:proofErr w:type="spellStart"/>
      <w:r w:rsidRPr="001416CA">
        <w:rPr>
          <w:rFonts w:asciiTheme="minorHAnsi" w:hAnsiTheme="minorHAnsi" w:cstheme="minorHAnsi"/>
          <w:i/>
          <w:iCs/>
          <w:sz w:val="22"/>
          <w:szCs w:val="22"/>
          <w:lang w:val="en-US"/>
        </w:rPr>
        <w:t>RagTag</w:t>
      </w:r>
      <w:proofErr w:type="spellEnd"/>
      <w:r w:rsidRPr="001416CA">
        <w:rPr>
          <w:rFonts w:asciiTheme="minorHAnsi" w:hAnsiTheme="minorHAnsi" w:cstheme="minorHAnsi"/>
          <w:i/>
          <w:iCs/>
          <w:sz w:val="22"/>
          <w:szCs w:val="22"/>
          <w:lang w:val="en-US"/>
        </w:rPr>
        <w:t xml:space="preserve"> for reference-guided assembly based on the CHM13v2.0 reference genome, followed by contamination screening using Kraken2 with the human database and FCS Adaptor to identify contaminants. Outlier detection assesses chromosomal </w:t>
      </w:r>
      <w:proofErr w:type="spellStart"/>
      <w:r w:rsidRPr="001416CA">
        <w:rPr>
          <w:rFonts w:asciiTheme="minorHAnsi" w:hAnsiTheme="minorHAnsi" w:cstheme="minorHAnsi"/>
          <w:i/>
          <w:iCs/>
          <w:sz w:val="22"/>
          <w:szCs w:val="22"/>
          <w:lang w:val="en-US"/>
        </w:rPr>
        <w:t>misjoins</w:t>
      </w:r>
      <w:proofErr w:type="spellEnd"/>
      <w:r w:rsidRPr="001416CA">
        <w:rPr>
          <w:rFonts w:asciiTheme="minorHAnsi" w:hAnsiTheme="minorHAnsi" w:cstheme="minorHAnsi"/>
          <w:i/>
          <w:iCs/>
          <w:sz w:val="22"/>
          <w:szCs w:val="22"/>
          <w:lang w:val="en-US"/>
        </w:rPr>
        <w:t xml:space="preserve"> and gene duplications. Polishing and error correction are executed with reference to CHM13v2.0 using Inspector. Cleanup steps include filtering and selecting mitochondrial chromosomes (</w:t>
      </w:r>
      <w:proofErr w:type="spellStart"/>
      <w:r w:rsidRPr="001416CA">
        <w:rPr>
          <w:rFonts w:asciiTheme="minorHAnsi" w:hAnsiTheme="minorHAnsi" w:cstheme="minorHAnsi"/>
          <w:i/>
          <w:iCs/>
          <w:sz w:val="22"/>
          <w:szCs w:val="22"/>
          <w:lang w:val="en-US"/>
        </w:rPr>
        <w:t>chrM</w:t>
      </w:r>
      <w:proofErr w:type="spellEnd"/>
      <w:r w:rsidRPr="001416CA">
        <w:rPr>
          <w:rFonts w:asciiTheme="minorHAnsi" w:hAnsiTheme="minorHAnsi" w:cstheme="minorHAnsi"/>
          <w:i/>
          <w:iCs/>
          <w:sz w:val="22"/>
          <w:szCs w:val="22"/>
          <w:lang w:val="en-US"/>
        </w:rPr>
        <w:t>) and renaming. The final assembly is subjected to another round of QC with Quast and YAK evaluation to ensure quality and accuracy.  of QC with Quast and YAK evaluation to ensure quality and accuracy.</w:t>
      </w:r>
    </w:p>
    <w:p w14:paraId="7E26813F" w14:textId="3543AA6E" w:rsidR="00FF1F09" w:rsidRPr="00A65F82" w:rsidRDefault="18EB4C3C" w:rsidP="00F5601E">
      <w:pPr>
        <w:pStyle w:val="Caption"/>
        <w:keepNext/>
        <w:jc w:val="both"/>
        <w:rPr>
          <w:rFonts w:asciiTheme="minorHAnsi" w:hAnsiTheme="minorHAnsi" w:cstheme="minorHAnsi"/>
          <w:color w:val="000000" w:themeColor="text1"/>
          <w:sz w:val="22"/>
          <w:szCs w:val="22"/>
          <w:lang w:val="en-US"/>
        </w:rPr>
      </w:pPr>
      <w:r w:rsidRPr="00A65F82">
        <w:rPr>
          <w:rFonts w:asciiTheme="minorHAnsi" w:hAnsiTheme="minorHAnsi" w:cstheme="minorHAnsi"/>
          <w:noProof/>
          <w:color w:val="000000" w:themeColor="text1"/>
          <w:sz w:val="22"/>
          <w:szCs w:val="22"/>
        </w:rPr>
        <w:lastRenderedPageBreak/>
        <w:drawing>
          <wp:inline distT="0" distB="0" distL="0" distR="0" wp14:anchorId="20E3C738" wp14:editId="6E578CD5">
            <wp:extent cx="5724525" cy="2924175"/>
            <wp:effectExtent l="0" t="0" r="0" b="0"/>
            <wp:docPr id="9650520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5206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2924175"/>
                    </a:xfrm>
                    <a:prstGeom prst="rect">
                      <a:avLst/>
                    </a:prstGeom>
                  </pic:spPr>
                </pic:pic>
              </a:graphicData>
            </a:graphic>
          </wp:inline>
        </w:drawing>
      </w:r>
    </w:p>
    <w:p w14:paraId="47D5760B" w14:textId="0F4ED4DA" w:rsidR="00FF1F09" w:rsidRDefault="5C4C75EB" w:rsidP="00F5601E">
      <w:pPr>
        <w:pStyle w:val="Caption"/>
        <w:jc w:val="both"/>
        <w:rPr>
          <w:rFonts w:asciiTheme="minorHAnsi" w:hAnsiTheme="minorHAnsi" w:cstheme="minorHAnsi"/>
          <w:color w:val="000000" w:themeColor="text1"/>
          <w:sz w:val="22"/>
          <w:szCs w:val="22"/>
          <w:lang w:val="en-US"/>
        </w:rPr>
      </w:pPr>
      <w:r w:rsidRPr="00A65F82">
        <w:rPr>
          <w:rFonts w:asciiTheme="minorHAnsi" w:hAnsiTheme="minorHAnsi" w:cstheme="minorHAnsi"/>
          <w:color w:val="000000" w:themeColor="text1"/>
          <w:sz w:val="22"/>
          <w:szCs w:val="22"/>
          <w:lang w:val="en-US"/>
        </w:rPr>
        <w:t xml:space="preserve">Supplementary Figure 5: The figure shows evaluations of genome assembly and quality assessment across various panels. Panel (a) presents the distribution of unaligned contig lengths </w:t>
      </w:r>
      <w:r w:rsidR="00571657" w:rsidRPr="00A65F82">
        <w:rPr>
          <w:rFonts w:asciiTheme="minorHAnsi" w:hAnsiTheme="minorHAnsi" w:cstheme="minorHAnsi"/>
          <w:color w:val="000000" w:themeColor="text1"/>
          <w:sz w:val="22"/>
          <w:szCs w:val="22"/>
          <w:lang w:val="en-US"/>
        </w:rPr>
        <w:t xml:space="preserve">in </w:t>
      </w:r>
      <w:r w:rsidRPr="00A65F82">
        <w:rPr>
          <w:rFonts w:asciiTheme="minorHAnsi" w:hAnsiTheme="minorHAnsi" w:cstheme="minorHAnsi"/>
          <w:color w:val="000000" w:themeColor="text1"/>
          <w:sz w:val="22"/>
          <w:szCs w:val="22"/>
          <w:lang w:val="en-US"/>
        </w:rPr>
        <w:t>megabases (Mb). Panel (b) depicts the N90 statistic for contig sizes (Mb). Panel (c) shows the histogram of genome coverage for all 114 haplotypes. Panel (d) compares the assembly length (Gb) across maternal and paternal haplotypes for single</w:t>
      </w:r>
      <w:r w:rsidR="00571657" w:rsidRPr="00A65F82">
        <w:rPr>
          <w:rFonts w:asciiTheme="minorHAnsi" w:hAnsiTheme="minorHAnsi" w:cstheme="minorHAnsi"/>
          <w:color w:val="000000" w:themeColor="text1"/>
          <w:sz w:val="22"/>
          <w:szCs w:val="22"/>
          <w:lang w:val="en-US"/>
        </w:rPr>
        <w:t>-</w:t>
      </w:r>
      <w:r w:rsidRPr="00A65F82">
        <w:rPr>
          <w:rFonts w:asciiTheme="minorHAnsi" w:hAnsiTheme="minorHAnsi" w:cstheme="minorHAnsi"/>
          <w:color w:val="000000" w:themeColor="text1"/>
          <w:sz w:val="22"/>
          <w:szCs w:val="22"/>
          <w:lang w:val="en-US"/>
        </w:rPr>
        <w:t xml:space="preserve">sample and trio-assembly strategies. Panel (e) and Panel (f) display percentages of missing multi-copy regions with respect to GRCh38 and CHM13, respectively. Panel (g) contrasts Hamming error rates (mean percentage) between maternal and paternal genomes for trio samples, as evaluated by the </w:t>
      </w:r>
      <w:r w:rsidR="002B4349" w:rsidRPr="00A65F82">
        <w:rPr>
          <w:rFonts w:asciiTheme="minorHAnsi" w:hAnsiTheme="minorHAnsi" w:cstheme="minorHAnsi"/>
          <w:color w:val="000000" w:themeColor="text1"/>
          <w:sz w:val="22"/>
          <w:szCs w:val="22"/>
          <w:lang w:val="en-US"/>
        </w:rPr>
        <w:t>Emirati T2T pangenome</w:t>
      </w:r>
      <w:r w:rsidRPr="00A65F82">
        <w:rPr>
          <w:rFonts w:asciiTheme="minorHAnsi" w:hAnsiTheme="minorHAnsi" w:cstheme="minorHAnsi"/>
          <w:color w:val="000000" w:themeColor="text1"/>
          <w:sz w:val="22"/>
          <w:szCs w:val="22"/>
          <w:lang w:val="en-US"/>
        </w:rPr>
        <w:t xml:space="preserve"> and HPRC datasets. Panel (h) summarizes the gender composition of the analyzed dataset in percentage values, indicating the proportions of male and female samples. </w:t>
      </w:r>
    </w:p>
    <w:p w14:paraId="55A8E4DE" w14:textId="77777777" w:rsidR="004E0B78" w:rsidRDefault="004E0B78" w:rsidP="004E0B78">
      <w:pPr>
        <w:rPr>
          <w:lang w:val="en-US"/>
        </w:rPr>
      </w:pPr>
    </w:p>
    <w:p w14:paraId="639F1BEC" w14:textId="77777777" w:rsidR="004E0B78" w:rsidRDefault="004E0B78" w:rsidP="004E0B78">
      <w:pPr>
        <w:rPr>
          <w:lang w:val="en-US"/>
        </w:rPr>
      </w:pPr>
    </w:p>
    <w:p w14:paraId="7A246A9F" w14:textId="77777777" w:rsidR="004E0B78" w:rsidRDefault="004E0B78" w:rsidP="004E0B78">
      <w:pPr>
        <w:rPr>
          <w:lang w:val="en-US"/>
        </w:rPr>
      </w:pPr>
    </w:p>
    <w:p w14:paraId="4A092128" w14:textId="77777777" w:rsidR="004E0B78" w:rsidRDefault="004E0B78" w:rsidP="004E0B78">
      <w:pPr>
        <w:rPr>
          <w:lang w:val="en-US"/>
        </w:rPr>
      </w:pPr>
    </w:p>
    <w:p w14:paraId="385AE867" w14:textId="77777777" w:rsidR="004E0B78" w:rsidRDefault="004E0B78" w:rsidP="004E0B78">
      <w:pPr>
        <w:rPr>
          <w:lang w:val="en-US"/>
        </w:rPr>
      </w:pPr>
    </w:p>
    <w:p w14:paraId="1B7C86EB" w14:textId="77777777" w:rsidR="004E0B78" w:rsidRDefault="004E0B78" w:rsidP="004E0B78">
      <w:pPr>
        <w:rPr>
          <w:lang w:val="en-US"/>
        </w:rPr>
      </w:pPr>
    </w:p>
    <w:p w14:paraId="19154B33" w14:textId="77777777" w:rsidR="004E0B78" w:rsidRDefault="004E0B78" w:rsidP="004E0B78">
      <w:pPr>
        <w:rPr>
          <w:lang w:val="en-US"/>
        </w:rPr>
      </w:pPr>
    </w:p>
    <w:p w14:paraId="59664731" w14:textId="77777777" w:rsidR="004E0B78" w:rsidRPr="004E0B78" w:rsidRDefault="004E0B78" w:rsidP="004E0B78">
      <w:pPr>
        <w:rPr>
          <w:lang w:val="en-US"/>
        </w:rPr>
      </w:pPr>
    </w:p>
    <w:p w14:paraId="52C9E3E4" w14:textId="3DA52D0C" w:rsidR="00817496" w:rsidRPr="00A65F82" w:rsidRDefault="44B28C53"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3114F3C0" wp14:editId="3BC1CA06">
            <wp:extent cx="5724525" cy="2743200"/>
            <wp:effectExtent l="0" t="0" r="0" b="0"/>
            <wp:docPr id="16578885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885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5" cy="2743200"/>
                    </a:xfrm>
                    <a:prstGeom prst="rect">
                      <a:avLst/>
                    </a:prstGeom>
                  </pic:spPr>
                </pic:pic>
              </a:graphicData>
            </a:graphic>
          </wp:inline>
        </w:drawing>
      </w:r>
    </w:p>
    <w:p w14:paraId="17488FBC" w14:textId="6F239CE9" w:rsidR="429405FD" w:rsidRDefault="429405FD" w:rsidP="00F5601E">
      <w:pPr>
        <w:pStyle w:val="Caption"/>
        <w:jc w:val="both"/>
        <w:rPr>
          <w:rFonts w:asciiTheme="minorHAnsi" w:hAnsiTheme="minorHAnsi" w:cstheme="minorHAnsi"/>
          <w:color w:val="000000" w:themeColor="text1"/>
          <w:sz w:val="22"/>
          <w:szCs w:val="22"/>
          <w:lang w:val="en-US"/>
        </w:rPr>
      </w:pPr>
      <w:r w:rsidRPr="00A65F82">
        <w:rPr>
          <w:rFonts w:asciiTheme="minorHAnsi" w:hAnsiTheme="minorHAnsi" w:cstheme="minorHAnsi"/>
          <w:color w:val="000000" w:themeColor="text1"/>
          <w:sz w:val="22"/>
          <w:szCs w:val="22"/>
          <w:lang w:val="en-US"/>
        </w:rPr>
        <w:t xml:space="preserve">Supplementary Figure 6: Workflow for </w:t>
      </w:r>
      <w:r w:rsidR="002B4349" w:rsidRPr="00A65F82">
        <w:rPr>
          <w:rFonts w:asciiTheme="minorHAnsi" w:hAnsiTheme="minorHAnsi" w:cstheme="minorHAnsi"/>
          <w:color w:val="000000" w:themeColor="text1"/>
          <w:sz w:val="22"/>
          <w:szCs w:val="22"/>
          <w:lang w:val="en-US"/>
        </w:rPr>
        <w:t xml:space="preserve">the Emirati T2T pangenome graph </w:t>
      </w:r>
      <w:r w:rsidRPr="00A65F82">
        <w:rPr>
          <w:rFonts w:asciiTheme="minorHAnsi" w:hAnsiTheme="minorHAnsi" w:cstheme="minorHAnsi"/>
          <w:color w:val="000000" w:themeColor="text1"/>
          <w:sz w:val="22"/>
          <w:szCs w:val="22"/>
          <w:lang w:val="en-US"/>
        </w:rPr>
        <w:t xml:space="preserve">construction, integrating sequencing and assembly of </w:t>
      </w:r>
      <w:r w:rsidR="00EF37BB" w:rsidRPr="00A65F82">
        <w:rPr>
          <w:rFonts w:asciiTheme="minorHAnsi" w:hAnsiTheme="minorHAnsi" w:cstheme="minorHAnsi"/>
          <w:color w:val="000000" w:themeColor="text1"/>
          <w:sz w:val="22"/>
          <w:szCs w:val="22"/>
          <w:lang w:val="en-US"/>
        </w:rPr>
        <w:t xml:space="preserve">a </w:t>
      </w:r>
      <w:r w:rsidRPr="00A65F82">
        <w:rPr>
          <w:rFonts w:asciiTheme="minorHAnsi" w:hAnsiTheme="minorHAnsi" w:cstheme="minorHAnsi"/>
          <w:color w:val="000000" w:themeColor="text1"/>
          <w:sz w:val="22"/>
          <w:szCs w:val="22"/>
          <w:lang w:val="en-US"/>
        </w:rPr>
        <w:t xml:space="preserve">T2T family trio, 27 family trios, and single samples using PacBio HiFi, ONT ultra-long, and Illumina reads. Haplotype assemblies are generated with </w:t>
      </w:r>
      <w:r w:rsidR="00BF71E8" w:rsidRPr="00A65F82">
        <w:rPr>
          <w:rFonts w:asciiTheme="minorHAnsi" w:hAnsiTheme="minorHAnsi" w:cstheme="minorHAnsi"/>
          <w:color w:val="000000" w:themeColor="text1"/>
          <w:sz w:val="22"/>
          <w:szCs w:val="22"/>
          <w:lang w:val="en-US"/>
        </w:rPr>
        <w:t>t</w:t>
      </w:r>
      <w:r w:rsidRPr="00A65F82">
        <w:rPr>
          <w:rFonts w:asciiTheme="minorHAnsi" w:hAnsiTheme="minorHAnsi" w:cstheme="minorHAnsi"/>
          <w:color w:val="000000" w:themeColor="text1"/>
          <w:sz w:val="22"/>
          <w:szCs w:val="22"/>
          <w:lang w:val="en-US"/>
        </w:rPr>
        <w:t xml:space="preserve">rio </w:t>
      </w:r>
      <w:proofErr w:type="spellStart"/>
      <w:r w:rsidR="00EF37BB" w:rsidRPr="00A65F82">
        <w:rPr>
          <w:rFonts w:asciiTheme="minorHAnsi" w:hAnsiTheme="minorHAnsi" w:cstheme="minorHAnsi"/>
          <w:color w:val="000000" w:themeColor="text1"/>
          <w:sz w:val="22"/>
          <w:szCs w:val="22"/>
          <w:lang w:val="en-US"/>
        </w:rPr>
        <w:t>hifiasm</w:t>
      </w:r>
      <w:proofErr w:type="spellEnd"/>
      <w:r w:rsidR="00EF37BB" w:rsidRPr="00A65F82">
        <w:rPr>
          <w:rFonts w:asciiTheme="minorHAnsi" w:hAnsiTheme="minorHAnsi" w:cstheme="minorHAnsi"/>
          <w:color w:val="000000" w:themeColor="text1"/>
          <w:sz w:val="22"/>
          <w:szCs w:val="22"/>
          <w:lang w:val="en-US"/>
        </w:rPr>
        <w:t xml:space="preserve"> </w:t>
      </w:r>
      <w:r w:rsidRPr="00A65F82">
        <w:rPr>
          <w:rFonts w:asciiTheme="minorHAnsi" w:hAnsiTheme="minorHAnsi" w:cstheme="minorHAnsi"/>
          <w:color w:val="000000" w:themeColor="text1"/>
          <w:sz w:val="22"/>
          <w:szCs w:val="22"/>
          <w:lang w:val="en-US"/>
        </w:rPr>
        <w:t xml:space="preserve">and </w:t>
      </w:r>
      <w:r w:rsidR="00BF71E8" w:rsidRPr="00A65F82">
        <w:rPr>
          <w:rFonts w:asciiTheme="minorHAnsi" w:hAnsiTheme="minorHAnsi" w:cstheme="minorHAnsi"/>
          <w:color w:val="000000" w:themeColor="text1"/>
          <w:sz w:val="22"/>
          <w:szCs w:val="22"/>
          <w:lang w:val="en-US"/>
        </w:rPr>
        <w:t>t</w:t>
      </w:r>
      <w:r w:rsidRPr="00A65F82">
        <w:rPr>
          <w:rFonts w:asciiTheme="minorHAnsi" w:hAnsiTheme="minorHAnsi" w:cstheme="minorHAnsi"/>
          <w:color w:val="000000" w:themeColor="text1"/>
          <w:sz w:val="22"/>
          <w:szCs w:val="22"/>
          <w:lang w:val="en-US"/>
        </w:rPr>
        <w:t xml:space="preserve">rio </w:t>
      </w:r>
      <w:proofErr w:type="spellStart"/>
      <w:r w:rsidRPr="00A65F82">
        <w:rPr>
          <w:rFonts w:asciiTheme="minorHAnsi" w:hAnsiTheme="minorHAnsi" w:cstheme="minorHAnsi"/>
          <w:color w:val="000000" w:themeColor="text1"/>
          <w:sz w:val="22"/>
          <w:szCs w:val="22"/>
          <w:lang w:val="en-US"/>
        </w:rPr>
        <w:t>Verkko</w:t>
      </w:r>
      <w:proofErr w:type="spellEnd"/>
      <w:r w:rsidRPr="00A65F82">
        <w:rPr>
          <w:rFonts w:asciiTheme="minorHAnsi" w:hAnsiTheme="minorHAnsi" w:cstheme="minorHAnsi"/>
          <w:color w:val="000000" w:themeColor="text1"/>
          <w:sz w:val="22"/>
          <w:szCs w:val="22"/>
          <w:lang w:val="en-US"/>
        </w:rPr>
        <w:t xml:space="preserve">, while </w:t>
      </w:r>
      <w:proofErr w:type="spellStart"/>
      <w:r w:rsidR="00EF37BB" w:rsidRPr="00A65F82">
        <w:rPr>
          <w:rFonts w:asciiTheme="minorHAnsi" w:hAnsiTheme="minorHAnsi" w:cstheme="minorHAnsi"/>
          <w:color w:val="000000" w:themeColor="text1"/>
          <w:sz w:val="22"/>
          <w:szCs w:val="22"/>
          <w:lang w:val="en-US"/>
        </w:rPr>
        <w:t>hifiasm</w:t>
      </w:r>
      <w:proofErr w:type="spellEnd"/>
      <w:r w:rsidR="00EF37BB" w:rsidRPr="00A65F82">
        <w:rPr>
          <w:rFonts w:asciiTheme="minorHAnsi" w:hAnsiTheme="minorHAnsi" w:cstheme="minorHAnsi"/>
          <w:color w:val="000000" w:themeColor="text1"/>
          <w:sz w:val="22"/>
          <w:szCs w:val="22"/>
          <w:lang w:val="en-US"/>
        </w:rPr>
        <w:t xml:space="preserve"> </w:t>
      </w:r>
      <w:r w:rsidRPr="00A65F82">
        <w:rPr>
          <w:rFonts w:asciiTheme="minorHAnsi" w:hAnsiTheme="minorHAnsi" w:cstheme="minorHAnsi"/>
          <w:color w:val="000000" w:themeColor="text1"/>
          <w:sz w:val="22"/>
          <w:szCs w:val="22"/>
          <w:lang w:val="en-US"/>
        </w:rPr>
        <w:t xml:space="preserve">produces diploid assemblies for single samples. Maternal and paternal haplotypes are selected based on quality, followed by polishing, gap-closing, and error correction. The final </w:t>
      </w:r>
      <w:r w:rsidR="002B4349" w:rsidRPr="00A65F82">
        <w:rPr>
          <w:rFonts w:asciiTheme="minorHAnsi" w:hAnsiTheme="minorHAnsi" w:cstheme="minorHAnsi"/>
          <w:color w:val="000000" w:themeColor="text1"/>
          <w:sz w:val="22"/>
          <w:szCs w:val="22"/>
          <w:lang w:val="en-US"/>
        </w:rPr>
        <w:t xml:space="preserve">Emirati T2T pangenome </w:t>
      </w:r>
      <w:r w:rsidRPr="00A65F82">
        <w:rPr>
          <w:rFonts w:asciiTheme="minorHAnsi" w:hAnsiTheme="minorHAnsi" w:cstheme="minorHAnsi"/>
          <w:color w:val="000000" w:themeColor="text1"/>
          <w:sz w:val="22"/>
          <w:szCs w:val="22"/>
          <w:lang w:val="en-US"/>
        </w:rPr>
        <w:t xml:space="preserve">comprises 58 assemblies and 116 haplotypes, capturing the genetic diversity of the UAE population. </w:t>
      </w:r>
    </w:p>
    <w:p w14:paraId="690D9C79" w14:textId="77777777" w:rsidR="005A5571" w:rsidRDefault="005A5571" w:rsidP="005A5571">
      <w:pPr>
        <w:jc w:val="both"/>
        <w:rPr>
          <w:rFonts w:asciiTheme="minorHAnsi" w:hAnsiTheme="minorHAnsi" w:cstheme="minorHAnsi"/>
          <w:i/>
          <w:iCs/>
          <w:noProof/>
          <w:sz w:val="22"/>
          <w:szCs w:val="22"/>
          <w14:ligatures w14:val="standardContextual"/>
        </w:rPr>
      </w:pPr>
      <w:r>
        <w:rPr>
          <w:rFonts w:asciiTheme="minorHAnsi" w:hAnsiTheme="minorHAnsi" w:cstheme="minorHAnsi"/>
          <w:i/>
          <w:iCs/>
          <w:noProof/>
          <w:sz w:val="22"/>
          <w:szCs w:val="22"/>
          <w14:ligatures w14:val="standardContextual"/>
        </w:rPr>
        <w:drawing>
          <wp:inline distT="0" distB="0" distL="0" distR="0" wp14:anchorId="7F5B374C" wp14:editId="69655B23">
            <wp:extent cx="5731510" cy="3469005"/>
            <wp:effectExtent l="0" t="0" r="0" b="0"/>
            <wp:docPr id="1826841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4221" name="Picture 128574221"/>
                    <pic:cNvPicPr/>
                  </pic:nvPicPr>
                  <pic:blipFill>
                    <a:blip r:embed="rId13"/>
                    <a:stretch>
                      <a:fillRect/>
                    </a:stretch>
                  </pic:blipFill>
                  <pic:spPr>
                    <a:xfrm>
                      <a:off x="0" y="0"/>
                      <a:ext cx="5731510" cy="3469005"/>
                    </a:xfrm>
                    <a:prstGeom prst="rect">
                      <a:avLst/>
                    </a:prstGeom>
                  </pic:spPr>
                </pic:pic>
              </a:graphicData>
            </a:graphic>
          </wp:inline>
        </w:drawing>
      </w:r>
    </w:p>
    <w:p w14:paraId="4B467544" w14:textId="70664992" w:rsidR="005A5571" w:rsidRPr="005A5571" w:rsidRDefault="005A5571" w:rsidP="005A5571">
      <w:pPr>
        <w:jc w:val="both"/>
        <w:rPr>
          <w:rFonts w:asciiTheme="minorHAnsi" w:hAnsiTheme="minorHAnsi" w:cstheme="minorHAnsi"/>
          <w:i/>
          <w:iCs/>
          <w:sz w:val="22"/>
          <w:szCs w:val="22"/>
        </w:rPr>
      </w:pPr>
      <w:r>
        <w:rPr>
          <w:rFonts w:asciiTheme="minorHAnsi" w:hAnsiTheme="minorHAnsi" w:cstheme="minorHAnsi"/>
          <w:i/>
          <w:iCs/>
          <w:sz w:val="22"/>
          <w:szCs w:val="22"/>
        </w:rPr>
        <w:t xml:space="preserve">Supplementary Figure 7: The novel sequence in Mb which is added by each of the pangenome assemblies, i.e. singleton sequence not present in the assemblies added to the graph before, as well as the sequence that is added, which has been represented by only one other assembly before. The last assembly added is T2T-ERG_XX, which ads no new sequence that had not been represented at least by two assemblies before, but still introduces 1.46 Mb singleton sequence (cf. Supplementary Table 11). </w:t>
      </w:r>
    </w:p>
    <w:p w14:paraId="3D298973" w14:textId="77777777" w:rsidR="00197220" w:rsidRDefault="00197220" w:rsidP="00F5601E">
      <w:pPr>
        <w:jc w:val="both"/>
        <w:rPr>
          <w:rFonts w:asciiTheme="minorHAnsi" w:hAnsiTheme="minorHAnsi" w:cstheme="minorHAnsi"/>
          <w:color w:val="000000" w:themeColor="text1"/>
          <w:sz w:val="22"/>
          <w:szCs w:val="22"/>
        </w:rPr>
      </w:pPr>
    </w:p>
    <w:p w14:paraId="28A73F11" w14:textId="77777777" w:rsidR="00993517" w:rsidRDefault="00993517" w:rsidP="00993517">
      <w:pPr>
        <w:jc w:val="both"/>
        <w:rPr>
          <w:rFonts w:asciiTheme="minorHAnsi" w:hAnsiTheme="minorHAnsi" w:cstheme="minorHAnsi"/>
          <w:i/>
          <w:iCs/>
          <w:sz w:val="22"/>
          <w:szCs w:val="22"/>
        </w:rPr>
      </w:pPr>
      <w:r>
        <w:rPr>
          <w:rFonts w:asciiTheme="minorHAnsi" w:hAnsiTheme="minorHAnsi" w:cstheme="minorHAnsi"/>
          <w:i/>
          <w:iCs/>
          <w:noProof/>
          <w:sz w:val="22"/>
          <w:szCs w:val="22"/>
          <w14:ligatures w14:val="standardContextual"/>
        </w:rPr>
        <w:lastRenderedPageBreak/>
        <w:drawing>
          <wp:inline distT="0" distB="0" distL="0" distR="0" wp14:anchorId="1D861CAC" wp14:editId="3D06B59F">
            <wp:extent cx="5731510" cy="4548505"/>
            <wp:effectExtent l="0" t="0" r="0" b="0"/>
            <wp:docPr id="2057207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7050" name="Picture 2057207050"/>
                    <pic:cNvPicPr/>
                  </pic:nvPicPr>
                  <pic:blipFill>
                    <a:blip r:embed="rId14">
                      <a:extLst>
                        <a:ext uri="{28A0092B-C50C-407E-A947-70E740481C1C}">
                          <a14:useLocalDpi xmlns:a14="http://schemas.microsoft.com/office/drawing/2010/main" val="0"/>
                        </a:ext>
                      </a:extLst>
                    </a:blip>
                    <a:stretch>
                      <a:fillRect/>
                    </a:stretch>
                  </pic:blipFill>
                  <pic:spPr>
                    <a:xfrm>
                      <a:off x="0" y="0"/>
                      <a:ext cx="5731510" cy="4548505"/>
                    </a:xfrm>
                    <a:prstGeom prst="rect">
                      <a:avLst/>
                    </a:prstGeom>
                  </pic:spPr>
                </pic:pic>
              </a:graphicData>
            </a:graphic>
          </wp:inline>
        </w:drawing>
      </w:r>
    </w:p>
    <w:p w14:paraId="332B41BF" w14:textId="5099EC2C" w:rsidR="00993517" w:rsidRDefault="00993517" w:rsidP="00993517">
      <w:pPr>
        <w:jc w:val="both"/>
        <w:rPr>
          <w:rFonts w:asciiTheme="minorHAnsi" w:hAnsiTheme="minorHAnsi" w:cstheme="minorHAnsi"/>
          <w:i/>
          <w:iCs/>
          <w:sz w:val="22"/>
          <w:szCs w:val="22"/>
        </w:rPr>
      </w:pPr>
      <w:r>
        <w:rPr>
          <w:rFonts w:asciiTheme="minorHAnsi" w:hAnsiTheme="minorHAnsi" w:cstheme="minorHAnsi"/>
          <w:i/>
          <w:iCs/>
          <w:sz w:val="22"/>
          <w:szCs w:val="22"/>
        </w:rPr>
        <w:t xml:space="preserve">Supplementary Figure </w:t>
      </w:r>
      <w:r>
        <w:rPr>
          <w:rFonts w:asciiTheme="minorHAnsi" w:hAnsiTheme="minorHAnsi" w:cstheme="minorHAnsi"/>
          <w:i/>
          <w:iCs/>
          <w:sz w:val="22"/>
          <w:szCs w:val="22"/>
        </w:rPr>
        <w:t>8</w:t>
      </w:r>
      <w:r>
        <w:rPr>
          <w:rFonts w:asciiTheme="minorHAnsi" w:hAnsiTheme="minorHAnsi" w:cstheme="minorHAnsi"/>
          <w:i/>
          <w:iCs/>
          <w:sz w:val="22"/>
          <w:szCs w:val="22"/>
        </w:rPr>
        <w:t xml:space="preserve">: The number of variants of the Emirati pangenome assemblies deduced from the Emirati T2T pangenome graphs with backbone CHM13 and GRCh38, respectively. In both graphs, the variants were counted with respect to both CHM13 and GRCh38 and the cohort variant counts across the cohort compared. </w:t>
      </w:r>
      <w:r w:rsidRPr="00F14B52">
        <w:rPr>
          <w:rFonts w:asciiTheme="minorHAnsi" w:hAnsiTheme="minorHAnsi" w:cstheme="minorHAnsi"/>
          <w:i/>
          <w:iCs/>
          <w:sz w:val="22"/>
          <w:szCs w:val="22"/>
        </w:rPr>
        <w:t xml:space="preserve">The bar plot </w:t>
      </w:r>
      <w:r>
        <w:rPr>
          <w:rFonts w:asciiTheme="minorHAnsi" w:hAnsiTheme="minorHAnsi" w:cstheme="minorHAnsi"/>
          <w:i/>
          <w:iCs/>
          <w:sz w:val="22"/>
          <w:szCs w:val="22"/>
        </w:rPr>
        <w:t xml:space="preserve">stratifies </w:t>
      </w:r>
      <w:r w:rsidRPr="00F14B52">
        <w:rPr>
          <w:rFonts w:asciiTheme="minorHAnsi" w:hAnsiTheme="minorHAnsi" w:cstheme="minorHAnsi"/>
          <w:i/>
          <w:iCs/>
          <w:sz w:val="22"/>
          <w:szCs w:val="22"/>
        </w:rPr>
        <w:t xml:space="preserve">SNPs, MNPs, indels, complex variants, multiallelic sites, and multiallelic SNP sites. Comparisons across graphs constructed with different backbone references demonstrate the influence of reference choice. Graphs using the CHM13 backbone consistently show the highest number of total variants across all categories, reflecting the </w:t>
      </w:r>
      <w:r>
        <w:rPr>
          <w:rFonts w:asciiTheme="minorHAnsi" w:hAnsiTheme="minorHAnsi" w:cstheme="minorHAnsi"/>
          <w:i/>
          <w:iCs/>
          <w:sz w:val="22"/>
          <w:szCs w:val="22"/>
        </w:rPr>
        <w:t>improved</w:t>
      </w:r>
      <w:r w:rsidRPr="00F14B52">
        <w:rPr>
          <w:rFonts w:asciiTheme="minorHAnsi" w:hAnsiTheme="minorHAnsi" w:cstheme="minorHAnsi"/>
          <w:i/>
          <w:iCs/>
          <w:sz w:val="22"/>
          <w:szCs w:val="22"/>
        </w:rPr>
        <w:t xml:space="preserve"> resolution of this reference structure.</w:t>
      </w:r>
    </w:p>
    <w:p w14:paraId="421165E5" w14:textId="77777777" w:rsidR="001D5693" w:rsidRDefault="001D5693" w:rsidP="00993517">
      <w:pPr>
        <w:jc w:val="both"/>
        <w:rPr>
          <w:rFonts w:asciiTheme="minorHAnsi" w:hAnsiTheme="minorHAnsi" w:cstheme="minorHAnsi"/>
          <w:i/>
          <w:iCs/>
          <w:sz w:val="22"/>
          <w:szCs w:val="22"/>
        </w:rPr>
      </w:pPr>
    </w:p>
    <w:p w14:paraId="0D6A34FB" w14:textId="77777777" w:rsidR="001D5693" w:rsidRPr="00297E97" w:rsidRDefault="001D5693" w:rsidP="00993517">
      <w:pPr>
        <w:jc w:val="both"/>
        <w:rPr>
          <w:rFonts w:asciiTheme="minorHAnsi" w:hAnsiTheme="minorHAnsi" w:cstheme="minorHAnsi"/>
          <w:i/>
          <w:iCs/>
          <w:sz w:val="22"/>
          <w:szCs w:val="22"/>
        </w:rPr>
      </w:pPr>
    </w:p>
    <w:p w14:paraId="3A173DB6" w14:textId="77777777" w:rsidR="00993517" w:rsidRDefault="00993517" w:rsidP="00F5601E">
      <w:pPr>
        <w:jc w:val="both"/>
        <w:rPr>
          <w:rFonts w:asciiTheme="minorHAnsi" w:hAnsiTheme="minorHAnsi" w:cstheme="minorHAnsi"/>
          <w:color w:val="000000" w:themeColor="text1"/>
          <w:sz w:val="22"/>
          <w:szCs w:val="22"/>
        </w:rPr>
      </w:pPr>
    </w:p>
    <w:p w14:paraId="4B74DB91" w14:textId="77777777" w:rsidR="001D5693" w:rsidRPr="00A65F82" w:rsidRDefault="001D5693" w:rsidP="001D5693">
      <w:pPr>
        <w:keepNext/>
        <w:jc w:val="both"/>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14:ligatures w14:val="standardContextual"/>
        </w:rPr>
        <w:lastRenderedPageBreak/>
        <w:drawing>
          <wp:inline distT="0" distB="0" distL="0" distR="0" wp14:anchorId="05504B83" wp14:editId="746D9A22">
            <wp:extent cx="5731510" cy="4298950"/>
            <wp:effectExtent l="0" t="0" r="0" b="6350"/>
            <wp:docPr id="1830170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0934" name="Picture 1830170934"/>
                    <pic:cNvPicPr/>
                  </pic:nvPicPr>
                  <pic:blipFill>
                    <a:blip r:embed="rId15"/>
                    <a:stretch>
                      <a:fillRect/>
                    </a:stretch>
                  </pic:blipFill>
                  <pic:spPr>
                    <a:xfrm>
                      <a:off x="0" y="0"/>
                      <a:ext cx="5731510" cy="4298950"/>
                    </a:xfrm>
                    <a:prstGeom prst="rect">
                      <a:avLst/>
                    </a:prstGeom>
                  </pic:spPr>
                </pic:pic>
              </a:graphicData>
            </a:graphic>
          </wp:inline>
        </w:drawing>
      </w:r>
    </w:p>
    <w:p w14:paraId="5D183905" w14:textId="2BBEF760" w:rsidR="001D5693" w:rsidRPr="009316BF" w:rsidRDefault="001D5693" w:rsidP="001D5693">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rPr>
        <w:t xml:space="preserve">Supplementary Figure 9: </w:t>
      </w:r>
      <w:r>
        <w:rPr>
          <w:rFonts w:asciiTheme="minorHAnsi" w:hAnsiTheme="minorHAnsi" w:cstheme="minorHAnsi"/>
          <w:color w:val="000000" w:themeColor="text1"/>
          <w:sz w:val="22"/>
          <w:szCs w:val="22"/>
        </w:rPr>
        <w:t>N regions</w:t>
      </w:r>
      <w:r w:rsidRPr="00A65F82">
        <w:rPr>
          <w:rFonts w:asciiTheme="minorHAnsi" w:hAnsiTheme="minorHAnsi" w:cstheme="minorHAnsi"/>
          <w:color w:val="000000" w:themeColor="text1"/>
          <w:sz w:val="22"/>
          <w:szCs w:val="22"/>
        </w:rPr>
        <w:t xml:space="preserve"> across haplotypes, their size distribution, and their </w:t>
      </w:r>
      <w:r>
        <w:rPr>
          <w:rFonts w:asciiTheme="minorHAnsi" w:hAnsiTheme="minorHAnsi" w:cstheme="minorHAnsi"/>
          <w:color w:val="000000" w:themeColor="text1"/>
          <w:sz w:val="22"/>
          <w:szCs w:val="22"/>
        </w:rPr>
        <w:t>link to</w:t>
      </w:r>
      <w:r w:rsidRPr="00A65F82">
        <w:rPr>
          <w:rFonts w:asciiTheme="minorHAnsi" w:hAnsiTheme="minorHAnsi" w:cstheme="minorHAnsi"/>
          <w:color w:val="000000" w:themeColor="text1"/>
          <w:sz w:val="22"/>
          <w:szCs w:val="22"/>
        </w:rPr>
        <w:t xml:space="preserve"> reference coverage. Panel a</w:t>
      </w:r>
      <w:r>
        <w:rPr>
          <w:rFonts w:asciiTheme="minorHAnsi" w:hAnsiTheme="minorHAnsi" w:cstheme="minorHAnsi"/>
          <w:color w:val="000000" w:themeColor="text1"/>
          <w:sz w:val="22"/>
          <w:szCs w:val="22"/>
        </w:rPr>
        <w:t>)</w:t>
      </w:r>
      <w:r w:rsidRPr="00A65F82">
        <w:rPr>
          <w:rFonts w:asciiTheme="minorHAnsi" w:hAnsiTheme="minorHAnsi" w:cstheme="minorHAnsi"/>
          <w:color w:val="000000" w:themeColor="text1"/>
          <w:sz w:val="22"/>
          <w:szCs w:val="22"/>
        </w:rPr>
        <w:t xml:space="preserve"> displays the distribution of gap lengths on a log10 scale across primary contigs, with an axis break to reveal the long tail of rare large gaps. Panel </w:t>
      </w:r>
      <w:r>
        <w:rPr>
          <w:rFonts w:asciiTheme="minorHAnsi" w:hAnsiTheme="minorHAnsi" w:cstheme="minorHAnsi"/>
          <w:color w:val="000000" w:themeColor="text1"/>
          <w:sz w:val="22"/>
          <w:szCs w:val="22"/>
        </w:rPr>
        <w:t>b)</w:t>
      </w:r>
      <w:r w:rsidRPr="00A65F82">
        <w:rPr>
          <w:rFonts w:asciiTheme="minorHAnsi" w:hAnsiTheme="minorHAnsi" w:cstheme="minorHAnsi"/>
          <w:color w:val="000000" w:themeColor="text1"/>
          <w:sz w:val="22"/>
          <w:szCs w:val="22"/>
        </w:rPr>
        <w:t xml:space="preserve"> relates total N content per haplotype chromosome to percent coverage of the CHM13 reference path, with a linear fit and points </w:t>
      </w:r>
      <w:proofErr w:type="spellStart"/>
      <w:r w:rsidRPr="00A65F82">
        <w:rPr>
          <w:rFonts w:asciiTheme="minorHAnsi" w:hAnsiTheme="minorHAnsi" w:cstheme="minorHAnsi"/>
          <w:color w:val="000000" w:themeColor="text1"/>
          <w:sz w:val="22"/>
          <w:szCs w:val="22"/>
        </w:rPr>
        <w:t>colored</w:t>
      </w:r>
      <w:proofErr w:type="spellEnd"/>
      <w:r w:rsidRPr="00A65F82">
        <w:rPr>
          <w:rFonts w:asciiTheme="minorHAnsi" w:hAnsiTheme="minorHAnsi" w:cstheme="minorHAnsi"/>
          <w:color w:val="000000" w:themeColor="text1"/>
          <w:sz w:val="22"/>
          <w:szCs w:val="22"/>
        </w:rPr>
        <w:t xml:space="preserve"> by haplotype. Across 57 individuals and 114 haplotypes, 2,679 primary contigs were evaluated, of which 2,584 contained at least one gap and 95 were gap-free, representing </w:t>
      </w:r>
      <w:r w:rsidRPr="009316BF">
        <w:rPr>
          <w:rFonts w:asciiTheme="minorHAnsi" w:hAnsiTheme="minorHAnsi" w:cstheme="minorHAnsi"/>
          <w:color w:val="000000" w:themeColor="text1"/>
          <w:sz w:val="22"/>
          <w:szCs w:val="22"/>
        </w:rPr>
        <w:t>approximately 3.37 × 10^11 bp mapped to CHM13 in total, and an aggregate gap content of about 0.00115 percent.</w:t>
      </w:r>
    </w:p>
    <w:p w14:paraId="5D793F98" w14:textId="77777777" w:rsidR="002C7043" w:rsidRPr="009316BF" w:rsidRDefault="002C7043" w:rsidP="002C7043">
      <w:pPr>
        <w:rPr>
          <w:rFonts w:asciiTheme="minorHAnsi" w:hAnsiTheme="minorHAnsi" w:cstheme="minorHAnsi"/>
          <w:sz w:val="22"/>
          <w:szCs w:val="22"/>
        </w:rPr>
      </w:pPr>
      <w:r w:rsidRPr="00297E97">
        <w:rPr>
          <w:rFonts w:asciiTheme="minorHAnsi" w:hAnsiTheme="minorHAnsi" w:cstheme="minorHAnsi"/>
          <w:sz w:val="22"/>
          <w:szCs w:val="22"/>
        </w:rPr>
        <w:lastRenderedPageBreak/>
        <w:drawing>
          <wp:inline distT="0" distB="0" distL="0" distR="0" wp14:anchorId="2D7E9860" wp14:editId="6CA86DD1">
            <wp:extent cx="5435600" cy="4013200"/>
            <wp:effectExtent l="0" t="0" r="0" b="0"/>
            <wp:docPr id="1447574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74746" name=""/>
                    <pic:cNvPicPr/>
                  </pic:nvPicPr>
                  <pic:blipFill>
                    <a:blip r:embed="rId16"/>
                    <a:stretch>
                      <a:fillRect/>
                    </a:stretch>
                  </pic:blipFill>
                  <pic:spPr>
                    <a:xfrm>
                      <a:off x="0" y="0"/>
                      <a:ext cx="5435600" cy="4013200"/>
                    </a:xfrm>
                    <a:prstGeom prst="rect">
                      <a:avLst/>
                    </a:prstGeom>
                  </pic:spPr>
                </pic:pic>
              </a:graphicData>
            </a:graphic>
          </wp:inline>
        </w:drawing>
      </w:r>
    </w:p>
    <w:p w14:paraId="0F899DFC" w14:textId="71A85B07" w:rsidR="002C7043" w:rsidRDefault="002C7043" w:rsidP="002C7043">
      <w:pPr>
        <w:jc w:val="both"/>
        <w:rPr>
          <w:rFonts w:asciiTheme="minorHAnsi" w:hAnsiTheme="minorHAnsi" w:cstheme="minorHAnsi"/>
          <w:i/>
          <w:iCs/>
          <w:sz w:val="22"/>
          <w:szCs w:val="22"/>
        </w:rPr>
      </w:pPr>
      <w:r w:rsidRPr="00297E97">
        <w:rPr>
          <w:rFonts w:asciiTheme="minorHAnsi" w:hAnsiTheme="minorHAnsi" w:cstheme="minorHAnsi"/>
          <w:i/>
          <w:iCs/>
          <w:sz w:val="22"/>
          <w:szCs w:val="22"/>
        </w:rPr>
        <w:t xml:space="preserve">Supplementary Figure </w:t>
      </w:r>
      <w:r>
        <w:rPr>
          <w:rFonts w:asciiTheme="minorHAnsi" w:hAnsiTheme="minorHAnsi" w:cstheme="minorHAnsi"/>
          <w:i/>
          <w:iCs/>
          <w:sz w:val="22"/>
          <w:szCs w:val="22"/>
        </w:rPr>
        <w:t>10</w:t>
      </w:r>
      <w:r w:rsidRPr="00297E97">
        <w:rPr>
          <w:rFonts w:asciiTheme="minorHAnsi" w:hAnsiTheme="minorHAnsi" w:cstheme="minorHAnsi"/>
          <w:i/>
          <w:iCs/>
          <w:sz w:val="22"/>
          <w:szCs w:val="22"/>
        </w:rPr>
        <w:t>: Number of SNVs per pangenome genome within the Emirati T2T pangenome graph, coloured by the genome’s main global ancestry component.</w:t>
      </w:r>
    </w:p>
    <w:p w14:paraId="20C42B5C" w14:textId="77777777" w:rsidR="004E0B78" w:rsidRDefault="004E0B78" w:rsidP="002C7043">
      <w:pPr>
        <w:jc w:val="both"/>
        <w:rPr>
          <w:rFonts w:asciiTheme="minorHAnsi" w:hAnsiTheme="minorHAnsi" w:cstheme="minorHAnsi"/>
          <w:i/>
          <w:iCs/>
          <w:sz w:val="22"/>
          <w:szCs w:val="22"/>
        </w:rPr>
      </w:pPr>
    </w:p>
    <w:p w14:paraId="5461EAAD" w14:textId="77777777" w:rsidR="001D5693" w:rsidRDefault="001D5693" w:rsidP="00F5601E">
      <w:pPr>
        <w:jc w:val="both"/>
        <w:rPr>
          <w:rFonts w:asciiTheme="minorHAnsi" w:hAnsiTheme="minorHAnsi" w:cstheme="minorHAnsi"/>
          <w:color w:val="000000" w:themeColor="text1"/>
          <w:sz w:val="22"/>
          <w:szCs w:val="22"/>
        </w:rPr>
      </w:pPr>
    </w:p>
    <w:p w14:paraId="0A7E3D9F" w14:textId="77777777" w:rsidR="002C7043" w:rsidRPr="00A65F82" w:rsidRDefault="002C7043" w:rsidP="00F5601E">
      <w:pPr>
        <w:jc w:val="both"/>
        <w:rPr>
          <w:rFonts w:asciiTheme="minorHAnsi" w:hAnsiTheme="minorHAnsi" w:cstheme="minorHAnsi"/>
          <w:color w:val="000000" w:themeColor="text1"/>
          <w:sz w:val="22"/>
          <w:szCs w:val="22"/>
        </w:rPr>
      </w:pPr>
    </w:p>
    <w:p w14:paraId="7431CE2E" w14:textId="77777777" w:rsidR="00197220" w:rsidRPr="00A65F82" w:rsidRDefault="00197220"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6219A3F0" wp14:editId="488275EB">
            <wp:extent cx="5731510" cy="3724087"/>
            <wp:effectExtent l="0" t="0" r="0" b="0"/>
            <wp:docPr id="1204329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29258"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724087"/>
                    </a:xfrm>
                    <a:prstGeom prst="rect">
                      <a:avLst/>
                    </a:prstGeom>
                  </pic:spPr>
                </pic:pic>
              </a:graphicData>
            </a:graphic>
          </wp:inline>
        </w:drawing>
      </w:r>
    </w:p>
    <w:p w14:paraId="4FB2F672" w14:textId="30C2D227" w:rsidR="00197220" w:rsidRPr="00A65F82" w:rsidRDefault="00197220" w:rsidP="00F5601E">
      <w:pPr>
        <w:pStyle w:val="Caption"/>
        <w:jc w:val="both"/>
        <w:rPr>
          <w:rFonts w:asciiTheme="minorHAnsi" w:hAnsiTheme="minorHAnsi" w:cstheme="minorHAnsi"/>
          <w:noProof/>
          <w:color w:val="000000" w:themeColor="text1"/>
          <w:sz w:val="22"/>
          <w:szCs w:val="22"/>
        </w:rPr>
      </w:pPr>
      <w:r w:rsidRPr="00A65F82">
        <w:rPr>
          <w:rFonts w:asciiTheme="minorHAnsi" w:hAnsiTheme="minorHAnsi" w:cstheme="minorHAnsi"/>
          <w:color w:val="000000" w:themeColor="text1"/>
          <w:sz w:val="22"/>
          <w:szCs w:val="22"/>
        </w:rPr>
        <w:t>Supplementary Figure</w:t>
      </w:r>
      <w:r w:rsidR="24B48125" w:rsidRPr="00A65F82">
        <w:rPr>
          <w:rFonts w:asciiTheme="minorHAnsi" w:hAnsiTheme="minorHAnsi" w:cstheme="minorHAnsi"/>
          <w:color w:val="000000" w:themeColor="text1"/>
          <w:sz w:val="22"/>
          <w:szCs w:val="22"/>
        </w:rPr>
        <w:t xml:space="preserve"> </w:t>
      </w:r>
      <w:r w:rsidR="00D0447B">
        <w:rPr>
          <w:rFonts w:asciiTheme="minorHAnsi" w:hAnsiTheme="minorHAnsi" w:cstheme="minorHAnsi"/>
          <w:color w:val="000000" w:themeColor="text1"/>
          <w:sz w:val="22"/>
          <w:szCs w:val="22"/>
        </w:rPr>
        <w:t>11</w:t>
      </w:r>
      <w:r w:rsidR="00C53FCC" w:rsidRPr="00A65F82">
        <w:rPr>
          <w:rFonts w:asciiTheme="minorHAnsi" w:hAnsiTheme="minorHAnsi" w:cstheme="minorHAnsi"/>
          <w:noProof/>
          <w:color w:val="000000" w:themeColor="text1"/>
          <w:sz w:val="22"/>
          <w:szCs w:val="22"/>
        </w:rPr>
        <w:t xml:space="preserve">: Basic and ancestry-based characteristics for a cohort of </w:t>
      </w:r>
      <w:r w:rsidR="0048190D" w:rsidRPr="00A65F82">
        <w:rPr>
          <w:rFonts w:asciiTheme="minorHAnsi" w:hAnsiTheme="minorHAnsi" w:cstheme="minorHAnsi"/>
          <w:noProof/>
          <w:color w:val="000000" w:themeColor="text1"/>
          <w:sz w:val="22"/>
          <w:szCs w:val="22"/>
        </w:rPr>
        <w:t>119</w:t>
      </w:r>
      <w:r w:rsidR="00C53FCC" w:rsidRPr="00A65F82">
        <w:rPr>
          <w:rFonts w:asciiTheme="minorHAnsi" w:hAnsiTheme="minorHAnsi" w:cstheme="minorHAnsi"/>
          <w:noProof/>
          <w:color w:val="000000" w:themeColor="text1"/>
          <w:sz w:val="22"/>
          <w:szCs w:val="22"/>
        </w:rPr>
        <w:t xml:space="preserve"> Emirati individuals with Illumina whole genome sequencing data used for graph evaluation. (a) The genomes are projected onto the genotype principal components computed by the 1000 Genomes phase 3 samples. Each sample is colored according to its 1000 Genomes-based global ancestry component</w:t>
      </w:r>
      <w:r w:rsidR="00364727" w:rsidRPr="00A65F82">
        <w:rPr>
          <w:rFonts w:asciiTheme="minorHAnsi" w:hAnsiTheme="minorHAnsi" w:cstheme="minorHAnsi"/>
          <w:noProof/>
          <w:color w:val="000000" w:themeColor="text1"/>
          <w:sz w:val="22"/>
          <w:szCs w:val="22"/>
        </w:rPr>
        <w:t>,</w:t>
      </w:r>
      <w:r w:rsidR="00C53FCC" w:rsidRPr="00A65F82">
        <w:rPr>
          <w:rFonts w:asciiTheme="minorHAnsi" w:hAnsiTheme="minorHAnsi" w:cstheme="minorHAnsi"/>
          <w:noProof/>
          <w:color w:val="000000" w:themeColor="text1"/>
          <w:sz w:val="22"/>
          <w:szCs w:val="22"/>
        </w:rPr>
        <w:t xml:space="preserve"> with </w:t>
      </w:r>
      <w:r w:rsidR="00364727" w:rsidRPr="00A65F82">
        <w:rPr>
          <w:rFonts w:asciiTheme="minorHAnsi" w:hAnsiTheme="minorHAnsi" w:cstheme="minorHAnsi"/>
          <w:noProof/>
          <w:color w:val="000000" w:themeColor="text1"/>
          <w:sz w:val="22"/>
          <w:szCs w:val="22"/>
        </w:rPr>
        <w:t xml:space="preserve">the </w:t>
      </w:r>
      <w:r w:rsidR="00C53FCC" w:rsidRPr="00A65F82">
        <w:rPr>
          <w:rFonts w:asciiTheme="minorHAnsi" w:hAnsiTheme="minorHAnsi" w:cstheme="minorHAnsi"/>
          <w:noProof/>
          <w:color w:val="000000" w:themeColor="text1"/>
          <w:sz w:val="22"/>
          <w:szCs w:val="22"/>
        </w:rPr>
        <w:t>maximum value</w:t>
      </w:r>
      <w:r w:rsidR="00364727" w:rsidRPr="00A65F82">
        <w:rPr>
          <w:rFonts w:asciiTheme="minorHAnsi" w:hAnsiTheme="minorHAnsi" w:cstheme="minorHAnsi"/>
          <w:noProof/>
          <w:color w:val="000000" w:themeColor="text1"/>
          <w:sz w:val="22"/>
          <w:szCs w:val="22"/>
        </w:rPr>
        <w:t xml:space="preserve"> indicated</w:t>
      </w:r>
      <w:r w:rsidR="00C53FCC" w:rsidRPr="00A65F82">
        <w:rPr>
          <w:rFonts w:asciiTheme="minorHAnsi" w:hAnsiTheme="minorHAnsi" w:cstheme="minorHAnsi"/>
          <w:noProof/>
          <w:color w:val="000000" w:themeColor="text1"/>
          <w:sz w:val="22"/>
          <w:szCs w:val="22"/>
        </w:rPr>
        <w:t xml:space="preserve">. (b) Shows the cohort stratified by sex. (c) The distribution of the main ancestry components </w:t>
      </w:r>
      <w:r w:rsidR="00364727" w:rsidRPr="00A65F82">
        <w:rPr>
          <w:rFonts w:asciiTheme="minorHAnsi" w:hAnsiTheme="minorHAnsi" w:cstheme="minorHAnsi"/>
          <w:noProof/>
          <w:color w:val="000000" w:themeColor="text1"/>
          <w:sz w:val="22"/>
          <w:szCs w:val="22"/>
        </w:rPr>
        <w:t xml:space="preserve">of the genomes </w:t>
      </w:r>
      <w:r w:rsidR="00C53FCC" w:rsidRPr="00A65F82">
        <w:rPr>
          <w:rFonts w:asciiTheme="minorHAnsi" w:hAnsiTheme="minorHAnsi" w:cstheme="minorHAnsi"/>
          <w:noProof/>
          <w:color w:val="000000" w:themeColor="text1"/>
          <w:sz w:val="22"/>
          <w:szCs w:val="22"/>
        </w:rPr>
        <w:t>across the cohort. (d) The contributing ancestry components for each sample</w:t>
      </w:r>
      <w:r w:rsidR="00364727" w:rsidRPr="00A65F82">
        <w:rPr>
          <w:rFonts w:asciiTheme="minorHAnsi" w:hAnsiTheme="minorHAnsi" w:cstheme="minorHAnsi"/>
          <w:noProof/>
          <w:color w:val="000000" w:themeColor="text1"/>
          <w:sz w:val="22"/>
          <w:szCs w:val="22"/>
        </w:rPr>
        <w:t>,</w:t>
      </w:r>
      <w:r w:rsidR="00C53FCC" w:rsidRPr="00A65F82">
        <w:rPr>
          <w:rFonts w:asciiTheme="minorHAnsi" w:hAnsiTheme="minorHAnsi" w:cstheme="minorHAnsi"/>
          <w:noProof/>
          <w:color w:val="000000" w:themeColor="text1"/>
          <w:sz w:val="22"/>
          <w:szCs w:val="22"/>
        </w:rPr>
        <w:t xml:space="preserve"> a</w:t>
      </w:r>
      <w:r w:rsidR="00364727" w:rsidRPr="00A65F82">
        <w:rPr>
          <w:rFonts w:asciiTheme="minorHAnsi" w:hAnsiTheme="minorHAnsi" w:cstheme="minorHAnsi"/>
          <w:noProof/>
          <w:color w:val="000000" w:themeColor="text1"/>
          <w:sz w:val="22"/>
          <w:szCs w:val="22"/>
        </w:rPr>
        <w:t>s determined by</w:t>
      </w:r>
      <w:r w:rsidR="00C53FCC" w:rsidRPr="00A65F82">
        <w:rPr>
          <w:rFonts w:asciiTheme="minorHAnsi" w:hAnsiTheme="minorHAnsi" w:cstheme="minorHAnsi"/>
          <w:noProof/>
          <w:color w:val="000000" w:themeColor="text1"/>
          <w:sz w:val="22"/>
          <w:szCs w:val="22"/>
        </w:rPr>
        <w:t xml:space="preserve"> supervised admixture analysis based on </w:t>
      </w:r>
      <w:r w:rsidR="00364727" w:rsidRPr="00A65F82">
        <w:rPr>
          <w:rFonts w:asciiTheme="minorHAnsi" w:hAnsiTheme="minorHAnsi" w:cstheme="minorHAnsi"/>
          <w:noProof/>
          <w:color w:val="000000" w:themeColor="text1"/>
          <w:sz w:val="22"/>
          <w:szCs w:val="22"/>
        </w:rPr>
        <w:t xml:space="preserve">the </w:t>
      </w:r>
      <w:r w:rsidR="00C53FCC" w:rsidRPr="00A65F82">
        <w:rPr>
          <w:rFonts w:asciiTheme="minorHAnsi" w:hAnsiTheme="minorHAnsi" w:cstheme="minorHAnsi"/>
          <w:noProof/>
          <w:color w:val="000000" w:themeColor="text1"/>
          <w:sz w:val="22"/>
          <w:szCs w:val="22"/>
        </w:rPr>
        <w:t>1000 Genomes global populations, i.e., European, South Asian, African, American, and East Asian.</w:t>
      </w:r>
    </w:p>
    <w:p w14:paraId="29557DF9" w14:textId="77777777" w:rsidR="00F31440" w:rsidRPr="00A65F82" w:rsidRDefault="00F31440" w:rsidP="00F5601E">
      <w:pPr>
        <w:jc w:val="both"/>
        <w:rPr>
          <w:rFonts w:asciiTheme="minorHAnsi" w:hAnsiTheme="minorHAnsi" w:cstheme="minorHAnsi"/>
          <w:color w:val="000000" w:themeColor="text1"/>
          <w:sz w:val="22"/>
          <w:szCs w:val="22"/>
        </w:rPr>
      </w:pPr>
    </w:p>
    <w:p w14:paraId="489341B8" w14:textId="77777777" w:rsidR="008B1C57" w:rsidRPr="00A65F82" w:rsidRDefault="009869C2"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drawing>
          <wp:inline distT="0" distB="0" distL="0" distR="0" wp14:anchorId="7F0946BC" wp14:editId="0CCF8696">
            <wp:extent cx="5731510" cy="1054735"/>
            <wp:effectExtent l="0" t="0" r="0" b="0"/>
            <wp:docPr id="1569100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00854" name="Picture 15691008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054735"/>
                    </a:xfrm>
                    <a:prstGeom prst="rect">
                      <a:avLst/>
                    </a:prstGeom>
                  </pic:spPr>
                </pic:pic>
              </a:graphicData>
            </a:graphic>
          </wp:inline>
        </w:drawing>
      </w:r>
    </w:p>
    <w:p w14:paraId="4F311A79" w14:textId="205C8AC0" w:rsidR="009869C2" w:rsidRPr="00A65F82" w:rsidRDefault="008B1C57"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rPr>
        <w:t xml:space="preserve">Supplementary Figure </w:t>
      </w:r>
      <w:r w:rsidR="00D0447B">
        <w:rPr>
          <w:rFonts w:asciiTheme="minorHAnsi" w:hAnsiTheme="minorHAnsi" w:cstheme="minorHAnsi"/>
          <w:color w:val="000000" w:themeColor="text1"/>
          <w:sz w:val="22"/>
          <w:szCs w:val="22"/>
        </w:rPr>
        <w:t>12</w:t>
      </w:r>
      <w:r w:rsidR="008245FE" w:rsidRPr="00A65F82">
        <w:rPr>
          <w:rFonts w:asciiTheme="minorHAnsi" w:hAnsiTheme="minorHAnsi" w:cstheme="minorHAnsi"/>
          <w:color w:val="000000" w:themeColor="text1"/>
          <w:sz w:val="22"/>
          <w:szCs w:val="22"/>
        </w:rPr>
        <w:t xml:space="preserve">: Variant calling metrics for 119 UAE Illumina short-read samples aligned to linear and graph-based reference genomes, including </w:t>
      </w:r>
      <w:r w:rsidR="001247CF" w:rsidRPr="00A65F82">
        <w:rPr>
          <w:rFonts w:asciiTheme="minorHAnsi" w:hAnsiTheme="minorHAnsi" w:cstheme="minorHAnsi"/>
          <w:color w:val="000000" w:themeColor="text1"/>
          <w:sz w:val="22"/>
          <w:szCs w:val="22"/>
        </w:rPr>
        <w:t>GRCh</w:t>
      </w:r>
      <w:r w:rsidR="008245FE" w:rsidRPr="00A65F82">
        <w:rPr>
          <w:rFonts w:asciiTheme="minorHAnsi" w:hAnsiTheme="minorHAnsi" w:cstheme="minorHAnsi"/>
          <w:color w:val="000000" w:themeColor="text1"/>
          <w:sz w:val="22"/>
          <w:szCs w:val="22"/>
        </w:rPr>
        <w:t xml:space="preserve">38, CHM13v2, the public HPRC graph with </w:t>
      </w:r>
      <w:r w:rsidR="001247CF" w:rsidRPr="00A65F82">
        <w:rPr>
          <w:rFonts w:asciiTheme="minorHAnsi" w:hAnsiTheme="minorHAnsi" w:cstheme="minorHAnsi"/>
          <w:color w:val="000000" w:themeColor="text1"/>
          <w:sz w:val="22"/>
          <w:szCs w:val="22"/>
        </w:rPr>
        <w:t>GRC</w:t>
      </w:r>
      <w:r w:rsidR="009A4AE4" w:rsidRPr="00A65F82">
        <w:rPr>
          <w:rFonts w:asciiTheme="minorHAnsi" w:hAnsiTheme="minorHAnsi" w:cstheme="minorHAnsi"/>
          <w:color w:val="000000" w:themeColor="text1"/>
          <w:sz w:val="22"/>
          <w:szCs w:val="22"/>
        </w:rPr>
        <w:t>h</w:t>
      </w:r>
      <w:r w:rsidR="008245FE" w:rsidRPr="00A65F82">
        <w:rPr>
          <w:rFonts w:asciiTheme="minorHAnsi" w:hAnsiTheme="minorHAnsi" w:cstheme="minorHAnsi"/>
          <w:color w:val="000000" w:themeColor="text1"/>
          <w:sz w:val="22"/>
          <w:szCs w:val="22"/>
        </w:rPr>
        <w:t xml:space="preserve">38 backbone (HPRC_hg38_d9), the </w:t>
      </w:r>
      <w:r w:rsidR="002B4349" w:rsidRPr="00A65F82">
        <w:rPr>
          <w:rFonts w:asciiTheme="minorHAnsi" w:hAnsiTheme="minorHAnsi" w:cstheme="minorHAnsi"/>
          <w:color w:val="000000" w:themeColor="text1"/>
          <w:sz w:val="22"/>
          <w:szCs w:val="22"/>
          <w:lang w:val="en-US"/>
        </w:rPr>
        <w:t>Emirati T2T pangenome</w:t>
      </w:r>
      <w:r w:rsidR="008245FE" w:rsidRPr="00A65F82">
        <w:rPr>
          <w:rFonts w:asciiTheme="minorHAnsi" w:hAnsiTheme="minorHAnsi" w:cstheme="minorHAnsi"/>
          <w:color w:val="000000" w:themeColor="text1"/>
          <w:sz w:val="22"/>
          <w:szCs w:val="22"/>
        </w:rPr>
        <w:t xml:space="preserve"> graph with hg38 backbone (KU_hg38_d12), and the </w:t>
      </w:r>
      <w:r w:rsidR="002B4349" w:rsidRPr="00A65F82">
        <w:rPr>
          <w:rFonts w:asciiTheme="minorHAnsi" w:hAnsiTheme="minorHAnsi" w:cstheme="minorHAnsi"/>
          <w:color w:val="000000" w:themeColor="text1"/>
          <w:sz w:val="22"/>
          <w:szCs w:val="22"/>
          <w:lang w:val="en-US"/>
        </w:rPr>
        <w:t>Emirati T2T pangenome</w:t>
      </w:r>
      <w:r w:rsidR="008245FE" w:rsidRPr="00A65F82">
        <w:rPr>
          <w:rFonts w:asciiTheme="minorHAnsi" w:hAnsiTheme="minorHAnsi" w:cstheme="minorHAnsi"/>
          <w:color w:val="000000" w:themeColor="text1"/>
          <w:sz w:val="22"/>
          <w:szCs w:val="22"/>
        </w:rPr>
        <w:t xml:space="preserve"> graph with CHM13v2 backbone. Graph-based references generally resulted in a higher number of variant calls compared to their linear counterparts. CHM13-based references consistently produced fewer SNPs and indels than hg38-based references, with notably fewer homozygous SNPs, whereas hg38-based references produced fewer heterozygous SNPs. Among the graph-based references, the public HPRC_hg38_d9 graph called slightly more variants and showed a marginally higher number of mapped bases than the KU_hg38_d12 graph. Linear reference alignments showed a slightly higher overall number of mapped bases compared to graph-based alignments.</w:t>
      </w:r>
    </w:p>
    <w:p w14:paraId="19D86C58" w14:textId="77777777" w:rsidR="00D56E94" w:rsidRPr="00A65F82" w:rsidRDefault="00D56E94" w:rsidP="00F5601E">
      <w:pPr>
        <w:jc w:val="both"/>
        <w:rPr>
          <w:rFonts w:asciiTheme="minorHAnsi" w:hAnsiTheme="minorHAnsi" w:cstheme="minorHAnsi"/>
          <w:color w:val="000000" w:themeColor="text1"/>
          <w:sz w:val="22"/>
          <w:szCs w:val="22"/>
        </w:rPr>
      </w:pPr>
    </w:p>
    <w:p w14:paraId="3C080E50" w14:textId="77777777" w:rsidR="008B1C57" w:rsidRPr="00A65F82" w:rsidRDefault="008B1C57"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000C72F4" wp14:editId="21A9DEA8">
            <wp:extent cx="5731510" cy="4156710"/>
            <wp:effectExtent l="0" t="0" r="0" b="0"/>
            <wp:docPr id="1165707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07155" name="Picture 11657071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156710"/>
                    </a:xfrm>
                    <a:prstGeom prst="rect">
                      <a:avLst/>
                    </a:prstGeom>
                  </pic:spPr>
                </pic:pic>
              </a:graphicData>
            </a:graphic>
          </wp:inline>
        </w:drawing>
      </w:r>
    </w:p>
    <w:p w14:paraId="75558240" w14:textId="1C231201" w:rsidR="00D56E94" w:rsidRPr="00A65F82" w:rsidRDefault="008B1C57"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rPr>
        <w:t xml:space="preserve">Supplementary Figure </w:t>
      </w:r>
      <w:r w:rsidR="00D0447B">
        <w:rPr>
          <w:rFonts w:asciiTheme="minorHAnsi" w:hAnsiTheme="minorHAnsi" w:cstheme="minorHAnsi"/>
          <w:color w:val="000000" w:themeColor="text1"/>
          <w:sz w:val="22"/>
          <w:szCs w:val="22"/>
        </w:rPr>
        <w:t>13</w:t>
      </w:r>
      <w:r w:rsidR="0022006C" w:rsidRPr="00A65F82">
        <w:rPr>
          <w:rFonts w:asciiTheme="minorHAnsi" w:hAnsiTheme="minorHAnsi" w:cstheme="minorHAnsi"/>
          <w:color w:val="000000" w:themeColor="text1"/>
          <w:sz w:val="22"/>
          <w:szCs w:val="22"/>
        </w:rPr>
        <w:t xml:space="preserve">: Intersection analysis of variant calls from 119 UAE Illumina short-read samples aligned to linear and graph-based reference genomes, including hg38, the public HPRC graph with hg38 backbone (HPRC_hg38_d9), and the </w:t>
      </w:r>
      <w:r w:rsidR="002B4349" w:rsidRPr="00A65F82">
        <w:rPr>
          <w:rFonts w:asciiTheme="minorHAnsi" w:hAnsiTheme="minorHAnsi" w:cstheme="minorHAnsi"/>
          <w:color w:val="000000" w:themeColor="text1"/>
          <w:sz w:val="22"/>
          <w:szCs w:val="22"/>
          <w:lang w:val="en-US"/>
        </w:rPr>
        <w:t>Emirati T2T pangenome</w:t>
      </w:r>
      <w:r w:rsidR="002B4349" w:rsidRPr="00A65F82" w:rsidDel="002B4349">
        <w:rPr>
          <w:rFonts w:asciiTheme="minorHAnsi" w:hAnsiTheme="minorHAnsi" w:cstheme="minorHAnsi"/>
          <w:color w:val="000000" w:themeColor="text1"/>
          <w:sz w:val="22"/>
          <w:szCs w:val="22"/>
        </w:rPr>
        <w:t xml:space="preserve"> </w:t>
      </w:r>
      <w:r w:rsidR="0022006C" w:rsidRPr="00A65F82">
        <w:rPr>
          <w:rFonts w:asciiTheme="minorHAnsi" w:hAnsiTheme="minorHAnsi" w:cstheme="minorHAnsi"/>
          <w:color w:val="000000" w:themeColor="text1"/>
          <w:sz w:val="22"/>
          <w:szCs w:val="22"/>
        </w:rPr>
        <w:t xml:space="preserve">graph with hg38 backbone. The </w:t>
      </w:r>
      <w:proofErr w:type="spellStart"/>
      <w:r w:rsidR="0022006C" w:rsidRPr="00A65F82">
        <w:rPr>
          <w:rFonts w:asciiTheme="minorHAnsi" w:hAnsiTheme="minorHAnsi" w:cstheme="minorHAnsi"/>
          <w:color w:val="000000" w:themeColor="text1"/>
          <w:sz w:val="22"/>
          <w:szCs w:val="22"/>
        </w:rPr>
        <w:t>UpSet</w:t>
      </w:r>
      <w:proofErr w:type="spellEnd"/>
      <w:r w:rsidR="0022006C" w:rsidRPr="00A65F82">
        <w:rPr>
          <w:rFonts w:asciiTheme="minorHAnsi" w:hAnsiTheme="minorHAnsi" w:cstheme="minorHAnsi"/>
          <w:color w:val="000000" w:themeColor="text1"/>
          <w:sz w:val="22"/>
          <w:szCs w:val="22"/>
        </w:rPr>
        <w:t xml:space="preserve"> plots reveal three dominant groups: (1) variants consistently identified by all references, (2) variants uniquely called by the graph-based references, and (3) variants exclusively detected by the linear reference but absent in the graphs. Across all references, a total of 644,488,557 unique variants were identified. Graph-based references called at least 11 million more variants than the linear hg38 reference across the aggregate dataset. The majority of variants, 576,028,435 (89.37%), were shared across all reference types. The linear reference exclusively contributed 2.28% of variants, while the graph-based references shared 2.92% of variants not present in the linear reference.</w:t>
      </w:r>
    </w:p>
    <w:p w14:paraId="390AF723" w14:textId="77777777" w:rsidR="008B1C57" w:rsidRPr="00A65F82" w:rsidRDefault="008B1C57" w:rsidP="00F5601E">
      <w:pPr>
        <w:jc w:val="both"/>
        <w:rPr>
          <w:rFonts w:asciiTheme="minorHAnsi" w:hAnsiTheme="minorHAnsi" w:cstheme="minorHAnsi"/>
          <w:color w:val="000000" w:themeColor="text1"/>
          <w:sz w:val="22"/>
          <w:szCs w:val="22"/>
        </w:rPr>
      </w:pPr>
    </w:p>
    <w:p w14:paraId="215AFDE9" w14:textId="77777777" w:rsidR="008B1C57" w:rsidRPr="00A65F82" w:rsidRDefault="008B1C57"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2C651F1D" wp14:editId="39B1DC6C">
            <wp:extent cx="5503352" cy="6741698"/>
            <wp:effectExtent l="0" t="0" r="0" b="2540"/>
            <wp:docPr id="1699862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62136" name="Picture 16998621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3352" cy="6741698"/>
                    </a:xfrm>
                    <a:prstGeom prst="rect">
                      <a:avLst/>
                    </a:prstGeom>
                  </pic:spPr>
                </pic:pic>
              </a:graphicData>
            </a:graphic>
          </wp:inline>
        </w:drawing>
      </w:r>
    </w:p>
    <w:p w14:paraId="496CF514" w14:textId="6EC84347" w:rsidR="008B1C57" w:rsidRPr="00A65F82" w:rsidRDefault="008B1C57"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lang w:val="en-US"/>
        </w:rPr>
        <w:t>Supplementary Figure 1</w:t>
      </w:r>
      <w:r w:rsidR="00027A86">
        <w:rPr>
          <w:rFonts w:asciiTheme="minorHAnsi" w:hAnsiTheme="minorHAnsi" w:cstheme="minorHAnsi"/>
          <w:color w:val="000000" w:themeColor="text1"/>
          <w:sz w:val="22"/>
          <w:szCs w:val="22"/>
          <w:lang w:val="en-US"/>
        </w:rPr>
        <w:t>4</w:t>
      </w:r>
      <w:r w:rsidR="00437F11" w:rsidRPr="00A65F82">
        <w:rPr>
          <w:rFonts w:asciiTheme="minorHAnsi" w:hAnsiTheme="minorHAnsi" w:cstheme="minorHAnsi"/>
          <w:color w:val="000000" w:themeColor="text1"/>
          <w:sz w:val="22"/>
          <w:szCs w:val="22"/>
          <w:lang w:val="en-US"/>
        </w:rPr>
        <w:t xml:space="preserve">: Intersection analysis of variant calls from well-characterized Genome in a Bottle (GIAB) samples (HG001–HG007), aligned to linear and graph-based reference genomes, including hg38, the public HPRC graph with hg38 backbone (HPRC_hg38_d9), and the </w:t>
      </w:r>
      <w:r w:rsidR="002B4349" w:rsidRPr="00A65F82">
        <w:rPr>
          <w:rFonts w:asciiTheme="minorHAnsi" w:hAnsiTheme="minorHAnsi" w:cstheme="minorHAnsi"/>
          <w:color w:val="000000" w:themeColor="text1"/>
          <w:sz w:val="22"/>
          <w:szCs w:val="22"/>
          <w:lang w:val="en-US"/>
        </w:rPr>
        <w:t>Emirati T2T pangenome</w:t>
      </w:r>
      <w:r w:rsidR="002B4349" w:rsidRPr="00A65F82" w:rsidDel="002B4349">
        <w:rPr>
          <w:rFonts w:asciiTheme="minorHAnsi" w:hAnsiTheme="minorHAnsi" w:cstheme="minorHAnsi"/>
          <w:color w:val="000000" w:themeColor="text1"/>
          <w:sz w:val="22"/>
          <w:szCs w:val="22"/>
          <w:lang w:val="en-US"/>
        </w:rPr>
        <w:t xml:space="preserve"> </w:t>
      </w:r>
      <w:r w:rsidR="00437F11" w:rsidRPr="00A65F82">
        <w:rPr>
          <w:rFonts w:asciiTheme="minorHAnsi" w:hAnsiTheme="minorHAnsi" w:cstheme="minorHAnsi"/>
          <w:color w:val="000000" w:themeColor="text1"/>
          <w:sz w:val="22"/>
          <w:szCs w:val="22"/>
          <w:lang w:val="en-US"/>
        </w:rPr>
        <w:t>graph with hg38 backbone. (A) Results based on Illumina short-read data. (B) Results based on PacBio long-read data. The GIAB truth set contains 26,407,097 variants across the seven samples. Of these, 98.66% are recovered by all references using short reads, and 98.78% using long reads. For short-read alignments, 211,013 variants from the truth set remain uncalled by any reference, compared to 163,771 in the long-read analysis. Notably, approximately 0.5% of variants consistently called across all references are not present in the truth set for both technologies. Among short-read results, the fourth largest variant group (84,529 variants, 0.32%) consists of truth-set variants called by the graph references but missed by the linear hg38 reference. In long-read data, this group drops to the eighth largest, likely reflecting improved alignment specificity with long-read inputs.</w:t>
      </w:r>
    </w:p>
    <w:p w14:paraId="493AC5E3" w14:textId="77777777" w:rsidR="008B1C57" w:rsidRPr="00A65F82" w:rsidRDefault="008B1C57" w:rsidP="00F5601E">
      <w:pPr>
        <w:jc w:val="both"/>
        <w:rPr>
          <w:rFonts w:asciiTheme="minorHAnsi" w:hAnsiTheme="minorHAnsi" w:cstheme="minorHAnsi"/>
          <w:color w:val="000000" w:themeColor="text1"/>
          <w:sz w:val="22"/>
          <w:szCs w:val="22"/>
        </w:rPr>
      </w:pPr>
    </w:p>
    <w:p w14:paraId="33EF4CEF" w14:textId="77777777" w:rsidR="008B1C57" w:rsidRPr="00A65F82" w:rsidRDefault="008B1C57"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drawing>
          <wp:inline distT="0" distB="0" distL="0" distR="0" wp14:anchorId="400E4AD3" wp14:editId="54D202B0">
            <wp:extent cx="5731510" cy="3414395"/>
            <wp:effectExtent l="0" t="0" r="0" b="1905"/>
            <wp:docPr id="1553746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46961" name="Picture 15537469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inline>
        </w:drawing>
      </w:r>
    </w:p>
    <w:p w14:paraId="4F2A03AD" w14:textId="4DE93512" w:rsidR="008B1C57" w:rsidRPr="00A65F82" w:rsidRDefault="008B1C57"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rPr>
        <w:t>Supplementary Figure 1</w:t>
      </w:r>
      <w:r w:rsidR="00027A86">
        <w:rPr>
          <w:rFonts w:asciiTheme="minorHAnsi" w:hAnsiTheme="minorHAnsi" w:cstheme="minorHAnsi"/>
          <w:color w:val="000000" w:themeColor="text1"/>
          <w:sz w:val="22"/>
          <w:szCs w:val="22"/>
        </w:rPr>
        <w:t>5</w:t>
      </w:r>
      <w:r w:rsidR="004D3A78" w:rsidRPr="00A65F82">
        <w:rPr>
          <w:rFonts w:asciiTheme="minorHAnsi" w:hAnsiTheme="minorHAnsi" w:cstheme="minorHAnsi"/>
          <w:color w:val="000000" w:themeColor="text1"/>
          <w:sz w:val="22"/>
          <w:szCs w:val="22"/>
        </w:rPr>
        <w:t xml:space="preserve">: Precision of SNP calls across reference genomes and sequencing platforms for GIAB samples HG001–HG007. This figure presents SNP precision metrics for Illumina (short-read) and PacBio (long-read) alignments to three reference genomes: the linear hg38, the public HPRC graph (HPRC_hg38_d9), and the </w:t>
      </w:r>
      <w:r w:rsidR="002B4349" w:rsidRPr="00A65F82">
        <w:rPr>
          <w:rFonts w:asciiTheme="minorHAnsi" w:hAnsiTheme="minorHAnsi" w:cstheme="minorHAnsi"/>
          <w:color w:val="000000" w:themeColor="text1"/>
          <w:sz w:val="22"/>
          <w:szCs w:val="22"/>
          <w:lang w:val="en-US"/>
        </w:rPr>
        <w:t>Emirati T2T pangenome</w:t>
      </w:r>
      <w:r w:rsidR="004D3A78" w:rsidRPr="00A65F82">
        <w:rPr>
          <w:rFonts w:asciiTheme="minorHAnsi" w:hAnsiTheme="minorHAnsi" w:cstheme="minorHAnsi"/>
          <w:color w:val="000000" w:themeColor="text1"/>
          <w:sz w:val="22"/>
          <w:szCs w:val="22"/>
        </w:rPr>
        <w:t xml:space="preserve"> graph (ku_hg38_d12). SNP precision was consistently highest when aligning to the linear hg38 reference, with values reaching up to 0.9998 for long reads and 0.9978 for short reads. Graph-based references showed slightly lower precision, with long-read SNP precision ranging from 0.9968 to 0.9984, and short-read precision ranging from 0.9941 to 0.9968. Differences between HPRC and </w:t>
      </w:r>
      <w:r w:rsidR="002B4349" w:rsidRPr="00A65F82">
        <w:rPr>
          <w:rFonts w:asciiTheme="minorHAnsi" w:hAnsiTheme="minorHAnsi" w:cstheme="minorHAnsi"/>
          <w:color w:val="000000" w:themeColor="text1"/>
          <w:sz w:val="22"/>
          <w:szCs w:val="22"/>
          <w:lang w:val="en-US"/>
        </w:rPr>
        <w:t>Emirati T2T pangenome</w:t>
      </w:r>
      <w:r w:rsidR="004D3A78" w:rsidRPr="00A65F82">
        <w:rPr>
          <w:rFonts w:asciiTheme="minorHAnsi" w:hAnsiTheme="minorHAnsi" w:cstheme="minorHAnsi"/>
          <w:color w:val="000000" w:themeColor="text1"/>
          <w:sz w:val="22"/>
          <w:szCs w:val="22"/>
        </w:rPr>
        <w:t xml:space="preserve"> graphs were minimal, with HPRC showing a marginally higher precision in most cases. The results suggest that while graph-based references perform comparably, the linear hg38 retains a consistent precision advantage for SNP calling.</w:t>
      </w:r>
    </w:p>
    <w:p w14:paraId="3F811A32" w14:textId="77777777" w:rsidR="008B1C57" w:rsidRPr="00A65F82" w:rsidRDefault="008B1C57" w:rsidP="00F5601E">
      <w:pPr>
        <w:jc w:val="both"/>
        <w:rPr>
          <w:rFonts w:asciiTheme="minorHAnsi" w:hAnsiTheme="minorHAnsi" w:cstheme="minorHAnsi"/>
          <w:color w:val="000000" w:themeColor="text1"/>
          <w:sz w:val="22"/>
          <w:szCs w:val="22"/>
        </w:rPr>
      </w:pPr>
    </w:p>
    <w:p w14:paraId="70B37219" w14:textId="77777777" w:rsidR="00907FC7" w:rsidRPr="00A65F82" w:rsidRDefault="008B1C57"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169EE98E" wp14:editId="21EE7A2E">
            <wp:extent cx="5731510" cy="3414395"/>
            <wp:effectExtent l="0" t="0" r="0" b="1905"/>
            <wp:docPr id="1410770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0044" name="Picture 14107700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inline>
        </w:drawing>
      </w:r>
    </w:p>
    <w:p w14:paraId="08C2BD88" w14:textId="25540AEA" w:rsidR="008B1C57" w:rsidRPr="00A65F82" w:rsidRDefault="00907FC7"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lang w:val="en-US"/>
        </w:rPr>
        <w:t>Supplementary Figure 1</w:t>
      </w:r>
      <w:r w:rsidR="00027A86">
        <w:rPr>
          <w:rFonts w:asciiTheme="minorHAnsi" w:hAnsiTheme="minorHAnsi" w:cstheme="minorHAnsi"/>
          <w:color w:val="000000" w:themeColor="text1"/>
          <w:sz w:val="22"/>
          <w:szCs w:val="22"/>
          <w:lang w:val="en-US"/>
        </w:rPr>
        <w:t>6</w:t>
      </w:r>
      <w:r w:rsidR="00C86934" w:rsidRPr="00A65F82">
        <w:rPr>
          <w:rFonts w:asciiTheme="minorHAnsi" w:hAnsiTheme="minorHAnsi" w:cstheme="minorHAnsi"/>
          <w:color w:val="000000" w:themeColor="text1"/>
          <w:sz w:val="22"/>
          <w:szCs w:val="22"/>
          <w:lang w:val="en-US"/>
        </w:rPr>
        <w:t xml:space="preserve">: SNP Recall across reference genomes and sequencing platforms for GIAB samples HG001–HG007. SNP recall values were evaluated for short-read (Illumina) and long-read (PacBio) datasets across three reference genomes: the public HPRC graph (HPRC_hg38_d9), the </w:t>
      </w:r>
      <w:r w:rsidR="002B4349" w:rsidRPr="00A65F82">
        <w:rPr>
          <w:rFonts w:asciiTheme="minorHAnsi" w:hAnsiTheme="minorHAnsi" w:cstheme="minorHAnsi"/>
          <w:color w:val="000000" w:themeColor="text1"/>
          <w:sz w:val="22"/>
          <w:szCs w:val="22"/>
          <w:lang w:val="en-US"/>
        </w:rPr>
        <w:t>Emirati T2T pangenome</w:t>
      </w:r>
      <w:r w:rsidR="00C86934" w:rsidRPr="00A65F82">
        <w:rPr>
          <w:rFonts w:asciiTheme="minorHAnsi" w:hAnsiTheme="minorHAnsi" w:cstheme="minorHAnsi"/>
          <w:color w:val="000000" w:themeColor="text1"/>
          <w:sz w:val="22"/>
          <w:szCs w:val="22"/>
          <w:lang w:val="en-US"/>
        </w:rPr>
        <w:t xml:space="preserve"> graph (ku_hg38_d12), and the linear hg38 reference. All references demonstrated high SNP recall, with values consistently exceeding 0.988 across all samples and platforms. The linear hg38 reference achieved the highest SNP recall across most samples, particularly for long-read alignments, where recall values frequently exceeded 0.999. Differences among references were more subtle for short reads, with slightly lower recall values overall. Graph-based references (HPRC and </w:t>
      </w:r>
      <w:r w:rsidR="002B4349" w:rsidRPr="00A65F82">
        <w:rPr>
          <w:rFonts w:asciiTheme="minorHAnsi" w:hAnsiTheme="minorHAnsi" w:cstheme="minorHAnsi"/>
          <w:color w:val="000000" w:themeColor="text1"/>
          <w:sz w:val="22"/>
          <w:szCs w:val="22"/>
          <w:lang w:val="en-US"/>
        </w:rPr>
        <w:t>Emirati T2T pangenome</w:t>
      </w:r>
      <w:r w:rsidR="00C86934" w:rsidRPr="00A65F82">
        <w:rPr>
          <w:rFonts w:asciiTheme="minorHAnsi" w:hAnsiTheme="minorHAnsi" w:cstheme="minorHAnsi"/>
          <w:color w:val="000000" w:themeColor="text1"/>
          <w:sz w:val="22"/>
          <w:szCs w:val="22"/>
          <w:lang w:val="en-US"/>
        </w:rPr>
        <w:t>) performed comparably to each other, often trailing the linear reference by a small margin. These findings confirm high concordance in SNP detection across references but suggest a modest recall advantage for linear hg38, especially in long-read data.</w:t>
      </w:r>
    </w:p>
    <w:p w14:paraId="632D0489" w14:textId="77777777" w:rsidR="00907FC7" w:rsidRPr="00A65F82" w:rsidRDefault="00907FC7" w:rsidP="00F5601E">
      <w:pPr>
        <w:jc w:val="both"/>
        <w:rPr>
          <w:rFonts w:asciiTheme="minorHAnsi" w:hAnsiTheme="minorHAnsi" w:cstheme="minorHAnsi"/>
          <w:color w:val="000000" w:themeColor="text1"/>
          <w:sz w:val="22"/>
          <w:szCs w:val="22"/>
        </w:rPr>
      </w:pPr>
    </w:p>
    <w:p w14:paraId="4CCD7C98" w14:textId="77777777" w:rsidR="00907FC7" w:rsidRPr="00A65F82" w:rsidRDefault="00907FC7"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36E0C395" wp14:editId="0F92C1DA">
            <wp:extent cx="5731510" cy="3414395"/>
            <wp:effectExtent l="0" t="0" r="0" b="1905"/>
            <wp:docPr id="433755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55942" name="Picture 4337559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inline>
        </w:drawing>
      </w:r>
    </w:p>
    <w:p w14:paraId="011631ED" w14:textId="685056C5" w:rsidR="00907FC7" w:rsidRPr="00A65F82" w:rsidRDefault="00907FC7"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lang w:val="en-US"/>
        </w:rPr>
        <w:t>Supplementary Figure 1</w:t>
      </w:r>
      <w:r w:rsidR="00027A86">
        <w:rPr>
          <w:rFonts w:asciiTheme="minorHAnsi" w:hAnsiTheme="minorHAnsi" w:cstheme="minorHAnsi"/>
          <w:color w:val="000000" w:themeColor="text1"/>
          <w:sz w:val="22"/>
          <w:szCs w:val="22"/>
          <w:lang w:val="en-US"/>
        </w:rPr>
        <w:t>7</w:t>
      </w:r>
      <w:r w:rsidR="00295ED7" w:rsidRPr="00A65F82">
        <w:rPr>
          <w:rFonts w:asciiTheme="minorHAnsi" w:hAnsiTheme="minorHAnsi" w:cstheme="minorHAnsi"/>
          <w:color w:val="000000" w:themeColor="text1"/>
          <w:sz w:val="22"/>
          <w:szCs w:val="22"/>
          <w:lang w:val="en-US"/>
        </w:rPr>
        <w:t xml:space="preserve">: F1 scores for SNP calls across reference genomes and sequencing technologies for GIAB samples HG001–HG007. This figure displays F1 scores for SNP calls from long- and short-read alignments to three reference types: the linear hg38 reference, the public HPRC graph (HPRC_hg38_d9), and the </w:t>
      </w:r>
      <w:r w:rsidR="002B4349" w:rsidRPr="00A65F82">
        <w:rPr>
          <w:rFonts w:asciiTheme="minorHAnsi" w:hAnsiTheme="minorHAnsi" w:cstheme="minorHAnsi"/>
          <w:color w:val="000000" w:themeColor="text1"/>
          <w:sz w:val="22"/>
          <w:szCs w:val="22"/>
          <w:lang w:val="en-US"/>
        </w:rPr>
        <w:t>Emirati T2T pangenome</w:t>
      </w:r>
      <w:r w:rsidR="00295ED7" w:rsidRPr="00A65F82">
        <w:rPr>
          <w:rFonts w:asciiTheme="minorHAnsi" w:hAnsiTheme="minorHAnsi" w:cstheme="minorHAnsi"/>
          <w:color w:val="000000" w:themeColor="text1"/>
          <w:sz w:val="22"/>
          <w:szCs w:val="22"/>
          <w:lang w:val="en-US"/>
        </w:rPr>
        <w:t xml:space="preserve"> graph (ku_hg38_d12). Across all samples and technologies, the linear hg38 consistently achieves the highest SNP F1 scores, with values exceeding 0.9993 for long reads and averaging 0.9955–0.9966 for short reads. HPRC and </w:t>
      </w:r>
      <w:r w:rsidR="002B4349" w:rsidRPr="00A65F82">
        <w:rPr>
          <w:rFonts w:asciiTheme="minorHAnsi" w:hAnsiTheme="minorHAnsi" w:cstheme="minorHAnsi"/>
          <w:color w:val="000000" w:themeColor="text1"/>
          <w:sz w:val="22"/>
          <w:szCs w:val="22"/>
          <w:lang w:val="en-US"/>
        </w:rPr>
        <w:t>Emirati T2T pangenome</w:t>
      </w:r>
      <w:r w:rsidR="00295ED7" w:rsidRPr="00A65F82">
        <w:rPr>
          <w:rFonts w:asciiTheme="minorHAnsi" w:hAnsiTheme="minorHAnsi" w:cstheme="minorHAnsi"/>
          <w:color w:val="000000" w:themeColor="text1"/>
          <w:sz w:val="22"/>
          <w:szCs w:val="22"/>
          <w:lang w:val="en-US"/>
        </w:rPr>
        <w:t xml:space="preserve"> graphs perform comparably but slightly lower, particularly for short reads, where F1 scores range from 0.9919 to 0.9969. Long-read SNP calls show less variability and higher consistency across references, with F1 scores above 0.9976 in nearly all cases. These results underscore the continued advantage of hg38 for SNP calling in precision-recall-balanced performance, while graph-based references approach parity but exhibit slightly diminished performance in short-read contexts.</w:t>
      </w:r>
    </w:p>
    <w:p w14:paraId="6D1501B5" w14:textId="77777777" w:rsidR="00907FC7" w:rsidRPr="00A65F82" w:rsidRDefault="00907FC7" w:rsidP="00F5601E">
      <w:pPr>
        <w:jc w:val="both"/>
        <w:rPr>
          <w:rFonts w:asciiTheme="minorHAnsi" w:hAnsiTheme="minorHAnsi" w:cstheme="minorHAnsi"/>
          <w:color w:val="000000" w:themeColor="text1"/>
          <w:sz w:val="22"/>
          <w:szCs w:val="22"/>
        </w:rPr>
      </w:pPr>
    </w:p>
    <w:p w14:paraId="26BAEB89" w14:textId="77777777" w:rsidR="00907FC7" w:rsidRPr="00A65F82" w:rsidRDefault="00907FC7"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38809EA0" wp14:editId="44C9DF92">
            <wp:extent cx="5731510" cy="3414395"/>
            <wp:effectExtent l="0" t="0" r="0" b="1905"/>
            <wp:docPr id="17275746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74621" name="Picture 17275746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inline>
        </w:drawing>
      </w:r>
    </w:p>
    <w:p w14:paraId="50E1F40C" w14:textId="273D2D26" w:rsidR="00907FC7" w:rsidRPr="00A65F82" w:rsidRDefault="00907FC7"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lang w:val="en-US"/>
        </w:rPr>
        <w:t>Supplementary Figure 1</w:t>
      </w:r>
      <w:r w:rsidR="00027A86">
        <w:rPr>
          <w:rFonts w:asciiTheme="minorHAnsi" w:hAnsiTheme="minorHAnsi" w:cstheme="minorHAnsi"/>
          <w:color w:val="000000" w:themeColor="text1"/>
          <w:sz w:val="22"/>
          <w:szCs w:val="22"/>
          <w:lang w:val="en-US"/>
        </w:rPr>
        <w:t>8</w:t>
      </w:r>
      <w:r w:rsidR="006F20FF" w:rsidRPr="00A65F82">
        <w:rPr>
          <w:rFonts w:asciiTheme="minorHAnsi" w:hAnsiTheme="minorHAnsi" w:cstheme="minorHAnsi"/>
          <w:color w:val="000000" w:themeColor="text1"/>
          <w:sz w:val="22"/>
          <w:szCs w:val="22"/>
          <w:lang w:val="en-US"/>
        </w:rPr>
        <w:t xml:space="preserve">: Precision of </w:t>
      </w:r>
      <w:r w:rsidR="00EA06A3" w:rsidRPr="00A65F82">
        <w:rPr>
          <w:rFonts w:asciiTheme="minorHAnsi" w:hAnsiTheme="minorHAnsi" w:cstheme="minorHAnsi"/>
          <w:color w:val="000000" w:themeColor="text1"/>
          <w:sz w:val="22"/>
          <w:szCs w:val="22"/>
          <w:lang w:val="en-US"/>
        </w:rPr>
        <w:t xml:space="preserve">indel </w:t>
      </w:r>
      <w:r w:rsidR="006F20FF" w:rsidRPr="00A65F82">
        <w:rPr>
          <w:rFonts w:asciiTheme="minorHAnsi" w:hAnsiTheme="minorHAnsi" w:cstheme="minorHAnsi"/>
          <w:color w:val="000000" w:themeColor="text1"/>
          <w:sz w:val="22"/>
          <w:szCs w:val="22"/>
          <w:lang w:val="en-US"/>
        </w:rPr>
        <w:t xml:space="preserve">calls across reference genomes and sequencing platforms for GIAB samples HG001–HG007. </w:t>
      </w:r>
      <w:r w:rsidR="00EA06A3" w:rsidRPr="00A65F82">
        <w:rPr>
          <w:rFonts w:asciiTheme="minorHAnsi" w:hAnsiTheme="minorHAnsi" w:cstheme="minorHAnsi"/>
          <w:color w:val="000000" w:themeColor="text1"/>
          <w:sz w:val="22"/>
          <w:szCs w:val="22"/>
          <w:lang w:val="en-US"/>
        </w:rPr>
        <w:t xml:space="preserve">indel </w:t>
      </w:r>
      <w:r w:rsidR="006F20FF" w:rsidRPr="00A65F82">
        <w:rPr>
          <w:rFonts w:asciiTheme="minorHAnsi" w:hAnsiTheme="minorHAnsi" w:cstheme="minorHAnsi"/>
          <w:color w:val="000000" w:themeColor="text1"/>
          <w:sz w:val="22"/>
          <w:szCs w:val="22"/>
          <w:lang w:val="en-US"/>
        </w:rPr>
        <w:t xml:space="preserve">precision is shown for both long-read and short-read data, with alignments to the linear hg38, HPRC_hg38_d9, and ku_hg38_d12 references. Linear hg38 consistently outperformed the graph-based references, particularly for long reads, where </w:t>
      </w:r>
      <w:r w:rsidR="00EA06A3" w:rsidRPr="00A65F82">
        <w:rPr>
          <w:rFonts w:asciiTheme="minorHAnsi" w:hAnsiTheme="minorHAnsi" w:cstheme="minorHAnsi"/>
          <w:color w:val="000000" w:themeColor="text1"/>
          <w:sz w:val="22"/>
          <w:szCs w:val="22"/>
          <w:lang w:val="en-US"/>
        </w:rPr>
        <w:t xml:space="preserve">indel </w:t>
      </w:r>
      <w:r w:rsidR="006F20FF" w:rsidRPr="00A65F82">
        <w:rPr>
          <w:rFonts w:asciiTheme="minorHAnsi" w:hAnsiTheme="minorHAnsi" w:cstheme="minorHAnsi"/>
          <w:color w:val="000000" w:themeColor="text1"/>
          <w:sz w:val="22"/>
          <w:szCs w:val="22"/>
          <w:lang w:val="en-US"/>
        </w:rPr>
        <w:t xml:space="preserve">precision reached up to 0.996 and showed a 1–2% advantage over HPRC and </w:t>
      </w:r>
      <w:r w:rsidR="00EA06A3" w:rsidRPr="00A65F82">
        <w:rPr>
          <w:rFonts w:asciiTheme="minorHAnsi" w:hAnsiTheme="minorHAnsi" w:cstheme="minorHAnsi"/>
          <w:color w:val="000000" w:themeColor="text1"/>
          <w:sz w:val="22"/>
          <w:szCs w:val="22"/>
          <w:lang w:val="en-US"/>
        </w:rPr>
        <w:t xml:space="preserve">the Emirati T2T pangenome </w:t>
      </w:r>
      <w:proofErr w:type="gramStart"/>
      <w:r w:rsidR="00EA06A3" w:rsidRPr="00A65F82">
        <w:rPr>
          <w:rFonts w:asciiTheme="minorHAnsi" w:hAnsiTheme="minorHAnsi" w:cstheme="minorHAnsi"/>
          <w:color w:val="000000" w:themeColor="text1"/>
          <w:sz w:val="22"/>
          <w:szCs w:val="22"/>
          <w:lang w:val="en-US"/>
        </w:rPr>
        <w:t xml:space="preserve">graph </w:t>
      </w:r>
      <w:r w:rsidR="006F20FF" w:rsidRPr="00A65F82">
        <w:rPr>
          <w:rFonts w:asciiTheme="minorHAnsi" w:hAnsiTheme="minorHAnsi" w:cstheme="minorHAnsi"/>
          <w:color w:val="000000" w:themeColor="text1"/>
          <w:sz w:val="22"/>
          <w:szCs w:val="22"/>
          <w:lang w:val="en-US"/>
        </w:rPr>
        <w:t>.</w:t>
      </w:r>
      <w:proofErr w:type="gramEnd"/>
      <w:r w:rsidR="006F20FF" w:rsidRPr="00A65F82">
        <w:rPr>
          <w:rFonts w:asciiTheme="minorHAnsi" w:hAnsiTheme="minorHAnsi" w:cstheme="minorHAnsi"/>
          <w:color w:val="000000" w:themeColor="text1"/>
          <w:sz w:val="22"/>
          <w:szCs w:val="22"/>
          <w:lang w:val="en-US"/>
        </w:rPr>
        <w:t xml:space="preserve"> Short-read </w:t>
      </w:r>
      <w:r w:rsidR="00EA06A3" w:rsidRPr="00A65F82">
        <w:rPr>
          <w:rFonts w:asciiTheme="minorHAnsi" w:hAnsiTheme="minorHAnsi" w:cstheme="minorHAnsi"/>
          <w:color w:val="000000" w:themeColor="text1"/>
          <w:sz w:val="22"/>
          <w:szCs w:val="22"/>
          <w:lang w:val="en-US"/>
        </w:rPr>
        <w:t xml:space="preserve">indel </w:t>
      </w:r>
      <w:r w:rsidR="006F20FF" w:rsidRPr="00A65F82">
        <w:rPr>
          <w:rFonts w:asciiTheme="minorHAnsi" w:hAnsiTheme="minorHAnsi" w:cstheme="minorHAnsi"/>
          <w:color w:val="000000" w:themeColor="text1"/>
          <w:sz w:val="22"/>
          <w:szCs w:val="22"/>
          <w:lang w:val="en-US"/>
        </w:rPr>
        <w:t xml:space="preserve">calls demonstrated more consistent performance across references; however, hg38 still led with values of up to 0.9975, compared to 0.991–0.996 for graph-based references. </w:t>
      </w:r>
      <w:r w:rsidR="00EA06A3" w:rsidRPr="00A65F82">
        <w:rPr>
          <w:rFonts w:asciiTheme="minorHAnsi" w:hAnsiTheme="minorHAnsi" w:cstheme="minorHAnsi"/>
          <w:color w:val="000000" w:themeColor="text1"/>
          <w:sz w:val="22"/>
          <w:szCs w:val="22"/>
          <w:lang w:val="en-US"/>
        </w:rPr>
        <w:t xml:space="preserve">The Emirati T2T pangenome graph </w:t>
      </w:r>
      <w:r w:rsidR="006F20FF" w:rsidRPr="00A65F82">
        <w:rPr>
          <w:rFonts w:asciiTheme="minorHAnsi" w:hAnsiTheme="minorHAnsi" w:cstheme="minorHAnsi"/>
          <w:color w:val="000000" w:themeColor="text1"/>
          <w:sz w:val="22"/>
          <w:szCs w:val="22"/>
          <w:lang w:val="en-US"/>
        </w:rPr>
        <w:t xml:space="preserve">generally trailed HPRC in long-read precision, while both performed comparably for short reads. These results underscore the continued superiority of the linear reference in </w:t>
      </w:r>
      <w:r w:rsidR="00EA06A3" w:rsidRPr="00A65F82">
        <w:rPr>
          <w:rFonts w:asciiTheme="minorHAnsi" w:hAnsiTheme="minorHAnsi" w:cstheme="minorHAnsi"/>
          <w:color w:val="000000" w:themeColor="text1"/>
          <w:sz w:val="22"/>
          <w:szCs w:val="22"/>
          <w:lang w:val="en-US"/>
        </w:rPr>
        <w:t xml:space="preserve">indel </w:t>
      </w:r>
      <w:r w:rsidR="006F20FF" w:rsidRPr="00A65F82">
        <w:rPr>
          <w:rFonts w:asciiTheme="minorHAnsi" w:hAnsiTheme="minorHAnsi" w:cstheme="minorHAnsi"/>
          <w:color w:val="000000" w:themeColor="text1"/>
          <w:sz w:val="22"/>
          <w:szCs w:val="22"/>
          <w:lang w:val="en-US"/>
        </w:rPr>
        <w:t>calling, especially when using long-read technologies.</w:t>
      </w:r>
    </w:p>
    <w:p w14:paraId="42BEF782" w14:textId="77777777" w:rsidR="00907FC7" w:rsidRPr="00A65F82" w:rsidRDefault="00907FC7" w:rsidP="00F5601E">
      <w:pPr>
        <w:jc w:val="both"/>
        <w:rPr>
          <w:rFonts w:asciiTheme="minorHAnsi" w:hAnsiTheme="minorHAnsi" w:cstheme="minorHAnsi"/>
          <w:color w:val="000000" w:themeColor="text1"/>
          <w:sz w:val="22"/>
          <w:szCs w:val="22"/>
        </w:rPr>
      </w:pPr>
    </w:p>
    <w:p w14:paraId="63828960" w14:textId="77777777" w:rsidR="00907FC7" w:rsidRPr="00A65F82" w:rsidRDefault="00907FC7"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471CE1A6" wp14:editId="0ABE6232">
            <wp:extent cx="5731510" cy="3414395"/>
            <wp:effectExtent l="0" t="0" r="0" b="1905"/>
            <wp:docPr id="228400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00402" name="Picture 22840040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inline>
        </w:drawing>
      </w:r>
    </w:p>
    <w:p w14:paraId="6D7847B6" w14:textId="3BD6F5DC" w:rsidR="00907FC7" w:rsidRPr="00A65F82" w:rsidRDefault="00907FC7" w:rsidP="00F5601E">
      <w:pPr>
        <w:pStyle w:val="Caption"/>
        <w:jc w:val="both"/>
        <w:rPr>
          <w:rFonts w:asciiTheme="minorHAnsi" w:hAnsiTheme="minorHAnsi" w:cstheme="minorHAnsi"/>
          <w:color w:val="000000" w:themeColor="text1"/>
          <w:sz w:val="22"/>
          <w:szCs w:val="22"/>
          <w:lang w:val="en-US"/>
        </w:rPr>
      </w:pPr>
      <w:r w:rsidRPr="00A65F82">
        <w:rPr>
          <w:rFonts w:asciiTheme="minorHAnsi" w:hAnsiTheme="minorHAnsi" w:cstheme="minorHAnsi"/>
          <w:color w:val="000000" w:themeColor="text1"/>
          <w:sz w:val="22"/>
          <w:szCs w:val="22"/>
          <w:lang w:val="en-US"/>
        </w:rPr>
        <w:t>Supplementary Figure 1</w:t>
      </w:r>
      <w:r w:rsidR="00027A86">
        <w:rPr>
          <w:rFonts w:asciiTheme="minorHAnsi" w:hAnsiTheme="minorHAnsi" w:cstheme="minorHAnsi"/>
          <w:color w:val="000000" w:themeColor="text1"/>
          <w:sz w:val="22"/>
          <w:szCs w:val="22"/>
          <w:lang w:val="en-US"/>
        </w:rPr>
        <w:t>9</w:t>
      </w:r>
      <w:r w:rsidR="00ED79C2" w:rsidRPr="00A65F82">
        <w:rPr>
          <w:rFonts w:asciiTheme="minorHAnsi" w:hAnsiTheme="minorHAnsi" w:cstheme="minorHAnsi"/>
          <w:color w:val="000000" w:themeColor="text1"/>
          <w:sz w:val="22"/>
          <w:szCs w:val="22"/>
          <w:lang w:val="en-US"/>
        </w:rPr>
        <w:t>:</w:t>
      </w:r>
      <w:r w:rsidR="00EA06A3" w:rsidRPr="00A65F82">
        <w:rPr>
          <w:rFonts w:asciiTheme="minorHAnsi" w:hAnsiTheme="minorHAnsi" w:cstheme="minorHAnsi"/>
          <w:color w:val="000000" w:themeColor="text1"/>
          <w:sz w:val="22"/>
          <w:szCs w:val="22"/>
          <w:lang w:val="en-US"/>
        </w:rPr>
        <w:t xml:space="preserve"> Indel r</w:t>
      </w:r>
      <w:r w:rsidR="00ED79C2" w:rsidRPr="00A65F82">
        <w:rPr>
          <w:rFonts w:asciiTheme="minorHAnsi" w:hAnsiTheme="minorHAnsi" w:cstheme="minorHAnsi"/>
          <w:color w:val="000000" w:themeColor="text1"/>
          <w:sz w:val="22"/>
          <w:szCs w:val="22"/>
          <w:lang w:val="en-US"/>
        </w:rPr>
        <w:t>ecall across reference genomes and sequencing platforms for GIAB samples HG001–HG007. I</w:t>
      </w:r>
      <w:r w:rsidR="00EA06A3" w:rsidRPr="00A65F82">
        <w:rPr>
          <w:rFonts w:asciiTheme="minorHAnsi" w:hAnsiTheme="minorHAnsi" w:cstheme="minorHAnsi"/>
          <w:color w:val="000000" w:themeColor="text1"/>
          <w:sz w:val="22"/>
          <w:szCs w:val="22"/>
          <w:lang w:val="en-US"/>
        </w:rPr>
        <w:t>ndel</w:t>
      </w:r>
      <w:r w:rsidR="00ED79C2" w:rsidRPr="00A65F82">
        <w:rPr>
          <w:rFonts w:asciiTheme="minorHAnsi" w:hAnsiTheme="minorHAnsi" w:cstheme="minorHAnsi"/>
          <w:color w:val="000000" w:themeColor="text1"/>
          <w:sz w:val="22"/>
          <w:szCs w:val="22"/>
          <w:lang w:val="en-US"/>
        </w:rPr>
        <w:t xml:space="preserve"> recall values were compared across Illumina and PacBio data aligned to HPRC_hg38_d9, ku_hg38_d12, and linear hg38. In contrast to SNP results, more pronounced differences emerged between references, particularly for long-read alignments. The linear hg38 reference consistently yielded the highest </w:t>
      </w:r>
      <w:r w:rsidR="002B4349" w:rsidRPr="00A65F82">
        <w:rPr>
          <w:rFonts w:asciiTheme="minorHAnsi" w:hAnsiTheme="minorHAnsi" w:cstheme="minorHAnsi"/>
          <w:color w:val="000000" w:themeColor="text1"/>
          <w:sz w:val="22"/>
          <w:szCs w:val="22"/>
          <w:lang w:val="en-US"/>
        </w:rPr>
        <w:t xml:space="preserve">indel </w:t>
      </w:r>
      <w:r w:rsidR="00ED79C2" w:rsidRPr="00A65F82">
        <w:rPr>
          <w:rFonts w:asciiTheme="minorHAnsi" w:hAnsiTheme="minorHAnsi" w:cstheme="minorHAnsi"/>
          <w:color w:val="000000" w:themeColor="text1"/>
          <w:sz w:val="22"/>
          <w:szCs w:val="22"/>
          <w:lang w:val="en-US"/>
        </w:rPr>
        <w:t xml:space="preserve">recall, often exceeding 0.99. In contrast, graph-based references (HPRC and </w:t>
      </w:r>
      <w:r w:rsidR="002B4349" w:rsidRPr="00A65F82">
        <w:rPr>
          <w:rFonts w:asciiTheme="minorHAnsi" w:hAnsiTheme="minorHAnsi" w:cstheme="minorHAnsi"/>
          <w:color w:val="000000" w:themeColor="text1"/>
          <w:sz w:val="22"/>
          <w:szCs w:val="22"/>
          <w:lang w:val="en-US"/>
        </w:rPr>
        <w:t>Emirati</w:t>
      </w:r>
      <w:r w:rsidR="00ED79C2" w:rsidRPr="00A65F82">
        <w:rPr>
          <w:rFonts w:asciiTheme="minorHAnsi" w:hAnsiTheme="minorHAnsi" w:cstheme="minorHAnsi"/>
          <w:color w:val="000000" w:themeColor="text1"/>
          <w:sz w:val="22"/>
          <w:szCs w:val="22"/>
          <w:lang w:val="en-US"/>
        </w:rPr>
        <w:t xml:space="preserve">) </w:t>
      </w:r>
      <w:r w:rsidR="00EE009E" w:rsidRPr="00A65F82">
        <w:rPr>
          <w:rFonts w:asciiTheme="minorHAnsi" w:hAnsiTheme="minorHAnsi" w:cstheme="minorHAnsi"/>
          <w:color w:val="000000" w:themeColor="text1"/>
          <w:sz w:val="22"/>
          <w:szCs w:val="22"/>
          <w:lang w:val="en-US"/>
        </w:rPr>
        <w:t>exhibit</w:t>
      </w:r>
      <w:r w:rsidR="00ED79C2" w:rsidRPr="00A65F82">
        <w:rPr>
          <w:rFonts w:asciiTheme="minorHAnsi" w:hAnsiTheme="minorHAnsi" w:cstheme="minorHAnsi"/>
          <w:color w:val="000000" w:themeColor="text1"/>
          <w:sz w:val="22"/>
          <w:szCs w:val="22"/>
          <w:lang w:val="en-US"/>
        </w:rPr>
        <w:t xml:space="preserve">ed lower recall, </w:t>
      </w:r>
      <w:r w:rsidR="00EE009E" w:rsidRPr="00A65F82">
        <w:rPr>
          <w:rFonts w:asciiTheme="minorHAnsi" w:hAnsiTheme="minorHAnsi" w:cstheme="minorHAnsi"/>
          <w:color w:val="000000" w:themeColor="text1"/>
          <w:sz w:val="22"/>
          <w:szCs w:val="22"/>
          <w:lang w:val="en-US"/>
        </w:rPr>
        <w:t>particular</w:t>
      </w:r>
      <w:r w:rsidR="00ED79C2" w:rsidRPr="00A65F82">
        <w:rPr>
          <w:rFonts w:asciiTheme="minorHAnsi" w:hAnsiTheme="minorHAnsi" w:cstheme="minorHAnsi"/>
          <w:color w:val="000000" w:themeColor="text1"/>
          <w:sz w:val="22"/>
          <w:szCs w:val="22"/>
          <w:lang w:val="en-US"/>
        </w:rPr>
        <w:t>ly with long reads, with several values below 0.98 and</w:t>
      </w:r>
      <w:r w:rsidR="000C7E03" w:rsidRPr="00A65F82">
        <w:rPr>
          <w:rFonts w:asciiTheme="minorHAnsi" w:hAnsiTheme="minorHAnsi" w:cstheme="minorHAnsi"/>
          <w:color w:val="000000" w:themeColor="text1"/>
          <w:sz w:val="22"/>
          <w:szCs w:val="22"/>
          <w:lang w:val="en-US"/>
        </w:rPr>
        <w:t>,</w:t>
      </w:r>
      <w:r w:rsidR="00ED79C2" w:rsidRPr="00A65F82">
        <w:rPr>
          <w:rFonts w:asciiTheme="minorHAnsi" w:hAnsiTheme="minorHAnsi" w:cstheme="minorHAnsi"/>
          <w:color w:val="000000" w:themeColor="text1"/>
          <w:sz w:val="22"/>
          <w:szCs w:val="22"/>
          <w:lang w:val="en-US"/>
        </w:rPr>
        <w:t xml:space="preserve"> in some cases</w:t>
      </w:r>
      <w:r w:rsidR="00EE009E" w:rsidRPr="00A65F82">
        <w:rPr>
          <w:rFonts w:asciiTheme="minorHAnsi" w:hAnsiTheme="minorHAnsi" w:cstheme="minorHAnsi"/>
          <w:color w:val="000000" w:themeColor="text1"/>
          <w:sz w:val="22"/>
          <w:szCs w:val="22"/>
          <w:lang w:val="en-US"/>
        </w:rPr>
        <w:t>,</w:t>
      </w:r>
      <w:r w:rsidR="00ED79C2" w:rsidRPr="00A65F82">
        <w:rPr>
          <w:rFonts w:asciiTheme="minorHAnsi" w:hAnsiTheme="minorHAnsi" w:cstheme="minorHAnsi"/>
          <w:color w:val="000000" w:themeColor="text1"/>
          <w:sz w:val="22"/>
          <w:szCs w:val="22"/>
          <w:lang w:val="en-US"/>
        </w:rPr>
        <w:t xml:space="preserve"> near 0.96 or lower. Short-read </w:t>
      </w:r>
      <w:r w:rsidR="002B4349" w:rsidRPr="00A65F82">
        <w:rPr>
          <w:rFonts w:asciiTheme="minorHAnsi" w:hAnsiTheme="minorHAnsi" w:cstheme="minorHAnsi"/>
          <w:color w:val="000000" w:themeColor="text1"/>
          <w:sz w:val="22"/>
          <w:szCs w:val="22"/>
          <w:lang w:val="en-US"/>
        </w:rPr>
        <w:t>indel</w:t>
      </w:r>
      <w:r w:rsidR="00ED79C2" w:rsidRPr="00A65F82">
        <w:rPr>
          <w:rFonts w:asciiTheme="minorHAnsi" w:hAnsiTheme="minorHAnsi" w:cstheme="minorHAnsi"/>
          <w:color w:val="000000" w:themeColor="text1"/>
          <w:sz w:val="22"/>
          <w:szCs w:val="22"/>
          <w:lang w:val="en-US"/>
        </w:rPr>
        <w:t xml:space="preserve"> recall was generally higher across all references and more uniform, with recall values approaching or exceeding 0.99. The performance gap between hg38 and the graph-based references was more evident in long-read data, suggesting potential limitations in </w:t>
      </w:r>
      <w:r w:rsidR="002B4349" w:rsidRPr="00A65F82">
        <w:rPr>
          <w:rFonts w:asciiTheme="minorHAnsi" w:hAnsiTheme="minorHAnsi" w:cstheme="minorHAnsi"/>
          <w:color w:val="000000" w:themeColor="text1"/>
          <w:sz w:val="22"/>
          <w:szCs w:val="22"/>
          <w:lang w:val="en-US"/>
        </w:rPr>
        <w:t>indel</w:t>
      </w:r>
      <w:r w:rsidR="00ED79C2" w:rsidRPr="00A65F82">
        <w:rPr>
          <w:rFonts w:asciiTheme="minorHAnsi" w:hAnsiTheme="minorHAnsi" w:cstheme="minorHAnsi"/>
          <w:color w:val="000000" w:themeColor="text1"/>
          <w:sz w:val="22"/>
          <w:szCs w:val="22"/>
          <w:lang w:val="en-US"/>
        </w:rPr>
        <w:t xml:space="preserve"> detection or alignment specificity when using current graph-based tools for this variant class.</w:t>
      </w:r>
    </w:p>
    <w:p w14:paraId="542333EC" w14:textId="77777777" w:rsidR="00907FC7" w:rsidRPr="00A65F82" w:rsidRDefault="00907FC7" w:rsidP="00F5601E">
      <w:pPr>
        <w:jc w:val="both"/>
        <w:rPr>
          <w:rFonts w:asciiTheme="minorHAnsi" w:hAnsiTheme="minorHAnsi" w:cstheme="minorHAnsi"/>
          <w:color w:val="000000" w:themeColor="text1"/>
          <w:sz w:val="22"/>
          <w:szCs w:val="22"/>
        </w:rPr>
      </w:pPr>
    </w:p>
    <w:p w14:paraId="29D6229C" w14:textId="77777777" w:rsidR="00907FC7" w:rsidRPr="00A65F82" w:rsidRDefault="00907FC7"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rPr>
        <w:lastRenderedPageBreak/>
        <w:drawing>
          <wp:inline distT="0" distB="0" distL="0" distR="0" wp14:anchorId="5602B1B4" wp14:editId="2F271E33">
            <wp:extent cx="5731510" cy="3414395"/>
            <wp:effectExtent l="0" t="0" r="0" b="1905"/>
            <wp:docPr id="470232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32930" name="Picture 4702329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inline>
        </w:drawing>
      </w:r>
    </w:p>
    <w:p w14:paraId="4117512A" w14:textId="210ED9DA" w:rsidR="00907FC7" w:rsidRPr="00A65F82" w:rsidRDefault="00907FC7" w:rsidP="00F5601E">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lang w:val="en-US"/>
        </w:rPr>
        <w:t xml:space="preserve">Supplementary Figure </w:t>
      </w:r>
      <w:r w:rsidR="00027A86">
        <w:rPr>
          <w:rFonts w:asciiTheme="minorHAnsi" w:hAnsiTheme="minorHAnsi" w:cstheme="minorHAnsi"/>
          <w:color w:val="000000" w:themeColor="text1"/>
          <w:sz w:val="22"/>
          <w:szCs w:val="22"/>
          <w:lang w:val="en-US"/>
        </w:rPr>
        <w:t>20</w:t>
      </w:r>
      <w:r w:rsidR="00B7192B" w:rsidRPr="00A65F82">
        <w:rPr>
          <w:rFonts w:asciiTheme="minorHAnsi" w:hAnsiTheme="minorHAnsi" w:cstheme="minorHAnsi"/>
          <w:color w:val="000000" w:themeColor="text1"/>
          <w:sz w:val="22"/>
          <w:szCs w:val="22"/>
          <w:lang w:val="en-US"/>
        </w:rPr>
        <w:t xml:space="preserve">: F1 scores for </w:t>
      </w:r>
      <w:r w:rsidR="002B4349" w:rsidRPr="00A65F82">
        <w:rPr>
          <w:rFonts w:asciiTheme="minorHAnsi" w:hAnsiTheme="minorHAnsi" w:cstheme="minorHAnsi"/>
          <w:color w:val="000000" w:themeColor="text1"/>
          <w:sz w:val="22"/>
          <w:szCs w:val="22"/>
          <w:lang w:val="en-US"/>
        </w:rPr>
        <w:t xml:space="preserve">indel </w:t>
      </w:r>
      <w:r w:rsidR="00B7192B" w:rsidRPr="00A65F82">
        <w:rPr>
          <w:rFonts w:asciiTheme="minorHAnsi" w:hAnsiTheme="minorHAnsi" w:cstheme="minorHAnsi"/>
          <w:color w:val="000000" w:themeColor="text1"/>
          <w:sz w:val="22"/>
          <w:szCs w:val="22"/>
          <w:lang w:val="en-US"/>
        </w:rPr>
        <w:t xml:space="preserve">calls across reference genomes and sequencing technologies for GIAB samples HG001–HG007. This figure summarizes </w:t>
      </w:r>
      <w:r w:rsidR="002B4349" w:rsidRPr="00A65F82">
        <w:rPr>
          <w:rFonts w:asciiTheme="minorHAnsi" w:hAnsiTheme="minorHAnsi" w:cstheme="minorHAnsi"/>
          <w:color w:val="000000" w:themeColor="text1"/>
          <w:sz w:val="22"/>
          <w:szCs w:val="22"/>
          <w:lang w:val="en-US"/>
        </w:rPr>
        <w:t xml:space="preserve">indel </w:t>
      </w:r>
      <w:r w:rsidR="00B7192B" w:rsidRPr="00A65F82">
        <w:rPr>
          <w:rFonts w:asciiTheme="minorHAnsi" w:hAnsiTheme="minorHAnsi" w:cstheme="minorHAnsi"/>
          <w:color w:val="000000" w:themeColor="text1"/>
          <w:sz w:val="22"/>
          <w:szCs w:val="22"/>
          <w:lang w:val="en-US"/>
        </w:rPr>
        <w:t xml:space="preserve">F1 scores for short- and long-read alignments to the linear hg38, HPRC_hg38_d9, and ku_hg38_d12 references. The linear hg38 reference consistently yields the highest </w:t>
      </w:r>
      <w:r w:rsidR="002B4349" w:rsidRPr="00A65F82">
        <w:rPr>
          <w:rFonts w:asciiTheme="minorHAnsi" w:hAnsiTheme="minorHAnsi" w:cstheme="minorHAnsi"/>
          <w:color w:val="000000" w:themeColor="text1"/>
          <w:sz w:val="22"/>
          <w:szCs w:val="22"/>
          <w:lang w:val="en-US"/>
        </w:rPr>
        <w:t xml:space="preserve">indel </w:t>
      </w:r>
      <w:r w:rsidR="00B7192B" w:rsidRPr="00A65F82">
        <w:rPr>
          <w:rFonts w:asciiTheme="minorHAnsi" w:hAnsiTheme="minorHAnsi" w:cstheme="minorHAnsi"/>
          <w:color w:val="000000" w:themeColor="text1"/>
          <w:sz w:val="22"/>
          <w:szCs w:val="22"/>
          <w:lang w:val="en-US"/>
        </w:rPr>
        <w:t xml:space="preserve">F1 scores, reaching up to 0.9961 for short reads and 0.9959 for long reads. In contrast, graph-based references exhibit a performance drop, particularly for long-read inputs, where HPRC and </w:t>
      </w:r>
      <w:r w:rsidR="002B4349" w:rsidRPr="00A65F82">
        <w:rPr>
          <w:rFonts w:asciiTheme="minorHAnsi" w:hAnsiTheme="minorHAnsi" w:cstheme="minorHAnsi"/>
          <w:color w:val="000000" w:themeColor="text1"/>
          <w:sz w:val="22"/>
          <w:szCs w:val="22"/>
          <w:lang w:val="en-US"/>
        </w:rPr>
        <w:t>Emirati T2T pangenome</w:t>
      </w:r>
      <w:r w:rsidR="002B4349" w:rsidRPr="00A65F82" w:rsidDel="002B4349">
        <w:rPr>
          <w:rFonts w:asciiTheme="minorHAnsi" w:hAnsiTheme="minorHAnsi" w:cstheme="minorHAnsi"/>
          <w:color w:val="000000" w:themeColor="text1"/>
          <w:sz w:val="22"/>
          <w:szCs w:val="22"/>
          <w:lang w:val="en-US"/>
        </w:rPr>
        <w:t xml:space="preserve"> </w:t>
      </w:r>
      <w:r w:rsidR="00B7192B" w:rsidRPr="00A65F82">
        <w:rPr>
          <w:rFonts w:asciiTheme="minorHAnsi" w:hAnsiTheme="minorHAnsi" w:cstheme="minorHAnsi"/>
          <w:color w:val="000000" w:themeColor="text1"/>
          <w:sz w:val="22"/>
          <w:szCs w:val="22"/>
          <w:lang w:val="en-US"/>
        </w:rPr>
        <w:t xml:space="preserve">F1 scores can fall below 0.98, and in some samples, below 0.97. For short reads, the differences are more modest, with F1 scores for all references clustering tightly between 0.986 and 0.996. These data highlight the relative robustness of the linear reference in </w:t>
      </w:r>
      <w:r w:rsidR="005F39D7" w:rsidRPr="00A65F82">
        <w:rPr>
          <w:rFonts w:asciiTheme="minorHAnsi" w:hAnsiTheme="minorHAnsi" w:cstheme="minorHAnsi"/>
          <w:color w:val="000000" w:themeColor="text1"/>
          <w:sz w:val="22"/>
          <w:szCs w:val="22"/>
          <w:lang w:val="en-US"/>
        </w:rPr>
        <w:t xml:space="preserve">indel </w:t>
      </w:r>
      <w:r w:rsidR="00B7192B" w:rsidRPr="00A65F82">
        <w:rPr>
          <w:rFonts w:asciiTheme="minorHAnsi" w:hAnsiTheme="minorHAnsi" w:cstheme="minorHAnsi"/>
          <w:color w:val="000000" w:themeColor="text1"/>
          <w:sz w:val="22"/>
          <w:szCs w:val="22"/>
          <w:lang w:val="en-US"/>
        </w:rPr>
        <w:t>detection, especially for long-read sequencing, and suggest further optimization is needed for graph-based approaches in complex variant contexts.</w:t>
      </w:r>
    </w:p>
    <w:p w14:paraId="3D33F192" w14:textId="3AEC9D76" w:rsidR="00BD6549" w:rsidRPr="00A65F82" w:rsidRDefault="00BD6549" w:rsidP="00F5601E">
      <w:pPr>
        <w:keepNext/>
        <w:jc w:val="both"/>
        <w:rPr>
          <w:rFonts w:asciiTheme="minorHAnsi" w:hAnsiTheme="minorHAnsi" w:cstheme="minorHAnsi"/>
          <w:color w:val="000000" w:themeColor="text1"/>
          <w:sz w:val="22"/>
          <w:szCs w:val="22"/>
        </w:rPr>
      </w:pPr>
    </w:p>
    <w:p w14:paraId="6F88CA7B" w14:textId="77777777" w:rsidR="004959B3" w:rsidRPr="00A65F82" w:rsidRDefault="004959B3" w:rsidP="00F5601E">
      <w:pPr>
        <w:jc w:val="both"/>
        <w:rPr>
          <w:rFonts w:asciiTheme="minorHAnsi" w:hAnsiTheme="minorHAnsi" w:cstheme="minorHAnsi"/>
          <w:color w:val="000000" w:themeColor="text1"/>
          <w:sz w:val="22"/>
          <w:szCs w:val="22"/>
        </w:rPr>
      </w:pPr>
    </w:p>
    <w:p w14:paraId="2A1EF4FD" w14:textId="77777777" w:rsidR="008202D4" w:rsidRPr="00A65F82" w:rsidRDefault="004959B3" w:rsidP="00F5601E">
      <w:pPr>
        <w:keepNext/>
        <w:jc w:val="both"/>
        <w:rPr>
          <w:rFonts w:asciiTheme="minorHAnsi" w:hAnsiTheme="minorHAnsi" w:cstheme="minorHAnsi"/>
          <w:color w:val="000000" w:themeColor="text1"/>
          <w:sz w:val="22"/>
          <w:szCs w:val="22"/>
        </w:rPr>
      </w:pPr>
      <w:r w:rsidRPr="00A65F82">
        <w:rPr>
          <w:rFonts w:asciiTheme="minorHAnsi" w:hAnsiTheme="minorHAnsi" w:cstheme="minorHAnsi"/>
          <w:noProof/>
          <w:color w:val="000000" w:themeColor="text1"/>
          <w:sz w:val="22"/>
          <w:szCs w:val="22"/>
          <w14:ligatures w14:val="standardContextual"/>
        </w:rPr>
        <w:lastRenderedPageBreak/>
        <w:drawing>
          <wp:inline distT="0" distB="0" distL="0" distR="0" wp14:anchorId="6CBBC03C" wp14:editId="40F9B1B6">
            <wp:extent cx="5639134" cy="3432175"/>
            <wp:effectExtent l="0" t="0" r="0" b="0"/>
            <wp:docPr id="87567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76285" name="Picture 1"/>
                    <pic:cNvPicPr/>
                  </pic:nvPicPr>
                  <pic:blipFill>
                    <a:blip r:embed="rId27"/>
                    <a:stretch>
                      <a:fillRect/>
                    </a:stretch>
                  </pic:blipFill>
                  <pic:spPr>
                    <a:xfrm>
                      <a:off x="0" y="0"/>
                      <a:ext cx="5639134" cy="3432175"/>
                    </a:xfrm>
                    <a:prstGeom prst="rect">
                      <a:avLst/>
                    </a:prstGeom>
                  </pic:spPr>
                </pic:pic>
              </a:graphicData>
            </a:graphic>
          </wp:inline>
        </w:drawing>
      </w:r>
    </w:p>
    <w:p w14:paraId="1A4A895E" w14:textId="5E2A6EB3" w:rsidR="00715801" w:rsidRPr="0048184C" w:rsidRDefault="008202D4" w:rsidP="0048184C">
      <w:pPr>
        <w:pStyle w:val="Caption"/>
        <w:jc w:val="both"/>
        <w:rPr>
          <w:rFonts w:asciiTheme="minorHAnsi" w:hAnsiTheme="minorHAnsi" w:cstheme="minorHAnsi"/>
          <w:color w:val="000000" w:themeColor="text1"/>
          <w:sz w:val="22"/>
          <w:szCs w:val="22"/>
        </w:rPr>
      </w:pPr>
      <w:r w:rsidRPr="00A65F82">
        <w:rPr>
          <w:rFonts w:asciiTheme="minorHAnsi" w:hAnsiTheme="minorHAnsi" w:cstheme="minorHAnsi"/>
          <w:color w:val="000000" w:themeColor="text1"/>
          <w:sz w:val="22"/>
          <w:szCs w:val="22"/>
        </w:rPr>
        <w:t>Supplementary Figur</w:t>
      </w:r>
      <w:r w:rsidR="00C1654D" w:rsidRPr="00A65F82">
        <w:rPr>
          <w:rFonts w:asciiTheme="minorHAnsi" w:hAnsiTheme="minorHAnsi" w:cstheme="minorHAnsi"/>
          <w:color w:val="000000" w:themeColor="text1"/>
          <w:sz w:val="22"/>
          <w:szCs w:val="22"/>
        </w:rPr>
        <w:t xml:space="preserve">e </w:t>
      </w:r>
      <w:r w:rsidR="00027A86">
        <w:rPr>
          <w:rFonts w:asciiTheme="minorHAnsi" w:hAnsiTheme="minorHAnsi" w:cstheme="minorHAnsi"/>
          <w:color w:val="000000" w:themeColor="text1"/>
          <w:sz w:val="22"/>
          <w:szCs w:val="22"/>
        </w:rPr>
        <w:t>21</w:t>
      </w:r>
      <w:r w:rsidRPr="00A65F82">
        <w:rPr>
          <w:rFonts w:asciiTheme="minorHAnsi" w:hAnsiTheme="minorHAnsi" w:cstheme="minorHAnsi"/>
          <w:color w:val="000000" w:themeColor="text1"/>
          <w:sz w:val="22"/>
          <w:szCs w:val="22"/>
        </w:rPr>
        <w:t>:</w:t>
      </w:r>
      <w:r w:rsidR="003F11F7" w:rsidRPr="00A65F82">
        <w:rPr>
          <w:rFonts w:asciiTheme="minorHAnsi" w:hAnsiTheme="minorHAnsi" w:cstheme="minorHAnsi"/>
          <w:color w:val="000000" w:themeColor="text1"/>
          <w:sz w:val="22"/>
          <w:szCs w:val="22"/>
        </w:rPr>
        <w:t xml:space="preserve"> Variant-calling workflows for short-read data. (A) </w:t>
      </w:r>
      <w:proofErr w:type="spellStart"/>
      <w:r w:rsidR="003F11F7" w:rsidRPr="00A65F82">
        <w:rPr>
          <w:rFonts w:asciiTheme="minorHAnsi" w:hAnsiTheme="minorHAnsi" w:cstheme="minorHAnsi"/>
          <w:color w:val="000000" w:themeColor="text1"/>
          <w:sz w:val="22"/>
          <w:szCs w:val="22"/>
        </w:rPr>
        <w:t>Novaseq</w:t>
      </w:r>
      <w:proofErr w:type="spellEnd"/>
      <w:r w:rsidR="003F11F7" w:rsidRPr="00A65F82">
        <w:rPr>
          <w:rFonts w:asciiTheme="minorHAnsi" w:hAnsiTheme="minorHAnsi" w:cstheme="minorHAnsi"/>
          <w:color w:val="000000" w:themeColor="text1"/>
          <w:sz w:val="22"/>
          <w:szCs w:val="22"/>
        </w:rPr>
        <w:t xml:space="preserve"> 6000 short-read paired-end FASTQs (Sample1_R1/R2) for 119 in-house Emirati samples are aligned to population graph references (HPRC v1.1 multi-assembly GRCh38 and </w:t>
      </w:r>
      <w:r w:rsidR="00F0441D" w:rsidRPr="00A65F82">
        <w:rPr>
          <w:rFonts w:asciiTheme="minorHAnsi" w:hAnsiTheme="minorHAnsi" w:cstheme="minorHAnsi"/>
          <w:color w:val="000000" w:themeColor="text1"/>
          <w:sz w:val="22"/>
          <w:szCs w:val="22"/>
          <w:lang w:val="en-US"/>
        </w:rPr>
        <w:t>Emirati T2T pangenome</w:t>
      </w:r>
      <w:r w:rsidR="003F11F7" w:rsidRPr="00A65F82">
        <w:rPr>
          <w:rFonts w:asciiTheme="minorHAnsi" w:hAnsiTheme="minorHAnsi" w:cstheme="minorHAnsi"/>
          <w:color w:val="000000" w:themeColor="text1"/>
          <w:sz w:val="22"/>
          <w:szCs w:val="22"/>
        </w:rPr>
        <w:t xml:space="preserve"> graphs for hg38/CHM13) using vg giraffe, variants are then called with </w:t>
      </w:r>
      <w:proofErr w:type="spellStart"/>
      <w:r w:rsidR="003F11F7" w:rsidRPr="00A65F82">
        <w:rPr>
          <w:rFonts w:asciiTheme="minorHAnsi" w:hAnsiTheme="minorHAnsi" w:cstheme="minorHAnsi"/>
          <w:color w:val="000000" w:themeColor="text1"/>
          <w:sz w:val="22"/>
          <w:szCs w:val="22"/>
        </w:rPr>
        <w:t>sentieon</w:t>
      </w:r>
      <w:proofErr w:type="spellEnd"/>
      <w:r w:rsidR="003F11F7" w:rsidRPr="00A65F82">
        <w:rPr>
          <w:rFonts w:asciiTheme="minorHAnsi" w:hAnsiTheme="minorHAnsi" w:cstheme="minorHAnsi"/>
          <w:color w:val="000000" w:themeColor="text1"/>
          <w:sz w:val="22"/>
          <w:szCs w:val="22"/>
        </w:rPr>
        <w:t>-cli to yield compressed VCFs, and run-level metrics (mapped reads/bases, SN</w:t>
      </w:r>
      <w:r w:rsidR="009A4AE4" w:rsidRPr="00A65F82">
        <w:rPr>
          <w:rFonts w:asciiTheme="minorHAnsi" w:hAnsiTheme="minorHAnsi" w:cstheme="minorHAnsi"/>
          <w:color w:val="000000" w:themeColor="text1"/>
          <w:sz w:val="22"/>
          <w:szCs w:val="22"/>
        </w:rPr>
        <w:t>V</w:t>
      </w:r>
      <w:r w:rsidR="003F11F7" w:rsidRPr="00A65F82">
        <w:rPr>
          <w:rFonts w:asciiTheme="minorHAnsi" w:hAnsiTheme="minorHAnsi" w:cstheme="minorHAnsi"/>
          <w:color w:val="000000" w:themeColor="text1"/>
          <w:sz w:val="22"/>
          <w:szCs w:val="22"/>
        </w:rPr>
        <w:t>/</w:t>
      </w:r>
      <w:r w:rsidR="009A4AE4" w:rsidRPr="00A65F82">
        <w:rPr>
          <w:rFonts w:asciiTheme="minorHAnsi" w:hAnsiTheme="minorHAnsi" w:cstheme="minorHAnsi"/>
          <w:color w:val="000000" w:themeColor="text1"/>
          <w:sz w:val="22"/>
          <w:szCs w:val="22"/>
        </w:rPr>
        <w:t>indel</w:t>
      </w:r>
      <w:r w:rsidR="003F11F7" w:rsidRPr="00A65F82">
        <w:rPr>
          <w:rFonts w:asciiTheme="minorHAnsi" w:hAnsiTheme="minorHAnsi" w:cstheme="minorHAnsi"/>
          <w:color w:val="000000" w:themeColor="text1"/>
          <w:sz w:val="22"/>
          <w:szCs w:val="22"/>
        </w:rPr>
        <w:t xml:space="preserve"> counts) are collected. (B) Truth-set samples (HG001</w:t>
      </w:r>
      <w:r w:rsidR="009A4AE4" w:rsidRPr="00A65F82">
        <w:rPr>
          <w:rFonts w:asciiTheme="minorHAnsi" w:hAnsiTheme="minorHAnsi" w:cstheme="minorHAnsi"/>
          <w:color w:val="000000" w:themeColor="text1"/>
          <w:sz w:val="22"/>
          <w:szCs w:val="22"/>
        </w:rPr>
        <w:t>-</w:t>
      </w:r>
      <w:r w:rsidR="003F11F7" w:rsidRPr="00A65F82">
        <w:rPr>
          <w:rFonts w:asciiTheme="minorHAnsi" w:hAnsiTheme="minorHAnsi" w:cstheme="minorHAnsi"/>
          <w:color w:val="000000" w:themeColor="text1"/>
          <w:sz w:val="22"/>
          <w:szCs w:val="22"/>
        </w:rPr>
        <w:t>HG007) are processed with the same alignment and calling steps; resulting VCFs are assessed against the GIAB truth VCF (HGxxx_GRCh38_1_22_v4.2.1) using hap.py to report precision, recall, and F1-score.</w:t>
      </w:r>
    </w:p>
    <w:sectPr w:rsidR="00715801" w:rsidRPr="0048184C" w:rsidSect="00C014B1">
      <w:pgSz w:w="11906" w:h="16838"/>
      <w:pgMar w:top="1440" w:right="1440" w:bottom="1440" w:left="1440" w:header="720" w:footer="102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36472"/>
    <w:multiLevelType w:val="multilevel"/>
    <w:tmpl w:val="8FE0EA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A20DD8"/>
    <w:multiLevelType w:val="multilevel"/>
    <w:tmpl w:val="79C2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104B77"/>
    <w:multiLevelType w:val="multilevel"/>
    <w:tmpl w:val="8F2AB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5540679">
    <w:abstractNumId w:val="2"/>
  </w:num>
  <w:num w:numId="2" w16cid:durableId="1763843181">
    <w:abstractNumId w:val="1"/>
  </w:num>
  <w:num w:numId="3" w16cid:durableId="452748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21D"/>
    <w:rsid w:val="00000801"/>
    <w:rsid w:val="000025CC"/>
    <w:rsid w:val="00010D02"/>
    <w:rsid w:val="00020798"/>
    <w:rsid w:val="00020A90"/>
    <w:rsid w:val="00024CDD"/>
    <w:rsid w:val="00024FF9"/>
    <w:rsid w:val="00027A86"/>
    <w:rsid w:val="0004739D"/>
    <w:rsid w:val="00047E7F"/>
    <w:rsid w:val="0005309D"/>
    <w:rsid w:val="000552B1"/>
    <w:rsid w:val="00057C77"/>
    <w:rsid w:val="00076E69"/>
    <w:rsid w:val="000823F5"/>
    <w:rsid w:val="00086A0C"/>
    <w:rsid w:val="00087DB5"/>
    <w:rsid w:val="00095ABC"/>
    <w:rsid w:val="000A0965"/>
    <w:rsid w:val="000A5402"/>
    <w:rsid w:val="000B7853"/>
    <w:rsid w:val="000C2AA0"/>
    <w:rsid w:val="000C7E03"/>
    <w:rsid w:val="000D2E8D"/>
    <w:rsid w:val="000D34CE"/>
    <w:rsid w:val="000D4215"/>
    <w:rsid w:val="000D569A"/>
    <w:rsid w:val="000E0D84"/>
    <w:rsid w:val="000F2C01"/>
    <w:rsid w:val="001247CF"/>
    <w:rsid w:val="001312F8"/>
    <w:rsid w:val="0013512E"/>
    <w:rsid w:val="00137C75"/>
    <w:rsid w:val="001416C7"/>
    <w:rsid w:val="001416CA"/>
    <w:rsid w:val="00141DCF"/>
    <w:rsid w:val="0014503C"/>
    <w:rsid w:val="00163BED"/>
    <w:rsid w:val="001652A7"/>
    <w:rsid w:val="00180518"/>
    <w:rsid w:val="00182E07"/>
    <w:rsid w:val="001877CA"/>
    <w:rsid w:val="00192CD3"/>
    <w:rsid w:val="00192E12"/>
    <w:rsid w:val="00195925"/>
    <w:rsid w:val="00197220"/>
    <w:rsid w:val="001A3DFA"/>
    <w:rsid w:val="001B39BB"/>
    <w:rsid w:val="001B499A"/>
    <w:rsid w:val="001C0D3C"/>
    <w:rsid w:val="001C294F"/>
    <w:rsid w:val="001D2858"/>
    <w:rsid w:val="001D5693"/>
    <w:rsid w:val="001E6E33"/>
    <w:rsid w:val="001F5FB7"/>
    <w:rsid w:val="002076F4"/>
    <w:rsid w:val="0022006C"/>
    <w:rsid w:val="002235A2"/>
    <w:rsid w:val="00231E48"/>
    <w:rsid w:val="00237820"/>
    <w:rsid w:val="00243A05"/>
    <w:rsid w:val="00245CC3"/>
    <w:rsid w:val="002540BC"/>
    <w:rsid w:val="00256149"/>
    <w:rsid w:val="00257E74"/>
    <w:rsid w:val="00257EB0"/>
    <w:rsid w:val="00262354"/>
    <w:rsid w:val="0027417A"/>
    <w:rsid w:val="002771B9"/>
    <w:rsid w:val="002833E9"/>
    <w:rsid w:val="002841F4"/>
    <w:rsid w:val="00284EF4"/>
    <w:rsid w:val="002941CA"/>
    <w:rsid w:val="00295ED7"/>
    <w:rsid w:val="00296624"/>
    <w:rsid w:val="0029769B"/>
    <w:rsid w:val="00297E97"/>
    <w:rsid w:val="002A304F"/>
    <w:rsid w:val="002A4521"/>
    <w:rsid w:val="002A6431"/>
    <w:rsid w:val="002B4349"/>
    <w:rsid w:val="002B55BD"/>
    <w:rsid w:val="002C36C8"/>
    <w:rsid w:val="002C7043"/>
    <w:rsid w:val="002D367A"/>
    <w:rsid w:val="002E48FD"/>
    <w:rsid w:val="002E5A4F"/>
    <w:rsid w:val="002E5FBD"/>
    <w:rsid w:val="002F1770"/>
    <w:rsid w:val="00310442"/>
    <w:rsid w:val="003155FB"/>
    <w:rsid w:val="003247B7"/>
    <w:rsid w:val="00331985"/>
    <w:rsid w:val="003459FE"/>
    <w:rsid w:val="00352C5A"/>
    <w:rsid w:val="00353EB3"/>
    <w:rsid w:val="00354E6E"/>
    <w:rsid w:val="00361075"/>
    <w:rsid w:val="00364727"/>
    <w:rsid w:val="0036582B"/>
    <w:rsid w:val="003811BF"/>
    <w:rsid w:val="00381579"/>
    <w:rsid w:val="0039040D"/>
    <w:rsid w:val="0039293C"/>
    <w:rsid w:val="003A512A"/>
    <w:rsid w:val="003A6B1B"/>
    <w:rsid w:val="003C6F80"/>
    <w:rsid w:val="003D0E9D"/>
    <w:rsid w:val="003E0207"/>
    <w:rsid w:val="003F11F7"/>
    <w:rsid w:val="003F3863"/>
    <w:rsid w:val="0040040F"/>
    <w:rsid w:val="00401CDA"/>
    <w:rsid w:val="00402E11"/>
    <w:rsid w:val="004074A8"/>
    <w:rsid w:val="004115B3"/>
    <w:rsid w:val="0041364D"/>
    <w:rsid w:val="00420D58"/>
    <w:rsid w:val="00423ACB"/>
    <w:rsid w:val="00423D03"/>
    <w:rsid w:val="00437F11"/>
    <w:rsid w:val="004409B4"/>
    <w:rsid w:val="00440E9C"/>
    <w:rsid w:val="00443D37"/>
    <w:rsid w:val="004537B8"/>
    <w:rsid w:val="004673B5"/>
    <w:rsid w:val="0048184C"/>
    <w:rsid w:val="0048190D"/>
    <w:rsid w:val="00484A98"/>
    <w:rsid w:val="004863C2"/>
    <w:rsid w:val="0049187B"/>
    <w:rsid w:val="00494203"/>
    <w:rsid w:val="004959B3"/>
    <w:rsid w:val="004A3874"/>
    <w:rsid w:val="004B5A18"/>
    <w:rsid w:val="004C3721"/>
    <w:rsid w:val="004C55AD"/>
    <w:rsid w:val="004D3A78"/>
    <w:rsid w:val="004D4699"/>
    <w:rsid w:val="004E0B78"/>
    <w:rsid w:val="004E1365"/>
    <w:rsid w:val="004E42F8"/>
    <w:rsid w:val="005033ED"/>
    <w:rsid w:val="00506856"/>
    <w:rsid w:val="00510D39"/>
    <w:rsid w:val="00513A19"/>
    <w:rsid w:val="0052080D"/>
    <w:rsid w:val="00520A10"/>
    <w:rsid w:val="00520FBE"/>
    <w:rsid w:val="00522835"/>
    <w:rsid w:val="00524F97"/>
    <w:rsid w:val="0052573B"/>
    <w:rsid w:val="005457F9"/>
    <w:rsid w:val="00547902"/>
    <w:rsid w:val="00552589"/>
    <w:rsid w:val="00552C70"/>
    <w:rsid w:val="005607C7"/>
    <w:rsid w:val="00563740"/>
    <w:rsid w:val="00571657"/>
    <w:rsid w:val="00582825"/>
    <w:rsid w:val="005A5571"/>
    <w:rsid w:val="005A5949"/>
    <w:rsid w:val="005A7B48"/>
    <w:rsid w:val="005B06E3"/>
    <w:rsid w:val="005B721A"/>
    <w:rsid w:val="005C338C"/>
    <w:rsid w:val="005D3EEB"/>
    <w:rsid w:val="005D79FE"/>
    <w:rsid w:val="005E1208"/>
    <w:rsid w:val="005E7604"/>
    <w:rsid w:val="005F1F80"/>
    <w:rsid w:val="005F39D7"/>
    <w:rsid w:val="005F6928"/>
    <w:rsid w:val="006022E4"/>
    <w:rsid w:val="00602C0E"/>
    <w:rsid w:val="00625142"/>
    <w:rsid w:val="00627CC9"/>
    <w:rsid w:val="00644BBF"/>
    <w:rsid w:val="00647771"/>
    <w:rsid w:val="006522BD"/>
    <w:rsid w:val="00663A03"/>
    <w:rsid w:val="00672C58"/>
    <w:rsid w:val="00681427"/>
    <w:rsid w:val="006A3B68"/>
    <w:rsid w:val="006A7FD7"/>
    <w:rsid w:val="006B5F37"/>
    <w:rsid w:val="006C1E5F"/>
    <w:rsid w:val="006C79E5"/>
    <w:rsid w:val="006D0819"/>
    <w:rsid w:val="006D257E"/>
    <w:rsid w:val="006D2713"/>
    <w:rsid w:val="006E2419"/>
    <w:rsid w:val="006E3399"/>
    <w:rsid w:val="006F1025"/>
    <w:rsid w:val="006F20FF"/>
    <w:rsid w:val="006F6B85"/>
    <w:rsid w:val="00707A37"/>
    <w:rsid w:val="00713CEF"/>
    <w:rsid w:val="0071559B"/>
    <w:rsid w:val="00715801"/>
    <w:rsid w:val="0071710C"/>
    <w:rsid w:val="00730B45"/>
    <w:rsid w:val="00743D23"/>
    <w:rsid w:val="007461DB"/>
    <w:rsid w:val="007509CB"/>
    <w:rsid w:val="00750FD0"/>
    <w:rsid w:val="00755854"/>
    <w:rsid w:val="00755D79"/>
    <w:rsid w:val="00761A62"/>
    <w:rsid w:val="007649A0"/>
    <w:rsid w:val="0079289A"/>
    <w:rsid w:val="007A3071"/>
    <w:rsid w:val="007A491F"/>
    <w:rsid w:val="007C0ED7"/>
    <w:rsid w:val="007C2DDC"/>
    <w:rsid w:val="007C7832"/>
    <w:rsid w:val="007E35FB"/>
    <w:rsid w:val="007E5082"/>
    <w:rsid w:val="008101B1"/>
    <w:rsid w:val="008160ED"/>
    <w:rsid w:val="00817496"/>
    <w:rsid w:val="008202D4"/>
    <w:rsid w:val="008217D7"/>
    <w:rsid w:val="00821CC8"/>
    <w:rsid w:val="008245FE"/>
    <w:rsid w:val="00825A60"/>
    <w:rsid w:val="00827AAB"/>
    <w:rsid w:val="00831619"/>
    <w:rsid w:val="00833876"/>
    <w:rsid w:val="008419AC"/>
    <w:rsid w:val="00851243"/>
    <w:rsid w:val="00852428"/>
    <w:rsid w:val="00853C37"/>
    <w:rsid w:val="008611EB"/>
    <w:rsid w:val="00861955"/>
    <w:rsid w:val="00875E75"/>
    <w:rsid w:val="00876082"/>
    <w:rsid w:val="00880BAF"/>
    <w:rsid w:val="00882071"/>
    <w:rsid w:val="008833B1"/>
    <w:rsid w:val="008844E7"/>
    <w:rsid w:val="008A7F28"/>
    <w:rsid w:val="008B1187"/>
    <w:rsid w:val="008B1C57"/>
    <w:rsid w:val="008B47AD"/>
    <w:rsid w:val="008C5626"/>
    <w:rsid w:val="008D1471"/>
    <w:rsid w:val="008F302F"/>
    <w:rsid w:val="008F3F9E"/>
    <w:rsid w:val="00902E8C"/>
    <w:rsid w:val="009031D7"/>
    <w:rsid w:val="00907FC7"/>
    <w:rsid w:val="00924C9F"/>
    <w:rsid w:val="009251F6"/>
    <w:rsid w:val="009316BF"/>
    <w:rsid w:val="00931A4F"/>
    <w:rsid w:val="00935E67"/>
    <w:rsid w:val="00940746"/>
    <w:rsid w:val="009524F0"/>
    <w:rsid w:val="00960220"/>
    <w:rsid w:val="00961DF9"/>
    <w:rsid w:val="009648E8"/>
    <w:rsid w:val="0098227A"/>
    <w:rsid w:val="00984096"/>
    <w:rsid w:val="00984E7A"/>
    <w:rsid w:val="009869C2"/>
    <w:rsid w:val="0099083A"/>
    <w:rsid w:val="009926B4"/>
    <w:rsid w:val="00993517"/>
    <w:rsid w:val="009A4AE4"/>
    <w:rsid w:val="009A5480"/>
    <w:rsid w:val="009C13A8"/>
    <w:rsid w:val="009C321D"/>
    <w:rsid w:val="009D29B6"/>
    <w:rsid w:val="009F32AC"/>
    <w:rsid w:val="009F4B47"/>
    <w:rsid w:val="00A12F50"/>
    <w:rsid w:val="00A132A0"/>
    <w:rsid w:val="00A2021A"/>
    <w:rsid w:val="00A26716"/>
    <w:rsid w:val="00A65F82"/>
    <w:rsid w:val="00A72D84"/>
    <w:rsid w:val="00A811F2"/>
    <w:rsid w:val="00A817ED"/>
    <w:rsid w:val="00A90E99"/>
    <w:rsid w:val="00A92499"/>
    <w:rsid w:val="00A97DE9"/>
    <w:rsid w:val="00AA2193"/>
    <w:rsid w:val="00AB0BDB"/>
    <w:rsid w:val="00AB34B2"/>
    <w:rsid w:val="00AB4B13"/>
    <w:rsid w:val="00AB7E09"/>
    <w:rsid w:val="00AC2061"/>
    <w:rsid w:val="00AC3707"/>
    <w:rsid w:val="00AC7ADC"/>
    <w:rsid w:val="00AE14C9"/>
    <w:rsid w:val="00B061EC"/>
    <w:rsid w:val="00B21D84"/>
    <w:rsid w:val="00B23A19"/>
    <w:rsid w:val="00B26778"/>
    <w:rsid w:val="00B26E46"/>
    <w:rsid w:val="00B271CE"/>
    <w:rsid w:val="00B54955"/>
    <w:rsid w:val="00B63538"/>
    <w:rsid w:val="00B67A29"/>
    <w:rsid w:val="00B7192B"/>
    <w:rsid w:val="00B73871"/>
    <w:rsid w:val="00B75088"/>
    <w:rsid w:val="00B919FE"/>
    <w:rsid w:val="00BA1206"/>
    <w:rsid w:val="00BA287D"/>
    <w:rsid w:val="00BB78CD"/>
    <w:rsid w:val="00BC7CF0"/>
    <w:rsid w:val="00BD36E4"/>
    <w:rsid w:val="00BD5F6E"/>
    <w:rsid w:val="00BD6549"/>
    <w:rsid w:val="00BE1608"/>
    <w:rsid w:val="00BE1CED"/>
    <w:rsid w:val="00BE29A9"/>
    <w:rsid w:val="00BF0AED"/>
    <w:rsid w:val="00BF3E17"/>
    <w:rsid w:val="00BF71E8"/>
    <w:rsid w:val="00C014B1"/>
    <w:rsid w:val="00C12280"/>
    <w:rsid w:val="00C1383B"/>
    <w:rsid w:val="00C1654D"/>
    <w:rsid w:val="00C25F42"/>
    <w:rsid w:val="00C269D3"/>
    <w:rsid w:val="00C279F4"/>
    <w:rsid w:val="00C53FCC"/>
    <w:rsid w:val="00C55BC0"/>
    <w:rsid w:val="00C72C00"/>
    <w:rsid w:val="00C86934"/>
    <w:rsid w:val="00C86C8A"/>
    <w:rsid w:val="00CB52BE"/>
    <w:rsid w:val="00CD35AF"/>
    <w:rsid w:val="00CD3B76"/>
    <w:rsid w:val="00CE307B"/>
    <w:rsid w:val="00CF4AB7"/>
    <w:rsid w:val="00D00443"/>
    <w:rsid w:val="00D0447B"/>
    <w:rsid w:val="00D1038A"/>
    <w:rsid w:val="00D56E94"/>
    <w:rsid w:val="00D60A76"/>
    <w:rsid w:val="00D63CB2"/>
    <w:rsid w:val="00D66F78"/>
    <w:rsid w:val="00DB04A4"/>
    <w:rsid w:val="00DC2477"/>
    <w:rsid w:val="00DC5F5B"/>
    <w:rsid w:val="00DC6649"/>
    <w:rsid w:val="00DD6860"/>
    <w:rsid w:val="00DE243A"/>
    <w:rsid w:val="00DE72E0"/>
    <w:rsid w:val="00DF1E21"/>
    <w:rsid w:val="00DF37DF"/>
    <w:rsid w:val="00E0204D"/>
    <w:rsid w:val="00E05061"/>
    <w:rsid w:val="00E21B6B"/>
    <w:rsid w:val="00E21FB7"/>
    <w:rsid w:val="00E2372C"/>
    <w:rsid w:val="00E26082"/>
    <w:rsid w:val="00E3737D"/>
    <w:rsid w:val="00E37D2F"/>
    <w:rsid w:val="00E4055A"/>
    <w:rsid w:val="00E45674"/>
    <w:rsid w:val="00E533AB"/>
    <w:rsid w:val="00E5593F"/>
    <w:rsid w:val="00E61214"/>
    <w:rsid w:val="00E61D44"/>
    <w:rsid w:val="00E62F9B"/>
    <w:rsid w:val="00E63EC0"/>
    <w:rsid w:val="00E65626"/>
    <w:rsid w:val="00E66035"/>
    <w:rsid w:val="00E75484"/>
    <w:rsid w:val="00E81564"/>
    <w:rsid w:val="00E81D9D"/>
    <w:rsid w:val="00E85E23"/>
    <w:rsid w:val="00E87164"/>
    <w:rsid w:val="00EA06A3"/>
    <w:rsid w:val="00EA39C0"/>
    <w:rsid w:val="00EB61DD"/>
    <w:rsid w:val="00EB75D1"/>
    <w:rsid w:val="00EB78BF"/>
    <w:rsid w:val="00EC30DA"/>
    <w:rsid w:val="00EC6773"/>
    <w:rsid w:val="00ED1E0A"/>
    <w:rsid w:val="00ED79C2"/>
    <w:rsid w:val="00EE009E"/>
    <w:rsid w:val="00EF37BB"/>
    <w:rsid w:val="00EF6D10"/>
    <w:rsid w:val="00F015D0"/>
    <w:rsid w:val="00F0441D"/>
    <w:rsid w:val="00F07F33"/>
    <w:rsid w:val="00F107F9"/>
    <w:rsid w:val="00F132AC"/>
    <w:rsid w:val="00F14B52"/>
    <w:rsid w:val="00F31440"/>
    <w:rsid w:val="00F50B94"/>
    <w:rsid w:val="00F5601E"/>
    <w:rsid w:val="00F63560"/>
    <w:rsid w:val="00F66086"/>
    <w:rsid w:val="00F7215E"/>
    <w:rsid w:val="00F77C3B"/>
    <w:rsid w:val="00F87D14"/>
    <w:rsid w:val="00FA6A4C"/>
    <w:rsid w:val="00FB627A"/>
    <w:rsid w:val="00FD2D4D"/>
    <w:rsid w:val="00FD439F"/>
    <w:rsid w:val="00FD5C46"/>
    <w:rsid w:val="00FD6604"/>
    <w:rsid w:val="00FD7FAE"/>
    <w:rsid w:val="00FE6D92"/>
    <w:rsid w:val="00FE7829"/>
    <w:rsid w:val="00FF1F09"/>
    <w:rsid w:val="010D0C92"/>
    <w:rsid w:val="0233B471"/>
    <w:rsid w:val="0235355F"/>
    <w:rsid w:val="0301DBD8"/>
    <w:rsid w:val="0331F16C"/>
    <w:rsid w:val="03CAFF29"/>
    <w:rsid w:val="050F977F"/>
    <w:rsid w:val="05F8CC5C"/>
    <w:rsid w:val="06397C9A"/>
    <w:rsid w:val="06A69A96"/>
    <w:rsid w:val="07DAC703"/>
    <w:rsid w:val="08184C61"/>
    <w:rsid w:val="087ACBE4"/>
    <w:rsid w:val="08AB1740"/>
    <w:rsid w:val="09A1D1E3"/>
    <w:rsid w:val="0A413119"/>
    <w:rsid w:val="0B0CEDBD"/>
    <w:rsid w:val="0B403755"/>
    <w:rsid w:val="0B424758"/>
    <w:rsid w:val="0BDD017A"/>
    <w:rsid w:val="0D0D30FA"/>
    <w:rsid w:val="0D391850"/>
    <w:rsid w:val="0DF186A4"/>
    <w:rsid w:val="0EB46422"/>
    <w:rsid w:val="0F692AAD"/>
    <w:rsid w:val="0F6BBC24"/>
    <w:rsid w:val="0F856E4E"/>
    <w:rsid w:val="0FEA9760"/>
    <w:rsid w:val="171AA3B4"/>
    <w:rsid w:val="17436357"/>
    <w:rsid w:val="17A8874B"/>
    <w:rsid w:val="17B67508"/>
    <w:rsid w:val="18924844"/>
    <w:rsid w:val="18EB4C3C"/>
    <w:rsid w:val="1980F6C8"/>
    <w:rsid w:val="1B6AC0FC"/>
    <w:rsid w:val="1DD7EDC0"/>
    <w:rsid w:val="1EE0C022"/>
    <w:rsid w:val="1F03C433"/>
    <w:rsid w:val="1F4F413A"/>
    <w:rsid w:val="1F71BFCB"/>
    <w:rsid w:val="202B0C3B"/>
    <w:rsid w:val="21E00DF2"/>
    <w:rsid w:val="2246F88D"/>
    <w:rsid w:val="22A6438C"/>
    <w:rsid w:val="241909E7"/>
    <w:rsid w:val="24B48125"/>
    <w:rsid w:val="25D7B0F3"/>
    <w:rsid w:val="289778BE"/>
    <w:rsid w:val="28F0B038"/>
    <w:rsid w:val="29AC42E2"/>
    <w:rsid w:val="2BB9EC80"/>
    <w:rsid w:val="2C68A071"/>
    <w:rsid w:val="2E4938A9"/>
    <w:rsid w:val="2F2D2A8B"/>
    <w:rsid w:val="2F7A3B09"/>
    <w:rsid w:val="31358F68"/>
    <w:rsid w:val="3216EDCF"/>
    <w:rsid w:val="34E7FE6A"/>
    <w:rsid w:val="34E98A58"/>
    <w:rsid w:val="37C75089"/>
    <w:rsid w:val="38AD4915"/>
    <w:rsid w:val="39163917"/>
    <w:rsid w:val="3A2A76E0"/>
    <w:rsid w:val="3A713FAB"/>
    <w:rsid w:val="3C9DDFF1"/>
    <w:rsid w:val="3DADEEF8"/>
    <w:rsid w:val="4161FAA7"/>
    <w:rsid w:val="41628FC5"/>
    <w:rsid w:val="42487480"/>
    <w:rsid w:val="429405FD"/>
    <w:rsid w:val="429F7243"/>
    <w:rsid w:val="438ECF3F"/>
    <w:rsid w:val="43C5A739"/>
    <w:rsid w:val="4443E388"/>
    <w:rsid w:val="44B28C53"/>
    <w:rsid w:val="46FC8C03"/>
    <w:rsid w:val="49C65C0C"/>
    <w:rsid w:val="4AC87D69"/>
    <w:rsid w:val="4B37E23E"/>
    <w:rsid w:val="4D6FBB4C"/>
    <w:rsid w:val="4DFD239B"/>
    <w:rsid w:val="4E8EAFEF"/>
    <w:rsid w:val="4EEA86B2"/>
    <w:rsid w:val="4F0A7C8A"/>
    <w:rsid w:val="510593EE"/>
    <w:rsid w:val="51A1EB6E"/>
    <w:rsid w:val="545DCF20"/>
    <w:rsid w:val="54FC24BE"/>
    <w:rsid w:val="570AE21F"/>
    <w:rsid w:val="58A325F0"/>
    <w:rsid w:val="58F50871"/>
    <w:rsid w:val="59C0E63F"/>
    <w:rsid w:val="5BA3EFAF"/>
    <w:rsid w:val="5C4C75EB"/>
    <w:rsid w:val="5C6A7B95"/>
    <w:rsid w:val="61274F83"/>
    <w:rsid w:val="633B28C0"/>
    <w:rsid w:val="63D5B86E"/>
    <w:rsid w:val="6419736A"/>
    <w:rsid w:val="661C7A05"/>
    <w:rsid w:val="66C56296"/>
    <w:rsid w:val="69E02CDE"/>
    <w:rsid w:val="6A93D86B"/>
    <w:rsid w:val="6C0CA437"/>
    <w:rsid w:val="6D4EE357"/>
    <w:rsid w:val="6D94A8A4"/>
    <w:rsid w:val="6E828C1E"/>
    <w:rsid w:val="6E99F6D7"/>
    <w:rsid w:val="70074074"/>
    <w:rsid w:val="70580F05"/>
    <w:rsid w:val="70C22549"/>
    <w:rsid w:val="70FD748C"/>
    <w:rsid w:val="72686145"/>
    <w:rsid w:val="738A7EAA"/>
    <w:rsid w:val="76C44907"/>
    <w:rsid w:val="770D8DCD"/>
    <w:rsid w:val="77413F4C"/>
    <w:rsid w:val="7754601D"/>
    <w:rsid w:val="77B117B3"/>
    <w:rsid w:val="782FEB81"/>
    <w:rsid w:val="78874F67"/>
    <w:rsid w:val="78CFD8E1"/>
    <w:rsid w:val="7931E247"/>
    <w:rsid w:val="79F53319"/>
    <w:rsid w:val="7A25CA78"/>
    <w:rsid w:val="7A2E9799"/>
    <w:rsid w:val="7BE2076C"/>
    <w:rsid w:val="7D4138DA"/>
    <w:rsid w:val="7E96AD3D"/>
    <w:rsid w:val="7EE2528F"/>
    <w:rsid w:val="7F9996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F4D07"/>
  <w15:docId w15:val="{A7B32EB6-6722-EF42-9677-C5E4A131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88"/>
    <w:rPr>
      <w:rFonts w:ascii="Times New Roman" w:eastAsia="Times New Roman" w:hAnsi="Times New Roman" w:cs="Times New Roman"/>
      <w:kern w:val="0"/>
      <w:lang w:val="en-AU"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04A4"/>
    <w:pPr>
      <w:spacing w:after="200"/>
    </w:pPr>
    <w:rPr>
      <w:i/>
      <w:iCs/>
      <w:color w:val="44546A" w:themeColor="text2"/>
      <w:sz w:val="18"/>
      <w:szCs w:val="18"/>
    </w:rPr>
  </w:style>
  <w:style w:type="paragraph" w:styleId="TableofFigures">
    <w:name w:val="table of figures"/>
    <w:basedOn w:val="Normal"/>
    <w:next w:val="Normal"/>
    <w:uiPriority w:val="99"/>
    <w:unhideWhenUsed/>
    <w:rsid w:val="00C1383B"/>
    <w:pPr>
      <w:ind w:left="480" w:hanging="480"/>
    </w:pPr>
    <w:rPr>
      <w:rFonts w:cstheme="minorHAnsi"/>
      <w:b/>
      <w:bCs/>
      <w:sz w:val="20"/>
    </w:rPr>
  </w:style>
  <w:style w:type="character" w:styleId="Hyperlink">
    <w:name w:val="Hyperlink"/>
    <w:basedOn w:val="DefaultParagraphFont"/>
    <w:uiPriority w:val="99"/>
    <w:unhideWhenUsed/>
    <w:rsid w:val="00C1383B"/>
    <w:rPr>
      <w:color w:val="0563C1" w:themeColor="hyperlink"/>
      <w:u w:val="single"/>
    </w:rPr>
  </w:style>
  <w:style w:type="paragraph" w:styleId="Revision">
    <w:name w:val="Revision"/>
    <w:hidden/>
    <w:uiPriority w:val="99"/>
    <w:semiHidden/>
    <w:rsid w:val="001D2858"/>
  </w:style>
  <w:style w:type="character" w:styleId="CommentReference">
    <w:name w:val="annotation reference"/>
    <w:basedOn w:val="DefaultParagraphFont"/>
    <w:uiPriority w:val="99"/>
    <w:semiHidden/>
    <w:unhideWhenUsed/>
    <w:rsid w:val="001D2858"/>
    <w:rPr>
      <w:sz w:val="16"/>
      <w:szCs w:val="16"/>
    </w:rPr>
  </w:style>
  <w:style w:type="paragraph" w:styleId="CommentText">
    <w:name w:val="annotation text"/>
    <w:basedOn w:val="Normal"/>
    <w:link w:val="CommentTextChar"/>
    <w:uiPriority w:val="99"/>
    <w:unhideWhenUsed/>
    <w:rsid w:val="001D2858"/>
    <w:rPr>
      <w:sz w:val="20"/>
      <w:szCs w:val="20"/>
    </w:rPr>
  </w:style>
  <w:style w:type="character" w:customStyle="1" w:styleId="CommentTextChar">
    <w:name w:val="Comment Text Char"/>
    <w:basedOn w:val="DefaultParagraphFont"/>
    <w:link w:val="CommentText"/>
    <w:uiPriority w:val="99"/>
    <w:rsid w:val="001D2858"/>
    <w:rPr>
      <w:sz w:val="20"/>
      <w:szCs w:val="20"/>
    </w:rPr>
  </w:style>
  <w:style w:type="paragraph" w:styleId="CommentSubject">
    <w:name w:val="annotation subject"/>
    <w:basedOn w:val="CommentText"/>
    <w:next w:val="CommentText"/>
    <w:link w:val="CommentSubjectChar"/>
    <w:uiPriority w:val="99"/>
    <w:semiHidden/>
    <w:unhideWhenUsed/>
    <w:rsid w:val="001D2858"/>
    <w:rPr>
      <w:b/>
      <w:bCs/>
    </w:rPr>
  </w:style>
  <w:style w:type="character" w:customStyle="1" w:styleId="CommentSubjectChar">
    <w:name w:val="Comment Subject Char"/>
    <w:basedOn w:val="CommentTextChar"/>
    <w:link w:val="CommentSubject"/>
    <w:uiPriority w:val="99"/>
    <w:semiHidden/>
    <w:rsid w:val="001D2858"/>
    <w:rPr>
      <w:b/>
      <w:bCs/>
      <w:sz w:val="20"/>
      <w:szCs w:val="20"/>
    </w:rPr>
  </w:style>
  <w:style w:type="character" w:styleId="UnresolvedMention">
    <w:name w:val="Unresolved Mention"/>
    <w:basedOn w:val="DefaultParagraphFont"/>
    <w:uiPriority w:val="99"/>
    <w:semiHidden/>
    <w:unhideWhenUsed/>
    <w:rsid w:val="00E21FB7"/>
    <w:rPr>
      <w:color w:val="605E5C"/>
      <w:shd w:val="clear" w:color="auto" w:fill="E1DFDD"/>
    </w:rPr>
  </w:style>
  <w:style w:type="paragraph" w:styleId="BalloonText">
    <w:name w:val="Balloon Text"/>
    <w:basedOn w:val="Normal"/>
    <w:link w:val="BalloonTextChar"/>
    <w:uiPriority w:val="99"/>
    <w:semiHidden/>
    <w:unhideWhenUsed/>
    <w:rsid w:val="004E1365"/>
    <w:rPr>
      <w:sz w:val="18"/>
      <w:szCs w:val="18"/>
    </w:rPr>
  </w:style>
  <w:style w:type="character" w:customStyle="1" w:styleId="BalloonTextChar">
    <w:name w:val="Balloon Text Char"/>
    <w:basedOn w:val="DefaultParagraphFont"/>
    <w:link w:val="BalloonText"/>
    <w:uiPriority w:val="99"/>
    <w:semiHidden/>
    <w:rsid w:val="004E1365"/>
    <w:rPr>
      <w:rFonts w:ascii="Times New Roman" w:hAnsi="Times New Roman" w:cs="Times New Roman"/>
      <w:sz w:val="18"/>
      <w:szCs w:val="18"/>
    </w:rPr>
  </w:style>
  <w:style w:type="paragraph" w:customStyle="1" w:styleId="MDPI12title">
    <w:name w:val="MDPI_1.2_title"/>
    <w:next w:val="Normal"/>
    <w:qFormat/>
    <w:rsid w:val="00B73871"/>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B73871"/>
    <w:pPr>
      <w:adjustRightInd w:val="0"/>
      <w:snapToGrid w:val="0"/>
      <w:spacing w:after="360" w:line="260" w:lineRule="atLeast"/>
    </w:pPr>
    <w:rPr>
      <w:rFonts w:ascii="Palatino Linotype" w:eastAsia="Times New Roman" w:hAnsi="Palatino Linotype" w:cs="Times New Roman"/>
      <w:b/>
      <w:color w:val="000000"/>
      <w:kern w:val="0"/>
      <w:sz w:val="20"/>
      <w:szCs w:val="22"/>
      <w:lang w:eastAsia="de-DE" w:bidi="en-US"/>
      <w14:ligatures w14:val="none"/>
    </w:rPr>
  </w:style>
  <w:style w:type="character" w:styleId="Emphasis">
    <w:name w:val="Emphasis"/>
    <w:basedOn w:val="DefaultParagraphFont"/>
    <w:uiPriority w:val="20"/>
    <w:qFormat/>
    <w:rsid w:val="00180518"/>
    <w:rPr>
      <w:i/>
      <w:iCs/>
    </w:rPr>
  </w:style>
  <w:style w:type="character" w:styleId="Strong">
    <w:name w:val="Strong"/>
    <w:basedOn w:val="DefaultParagraphFont"/>
    <w:uiPriority w:val="22"/>
    <w:qFormat/>
    <w:rsid w:val="004673B5"/>
    <w:rPr>
      <w:b/>
      <w:bCs/>
    </w:rPr>
  </w:style>
  <w:style w:type="paragraph" w:styleId="NormalWeb">
    <w:name w:val="Normal (Web)"/>
    <w:basedOn w:val="Normal"/>
    <w:uiPriority w:val="99"/>
    <w:semiHidden/>
    <w:unhideWhenUsed/>
    <w:rsid w:val="00390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291">
      <w:bodyDiv w:val="1"/>
      <w:marLeft w:val="0"/>
      <w:marRight w:val="0"/>
      <w:marTop w:val="0"/>
      <w:marBottom w:val="0"/>
      <w:divBdr>
        <w:top w:val="none" w:sz="0" w:space="0" w:color="auto"/>
        <w:left w:val="none" w:sz="0" w:space="0" w:color="auto"/>
        <w:bottom w:val="none" w:sz="0" w:space="0" w:color="auto"/>
        <w:right w:val="none" w:sz="0" w:space="0" w:color="auto"/>
      </w:divBdr>
    </w:div>
    <w:div w:id="88625848">
      <w:bodyDiv w:val="1"/>
      <w:marLeft w:val="0"/>
      <w:marRight w:val="0"/>
      <w:marTop w:val="0"/>
      <w:marBottom w:val="0"/>
      <w:divBdr>
        <w:top w:val="none" w:sz="0" w:space="0" w:color="auto"/>
        <w:left w:val="none" w:sz="0" w:space="0" w:color="auto"/>
        <w:bottom w:val="none" w:sz="0" w:space="0" w:color="auto"/>
        <w:right w:val="none" w:sz="0" w:space="0" w:color="auto"/>
      </w:divBdr>
    </w:div>
    <w:div w:id="99763311">
      <w:bodyDiv w:val="1"/>
      <w:marLeft w:val="0"/>
      <w:marRight w:val="0"/>
      <w:marTop w:val="0"/>
      <w:marBottom w:val="0"/>
      <w:divBdr>
        <w:top w:val="none" w:sz="0" w:space="0" w:color="auto"/>
        <w:left w:val="none" w:sz="0" w:space="0" w:color="auto"/>
        <w:bottom w:val="none" w:sz="0" w:space="0" w:color="auto"/>
        <w:right w:val="none" w:sz="0" w:space="0" w:color="auto"/>
      </w:divBdr>
      <w:divsChild>
        <w:div w:id="21824469">
          <w:marLeft w:val="0"/>
          <w:marRight w:val="0"/>
          <w:marTop w:val="0"/>
          <w:marBottom w:val="0"/>
          <w:divBdr>
            <w:top w:val="none" w:sz="0" w:space="0" w:color="auto"/>
            <w:left w:val="none" w:sz="0" w:space="0" w:color="auto"/>
            <w:bottom w:val="none" w:sz="0" w:space="0" w:color="auto"/>
            <w:right w:val="none" w:sz="0" w:space="0" w:color="auto"/>
          </w:divBdr>
        </w:div>
      </w:divsChild>
    </w:div>
    <w:div w:id="224537321">
      <w:bodyDiv w:val="1"/>
      <w:marLeft w:val="0"/>
      <w:marRight w:val="0"/>
      <w:marTop w:val="0"/>
      <w:marBottom w:val="0"/>
      <w:divBdr>
        <w:top w:val="none" w:sz="0" w:space="0" w:color="auto"/>
        <w:left w:val="none" w:sz="0" w:space="0" w:color="auto"/>
        <w:bottom w:val="none" w:sz="0" w:space="0" w:color="auto"/>
        <w:right w:val="none" w:sz="0" w:space="0" w:color="auto"/>
      </w:divBdr>
    </w:div>
    <w:div w:id="226191267">
      <w:bodyDiv w:val="1"/>
      <w:marLeft w:val="0"/>
      <w:marRight w:val="0"/>
      <w:marTop w:val="0"/>
      <w:marBottom w:val="0"/>
      <w:divBdr>
        <w:top w:val="none" w:sz="0" w:space="0" w:color="auto"/>
        <w:left w:val="none" w:sz="0" w:space="0" w:color="auto"/>
        <w:bottom w:val="none" w:sz="0" w:space="0" w:color="auto"/>
        <w:right w:val="none" w:sz="0" w:space="0" w:color="auto"/>
      </w:divBdr>
    </w:div>
    <w:div w:id="303778500">
      <w:bodyDiv w:val="1"/>
      <w:marLeft w:val="0"/>
      <w:marRight w:val="0"/>
      <w:marTop w:val="0"/>
      <w:marBottom w:val="0"/>
      <w:divBdr>
        <w:top w:val="none" w:sz="0" w:space="0" w:color="auto"/>
        <w:left w:val="none" w:sz="0" w:space="0" w:color="auto"/>
        <w:bottom w:val="none" w:sz="0" w:space="0" w:color="auto"/>
        <w:right w:val="none" w:sz="0" w:space="0" w:color="auto"/>
      </w:divBdr>
    </w:div>
    <w:div w:id="379551210">
      <w:bodyDiv w:val="1"/>
      <w:marLeft w:val="0"/>
      <w:marRight w:val="0"/>
      <w:marTop w:val="0"/>
      <w:marBottom w:val="0"/>
      <w:divBdr>
        <w:top w:val="none" w:sz="0" w:space="0" w:color="auto"/>
        <w:left w:val="none" w:sz="0" w:space="0" w:color="auto"/>
        <w:bottom w:val="none" w:sz="0" w:space="0" w:color="auto"/>
        <w:right w:val="none" w:sz="0" w:space="0" w:color="auto"/>
      </w:divBdr>
    </w:div>
    <w:div w:id="405614808">
      <w:bodyDiv w:val="1"/>
      <w:marLeft w:val="0"/>
      <w:marRight w:val="0"/>
      <w:marTop w:val="0"/>
      <w:marBottom w:val="0"/>
      <w:divBdr>
        <w:top w:val="none" w:sz="0" w:space="0" w:color="auto"/>
        <w:left w:val="none" w:sz="0" w:space="0" w:color="auto"/>
        <w:bottom w:val="none" w:sz="0" w:space="0" w:color="auto"/>
        <w:right w:val="none" w:sz="0" w:space="0" w:color="auto"/>
      </w:divBdr>
    </w:div>
    <w:div w:id="459998999">
      <w:bodyDiv w:val="1"/>
      <w:marLeft w:val="0"/>
      <w:marRight w:val="0"/>
      <w:marTop w:val="0"/>
      <w:marBottom w:val="0"/>
      <w:divBdr>
        <w:top w:val="none" w:sz="0" w:space="0" w:color="auto"/>
        <w:left w:val="none" w:sz="0" w:space="0" w:color="auto"/>
        <w:bottom w:val="none" w:sz="0" w:space="0" w:color="auto"/>
        <w:right w:val="none" w:sz="0" w:space="0" w:color="auto"/>
      </w:divBdr>
    </w:div>
    <w:div w:id="465657739">
      <w:bodyDiv w:val="1"/>
      <w:marLeft w:val="0"/>
      <w:marRight w:val="0"/>
      <w:marTop w:val="0"/>
      <w:marBottom w:val="0"/>
      <w:divBdr>
        <w:top w:val="none" w:sz="0" w:space="0" w:color="auto"/>
        <w:left w:val="none" w:sz="0" w:space="0" w:color="auto"/>
        <w:bottom w:val="none" w:sz="0" w:space="0" w:color="auto"/>
        <w:right w:val="none" w:sz="0" w:space="0" w:color="auto"/>
      </w:divBdr>
    </w:div>
    <w:div w:id="479730083">
      <w:bodyDiv w:val="1"/>
      <w:marLeft w:val="0"/>
      <w:marRight w:val="0"/>
      <w:marTop w:val="0"/>
      <w:marBottom w:val="0"/>
      <w:divBdr>
        <w:top w:val="none" w:sz="0" w:space="0" w:color="auto"/>
        <w:left w:val="none" w:sz="0" w:space="0" w:color="auto"/>
        <w:bottom w:val="none" w:sz="0" w:space="0" w:color="auto"/>
        <w:right w:val="none" w:sz="0" w:space="0" w:color="auto"/>
      </w:divBdr>
    </w:div>
    <w:div w:id="497119334">
      <w:bodyDiv w:val="1"/>
      <w:marLeft w:val="0"/>
      <w:marRight w:val="0"/>
      <w:marTop w:val="0"/>
      <w:marBottom w:val="0"/>
      <w:divBdr>
        <w:top w:val="none" w:sz="0" w:space="0" w:color="auto"/>
        <w:left w:val="none" w:sz="0" w:space="0" w:color="auto"/>
        <w:bottom w:val="none" w:sz="0" w:space="0" w:color="auto"/>
        <w:right w:val="none" w:sz="0" w:space="0" w:color="auto"/>
      </w:divBdr>
    </w:div>
    <w:div w:id="510337226">
      <w:bodyDiv w:val="1"/>
      <w:marLeft w:val="0"/>
      <w:marRight w:val="0"/>
      <w:marTop w:val="0"/>
      <w:marBottom w:val="0"/>
      <w:divBdr>
        <w:top w:val="none" w:sz="0" w:space="0" w:color="auto"/>
        <w:left w:val="none" w:sz="0" w:space="0" w:color="auto"/>
        <w:bottom w:val="none" w:sz="0" w:space="0" w:color="auto"/>
        <w:right w:val="none" w:sz="0" w:space="0" w:color="auto"/>
      </w:divBdr>
    </w:div>
    <w:div w:id="526868723">
      <w:bodyDiv w:val="1"/>
      <w:marLeft w:val="0"/>
      <w:marRight w:val="0"/>
      <w:marTop w:val="0"/>
      <w:marBottom w:val="0"/>
      <w:divBdr>
        <w:top w:val="none" w:sz="0" w:space="0" w:color="auto"/>
        <w:left w:val="none" w:sz="0" w:space="0" w:color="auto"/>
        <w:bottom w:val="none" w:sz="0" w:space="0" w:color="auto"/>
        <w:right w:val="none" w:sz="0" w:space="0" w:color="auto"/>
      </w:divBdr>
      <w:divsChild>
        <w:div w:id="496771345">
          <w:marLeft w:val="0"/>
          <w:marRight w:val="0"/>
          <w:marTop w:val="0"/>
          <w:marBottom w:val="0"/>
          <w:divBdr>
            <w:top w:val="none" w:sz="0" w:space="0" w:color="auto"/>
            <w:left w:val="none" w:sz="0" w:space="0" w:color="auto"/>
            <w:bottom w:val="none" w:sz="0" w:space="0" w:color="auto"/>
            <w:right w:val="none" w:sz="0" w:space="0" w:color="auto"/>
          </w:divBdr>
          <w:divsChild>
            <w:div w:id="927730629">
              <w:marLeft w:val="0"/>
              <w:marRight w:val="0"/>
              <w:marTop w:val="0"/>
              <w:marBottom w:val="0"/>
              <w:divBdr>
                <w:top w:val="none" w:sz="0" w:space="0" w:color="auto"/>
                <w:left w:val="none" w:sz="0" w:space="0" w:color="auto"/>
                <w:bottom w:val="none" w:sz="0" w:space="0" w:color="auto"/>
                <w:right w:val="none" w:sz="0" w:space="0" w:color="auto"/>
              </w:divBdr>
              <w:divsChild>
                <w:div w:id="1153985004">
                  <w:marLeft w:val="0"/>
                  <w:marRight w:val="0"/>
                  <w:marTop w:val="0"/>
                  <w:marBottom w:val="0"/>
                  <w:divBdr>
                    <w:top w:val="none" w:sz="0" w:space="0" w:color="auto"/>
                    <w:left w:val="none" w:sz="0" w:space="0" w:color="auto"/>
                    <w:bottom w:val="none" w:sz="0" w:space="0" w:color="auto"/>
                    <w:right w:val="none" w:sz="0" w:space="0" w:color="auto"/>
                  </w:divBdr>
                  <w:divsChild>
                    <w:div w:id="258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01266">
      <w:bodyDiv w:val="1"/>
      <w:marLeft w:val="0"/>
      <w:marRight w:val="0"/>
      <w:marTop w:val="0"/>
      <w:marBottom w:val="0"/>
      <w:divBdr>
        <w:top w:val="none" w:sz="0" w:space="0" w:color="auto"/>
        <w:left w:val="none" w:sz="0" w:space="0" w:color="auto"/>
        <w:bottom w:val="none" w:sz="0" w:space="0" w:color="auto"/>
        <w:right w:val="none" w:sz="0" w:space="0" w:color="auto"/>
      </w:divBdr>
    </w:div>
    <w:div w:id="716702503">
      <w:bodyDiv w:val="1"/>
      <w:marLeft w:val="0"/>
      <w:marRight w:val="0"/>
      <w:marTop w:val="0"/>
      <w:marBottom w:val="0"/>
      <w:divBdr>
        <w:top w:val="none" w:sz="0" w:space="0" w:color="auto"/>
        <w:left w:val="none" w:sz="0" w:space="0" w:color="auto"/>
        <w:bottom w:val="none" w:sz="0" w:space="0" w:color="auto"/>
        <w:right w:val="none" w:sz="0" w:space="0" w:color="auto"/>
      </w:divBdr>
    </w:div>
    <w:div w:id="779757607">
      <w:bodyDiv w:val="1"/>
      <w:marLeft w:val="0"/>
      <w:marRight w:val="0"/>
      <w:marTop w:val="0"/>
      <w:marBottom w:val="0"/>
      <w:divBdr>
        <w:top w:val="none" w:sz="0" w:space="0" w:color="auto"/>
        <w:left w:val="none" w:sz="0" w:space="0" w:color="auto"/>
        <w:bottom w:val="none" w:sz="0" w:space="0" w:color="auto"/>
        <w:right w:val="none" w:sz="0" w:space="0" w:color="auto"/>
      </w:divBdr>
    </w:div>
    <w:div w:id="810051170">
      <w:bodyDiv w:val="1"/>
      <w:marLeft w:val="0"/>
      <w:marRight w:val="0"/>
      <w:marTop w:val="0"/>
      <w:marBottom w:val="0"/>
      <w:divBdr>
        <w:top w:val="none" w:sz="0" w:space="0" w:color="auto"/>
        <w:left w:val="none" w:sz="0" w:space="0" w:color="auto"/>
        <w:bottom w:val="none" w:sz="0" w:space="0" w:color="auto"/>
        <w:right w:val="none" w:sz="0" w:space="0" w:color="auto"/>
      </w:divBdr>
    </w:div>
    <w:div w:id="855971691">
      <w:bodyDiv w:val="1"/>
      <w:marLeft w:val="0"/>
      <w:marRight w:val="0"/>
      <w:marTop w:val="0"/>
      <w:marBottom w:val="0"/>
      <w:divBdr>
        <w:top w:val="none" w:sz="0" w:space="0" w:color="auto"/>
        <w:left w:val="none" w:sz="0" w:space="0" w:color="auto"/>
        <w:bottom w:val="none" w:sz="0" w:space="0" w:color="auto"/>
        <w:right w:val="none" w:sz="0" w:space="0" w:color="auto"/>
      </w:divBdr>
    </w:div>
    <w:div w:id="856499876">
      <w:bodyDiv w:val="1"/>
      <w:marLeft w:val="0"/>
      <w:marRight w:val="0"/>
      <w:marTop w:val="0"/>
      <w:marBottom w:val="0"/>
      <w:divBdr>
        <w:top w:val="none" w:sz="0" w:space="0" w:color="auto"/>
        <w:left w:val="none" w:sz="0" w:space="0" w:color="auto"/>
        <w:bottom w:val="none" w:sz="0" w:space="0" w:color="auto"/>
        <w:right w:val="none" w:sz="0" w:space="0" w:color="auto"/>
      </w:divBdr>
    </w:div>
    <w:div w:id="911084041">
      <w:bodyDiv w:val="1"/>
      <w:marLeft w:val="0"/>
      <w:marRight w:val="0"/>
      <w:marTop w:val="0"/>
      <w:marBottom w:val="0"/>
      <w:divBdr>
        <w:top w:val="none" w:sz="0" w:space="0" w:color="auto"/>
        <w:left w:val="none" w:sz="0" w:space="0" w:color="auto"/>
        <w:bottom w:val="none" w:sz="0" w:space="0" w:color="auto"/>
        <w:right w:val="none" w:sz="0" w:space="0" w:color="auto"/>
      </w:divBdr>
    </w:div>
    <w:div w:id="932590675">
      <w:bodyDiv w:val="1"/>
      <w:marLeft w:val="0"/>
      <w:marRight w:val="0"/>
      <w:marTop w:val="0"/>
      <w:marBottom w:val="0"/>
      <w:divBdr>
        <w:top w:val="none" w:sz="0" w:space="0" w:color="auto"/>
        <w:left w:val="none" w:sz="0" w:space="0" w:color="auto"/>
        <w:bottom w:val="none" w:sz="0" w:space="0" w:color="auto"/>
        <w:right w:val="none" w:sz="0" w:space="0" w:color="auto"/>
      </w:divBdr>
    </w:div>
    <w:div w:id="940264268">
      <w:bodyDiv w:val="1"/>
      <w:marLeft w:val="0"/>
      <w:marRight w:val="0"/>
      <w:marTop w:val="0"/>
      <w:marBottom w:val="0"/>
      <w:divBdr>
        <w:top w:val="none" w:sz="0" w:space="0" w:color="auto"/>
        <w:left w:val="none" w:sz="0" w:space="0" w:color="auto"/>
        <w:bottom w:val="none" w:sz="0" w:space="0" w:color="auto"/>
        <w:right w:val="none" w:sz="0" w:space="0" w:color="auto"/>
      </w:divBdr>
    </w:div>
    <w:div w:id="949819067">
      <w:bodyDiv w:val="1"/>
      <w:marLeft w:val="0"/>
      <w:marRight w:val="0"/>
      <w:marTop w:val="0"/>
      <w:marBottom w:val="0"/>
      <w:divBdr>
        <w:top w:val="none" w:sz="0" w:space="0" w:color="auto"/>
        <w:left w:val="none" w:sz="0" w:space="0" w:color="auto"/>
        <w:bottom w:val="none" w:sz="0" w:space="0" w:color="auto"/>
        <w:right w:val="none" w:sz="0" w:space="0" w:color="auto"/>
      </w:divBdr>
    </w:div>
    <w:div w:id="988170684">
      <w:bodyDiv w:val="1"/>
      <w:marLeft w:val="0"/>
      <w:marRight w:val="0"/>
      <w:marTop w:val="0"/>
      <w:marBottom w:val="0"/>
      <w:divBdr>
        <w:top w:val="none" w:sz="0" w:space="0" w:color="auto"/>
        <w:left w:val="none" w:sz="0" w:space="0" w:color="auto"/>
        <w:bottom w:val="none" w:sz="0" w:space="0" w:color="auto"/>
        <w:right w:val="none" w:sz="0" w:space="0" w:color="auto"/>
      </w:divBdr>
    </w:div>
    <w:div w:id="992029700">
      <w:bodyDiv w:val="1"/>
      <w:marLeft w:val="0"/>
      <w:marRight w:val="0"/>
      <w:marTop w:val="0"/>
      <w:marBottom w:val="0"/>
      <w:divBdr>
        <w:top w:val="none" w:sz="0" w:space="0" w:color="auto"/>
        <w:left w:val="none" w:sz="0" w:space="0" w:color="auto"/>
        <w:bottom w:val="none" w:sz="0" w:space="0" w:color="auto"/>
        <w:right w:val="none" w:sz="0" w:space="0" w:color="auto"/>
      </w:divBdr>
    </w:div>
    <w:div w:id="1136414924">
      <w:bodyDiv w:val="1"/>
      <w:marLeft w:val="0"/>
      <w:marRight w:val="0"/>
      <w:marTop w:val="0"/>
      <w:marBottom w:val="0"/>
      <w:divBdr>
        <w:top w:val="none" w:sz="0" w:space="0" w:color="auto"/>
        <w:left w:val="none" w:sz="0" w:space="0" w:color="auto"/>
        <w:bottom w:val="none" w:sz="0" w:space="0" w:color="auto"/>
        <w:right w:val="none" w:sz="0" w:space="0" w:color="auto"/>
      </w:divBdr>
    </w:div>
    <w:div w:id="1186942581">
      <w:bodyDiv w:val="1"/>
      <w:marLeft w:val="0"/>
      <w:marRight w:val="0"/>
      <w:marTop w:val="0"/>
      <w:marBottom w:val="0"/>
      <w:divBdr>
        <w:top w:val="none" w:sz="0" w:space="0" w:color="auto"/>
        <w:left w:val="none" w:sz="0" w:space="0" w:color="auto"/>
        <w:bottom w:val="none" w:sz="0" w:space="0" w:color="auto"/>
        <w:right w:val="none" w:sz="0" w:space="0" w:color="auto"/>
      </w:divBdr>
    </w:div>
    <w:div w:id="1268271170">
      <w:bodyDiv w:val="1"/>
      <w:marLeft w:val="0"/>
      <w:marRight w:val="0"/>
      <w:marTop w:val="0"/>
      <w:marBottom w:val="0"/>
      <w:divBdr>
        <w:top w:val="none" w:sz="0" w:space="0" w:color="auto"/>
        <w:left w:val="none" w:sz="0" w:space="0" w:color="auto"/>
        <w:bottom w:val="none" w:sz="0" w:space="0" w:color="auto"/>
        <w:right w:val="none" w:sz="0" w:space="0" w:color="auto"/>
      </w:divBdr>
    </w:div>
    <w:div w:id="1294874115">
      <w:bodyDiv w:val="1"/>
      <w:marLeft w:val="0"/>
      <w:marRight w:val="0"/>
      <w:marTop w:val="0"/>
      <w:marBottom w:val="0"/>
      <w:divBdr>
        <w:top w:val="none" w:sz="0" w:space="0" w:color="auto"/>
        <w:left w:val="none" w:sz="0" w:space="0" w:color="auto"/>
        <w:bottom w:val="none" w:sz="0" w:space="0" w:color="auto"/>
        <w:right w:val="none" w:sz="0" w:space="0" w:color="auto"/>
      </w:divBdr>
    </w:div>
    <w:div w:id="1510869194">
      <w:bodyDiv w:val="1"/>
      <w:marLeft w:val="0"/>
      <w:marRight w:val="0"/>
      <w:marTop w:val="0"/>
      <w:marBottom w:val="0"/>
      <w:divBdr>
        <w:top w:val="none" w:sz="0" w:space="0" w:color="auto"/>
        <w:left w:val="none" w:sz="0" w:space="0" w:color="auto"/>
        <w:bottom w:val="none" w:sz="0" w:space="0" w:color="auto"/>
        <w:right w:val="none" w:sz="0" w:space="0" w:color="auto"/>
      </w:divBdr>
    </w:div>
    <w:div w:id="1668828112">
      <w:bodyDiv w:val="1"/>
      <w:marLeft w:val="0"/>
      <w:marRight w:val="0"/>
      <w:marTop w:val="0"/>
      <w:marBottom w:val="0"/>
      <w:divBdr>
        <w:top w:val="none" w:sz="0" w:space="0" w:color="auto"/>
        <w:left w:val="none" w:sz="0" w:space="0" w:color="auto"/>
        <w:bottom w:val="none" w:sz="0" w:space="0" w:color="auto"/>
        <w:right w:val="none" w:sz="0" w:space="0" w:color="auto"/>
      </w:divBdr>
      <w:divsChild>
        <w:div w:id="2087336049">
          <w:marLeft w:val="0"/>
          <w:marRight w:val="0"/>
          <w:marTop w:val="0"/>
          <w:marBottom w:val="0"/>
          <w:divBdr>
            <w:top w:val="none" w:sz="0" w:space="0" w:color="auto"/>
            <w:left w:val="none" w:sz="0" w:space="0" w:color="auto"/>
            <w:bottom w:val="none" w:sz="0" w:space="0" w:color="auto"/>
            <w:right w:val="none" w:sz="0" w:space="0" w:color="auto"/>
          </w:divBdr>
        </w:div>
      </w:divsChild>
    </w:div>
    <w:div w:id="1690183317">
      <w:bodyDiv w:val="1"/>
      <w:marLeft w:val="0"/>
      <w:marRight w:val="0"/>
      <w:marTop w:val="0"/>
      <w:marBottom w:val="0"/>
      <w:divBdr>
        <w:top w:val="none" w:sz="0" w:space="0" w:color="auto"/>
        <w:left w:val="none" w:sz="0" w:space="0" w:color="auto"/>
        <w:bottom w:val="none" w:sz="0" w:space="0" w:color="auto"/>
        <w:right w:val="none" w:sz="0" w:space="0" w:color="auto"/>
      </w:divBdr>
    </w:div>
    <w:div w:id="1723554683">
      <w:bodyDiv w:val="1"/>
      <w:marLeft w:val="0"/>
      <w:marRight w:val="0"/>
      <w:marTop w:val="0"/>
      <w:marBottom w:val="0"/>
      <w:divBdr>
        <w:top w:val="none" w:sz="0" w:space="0" w:color="auto"/>
        <w:left w:val="none" w:sz="0" w:space="0" w:color="auto"/>
        <w:bottom w:val="none" w:sz="0" w:space="0" w:color="auto"/>
        <w:right w:val="none" w:sz="0" w:space="0" w:color="auto"/>
      </w:divBdr>
    </w:div>
    <w:div w:id="1733037046">
      <w:bodyDiv w:val="1"/>
      <w:marLeft w:val="0"/>
      <w:marRight w:val="0"/>
      <w:marTop w:val="0"/>
      <w:marBottom w:val="0"/>
      <w:divBdr>
        <w:top w:val="none" w:sz="0" w:space="0" w:color="auto"/>
        <w:left w:val="none" w:sz="0" w:space="0" w:color="auto"/>
        <w:bottom w:val="none" w:sz="0" w:space="0" w:color="auto"/>
        <w:right w:val="none" w:sz="0" w:space="0" w:color="auto"/>
      </w:divBdr>
    </w:div>
    <w:div w:id="1740789386">
      <w:bodyDiv w:val="1"/>
      <w:marLeft w:val="0"/>
      <w:marRight w:val="0"/>
      <w:marTop w:val="0"/>
      <w:marBottom w:val="0"/>
      <w:divBdr>
        <w:top w:val="none" w:sz="0" w:space="0" w:color="auto"/>
        <w:left w:val="none" w:sz="0" w:space="0" w:color="auto"/>
        <w:bottom w:val="none" w:sz="0" w:space="0" w:color="auto"/>
        <w:right w:val="none" w:sz="0" w:space="0" w:color="auto"/>
      </w:divBdr>
    </w:div>
    <w:div w:id="1834026541">
      <w:bodyDiv w:val="1"/>
      <w:marLeft w:val="0"/>
      <w:marRight w:val="0"/>
      <w:marTop w:val="0"/>
      <w:marBottom w:val="0"/>
      <w:divBdr>
        <w:top w:val="none" w:sz="0" w:space="0" w:color="auto"/>
        <w:left w:val="none" w:sz="0" w:space="0" w:color="auto"/>
        <w:bottom w:val="none" w:sz="0" w:space="0" w:color="auto"/>
        <w:right w:val="none" w:sz="0" w:space="0" w:color="auto"/>
      </w:divBdr>
    </w:div>
    <w:div w:id="1956061938">
      <w:bodyDiv w:val="1"/>
      <w:marLeft w:val="0"/>
      <w:marRight w:val="0"/>
      <w:marTop w:val="0"/>
      <w:marBottom w:val="0"/>
      <w:divBdr>
        <w:top w:val="none" w:sz="0" w:space="0" w:color="auto"/>
        <w:left w:val="none" w:sz="0" w:space="0" w:color="auto"/>
        <w:bottom w:val="none" w:sz="0" w:space="0" w:color="auto"/>
        <w:right w:val="none" w:sz="0" w:space="0" w:color="auto"/>
      </w:divBdr>
    </w:div>
    <w:div w:id="1968581087">
      <w:bodyDiv w:val="1"/>
      <w:marLeft w:val="0"/>
      <w:marRight w:val="0"/>
      <w:marTop w:val="0"/>
      <w:marBottom w:val="0"/>
      <w:divBdr>
        <w:top w:val="none" w:sz="0" w:space="0" w:color="auto"/>
        <w:left w:val="none" w:sz="0" w:space="0" w:color="auto"/>
        <w:bottom w:val="none" w:sz="0" w:space="0" w:color="auto"/>
        <w:right w:val="none" w:sz="0" w:space="0" w:color="auto"/>
      </w:divBdr>
    </w:div>
    <w:div w:id="2053068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abiba.alsafar@ku.ac.ae"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82B2C-A6E8-2741-AB18-0ECC97A3F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23</Pages>
  <Words>4858</Words>
  <Characters>27693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Olbrich</dc:creator>
  <cp:keywords/>
  <dc:description/>
  <cp:lastModifiedBy>Inken Wohlers</cp:lastModifiedBy>
  <cp:revision>45</cp:revision>
  <cp:lastPrinted>2024-03-15T17:13:00Z</cp:lastPrinted>
  <dcterms:created xsi:type="dcterms:W3CDTF">2025-09-12T12:51:00Z</dcterms:created>
  <dcterms:modified xsi:type="dcterms:W3CDTF">2025-09-12T18:56:00Z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documentId_5636</vt:lpwstr>
  </property>
  <property fmtid="{D5CDD505-2E9C-101B-9397-08002B2CF9AE}" pid="3" name="grammarly_documentContext">
    <vt:lpwstr>{"goals":["inform","describe"],"domain":"academic","emotions":[],"dialect":"american","audience":"expert","style":"formal"}</vt:lpwstr>
  </property>
</Properties>
</file>