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E7566F" w14:textId="77777777" w:rsidR="00411F38" w:rsidRPr="003B40E6" w:rsidRDefault="00411F38" w:rsidP="00411F38">
      <w:pPr>
        <w:jc w:val="center"/>
        <w:rPr>
          <w:sz w:val="36"/>
          <w:szCs w:val="36"/>
        </w:rPr>
      </w:pPr>
      <w:r>
        <w:rPr>
          <w:sz w:val="36"/>
          <w:szCs w:val="36"/>
        </w:rPr>
        <w:t>Supplementary Materials for</w:t>
      </w:r>
    </w:p>
    <w:p w14:paraId="67EB9E83" w14:textId="77777777" w:rsidR="00411F38" w:rsidRDefault="00411F38" w:rsidP="00411F38"/>
    <w:p w14:paraId="552CFEA6" w14:textId="77777777" w:rsidR="00411F38" w:rsidRPr="008D27DC" w:rsidRDefault="00411F38" w:rsidP="00411F38">
      <w:pPr>
        <w:spacing w:after="240" w:line="360" w:lineRule="auto"/>
        <w:jc w:val="center"/>
        <w:rPr>
          <w:rFonts w:cstheme="minorHAnsi"/>
          <w:b/>
          <w:bCs/>
          <w:lang w:val="en-US"/>
        </w:rPr>
      </w:pPr>
      <w:r>
        <w:rPr>
          <w:rFonts w:cstheme="minorHAnsi"/>
          <w:b/>
          <w:bCs/>
          <w:lang w:val="en-US"/>
        </w:rPr>
        <w:t>Lymph node t</w:t>
      </w:r>
      <w:r w:rsidRPr="008D27DC">
        <w:rPr>
          <w:rFonts w:cstheme="minorHAnsi"/>
          <w:b/>
          <w:bCs/>
          <w:lang w:val="en-US"/>
        </w:rPr>
        <w:t>issue homeostasis and adaptation to immune challenge resolved by fibroblast network mechanics</w:t>
      </w:r>
    </w:p>
    <w:p w14:paraId="3A321832" w14:textId="77777777" w:rsidR="00411F38" w:rsidRDefault="00411F38" w:rsidP="00411F38">
      <w:pPr>
        <w:spacing w:after="240" w:line="360" w:lineRule="auto"/>
        <w:jc w:val="center"/>
        <w:rPr>
          <w:rFonts w:cstheme="minorHAnsi"/>
          <w:bCs/>
          <w:sz w:val="22"/>
          <w:szCs w:val="22"/>
          <w:vertAlign w:val="superscript"/>
        </w:rPr>
      </w:pPr>
      <w:r w:rsidRPr="00AB6F6D">
        <w:rPr>
          <w:rFonts w:cstheme="minorHAnsi"/>
          <w:bCs/>
          <w:sz w:val="22"/>
          <w:szCs w:val="22"/>
        </w:rPr>
        <w:t>Harry L. Horsnell</w:t>
      </w:r>
      <w:r w:rsidRPr="00AB6F6D">
        <w:rPr>
          <w:rFonts w:cstheme="minorHAnsi"/>
          <w:bCs/>
          <w:sz w:val="22"/>
          <w:szCs w:val="22"/>
          <w:vertAlign w:val="superscript"/>
        </w:rPr>
        <w:t>1</w:t>
      </w:r>
      <w:r w:rsidRPr="00AB6F6D">
        <w:rPr>
          <w:rFonts w:cstheme="minorHAnsi"/>
          <w:bCs/>
          <w:sz w:val="22"/>
          <w:szCs w:val="22"/>
        </w:rPr>
        <w:t>, Robert J. Tetley</w:t>
      </w:r>
      <w:r w:rsidRPr="00AB6F6D">
        <w:rPr>
          <w:rFonts w:cstheme="minorHAnsi"/>
          <w:bCs/>
          <w:sz w:val="22"/>
          <w:szCs w:val="22"/>
          <w:vertAlign w:val="superscript"/>
        </w:rPr>
        <w:t>2</w:t>
      </w:r>
      <w:r w:rsidRPr="00AB6F6D">
        <w:rPr>
          <w:rFonts w:cstheme="minorHAnsi"/>
          <w:bCs/>
          <w:sz w:val="22"/>
          <w:szCs w:val="22"/>
        </w:rPr>
        <w:t>, Henry De Belly</w:t>
      </w:r>
      <w:r w:rsidRPr="00AB6F6D">
        <w:rPr>
          <w:rFonts w:cstheme="minorHAnsi"/>
          <w:bCs/>
          <w:sz w:val="22"/>
          <w:szCs w:val="22"/>
          <w:vertAlign w:val="superscript"/>
        </w:rPr>
        <w:t>3</w:t>
      </w:r>
      <w:r w:rsidRPr="00AB6F6D">
        <w:rPr>
          <w:rFonts w:cstheme="minorHAnsi"/>
          <w:bCs/>
          <w:sz w:val="22"/>
          <w:szCs w:val="22"/>
        </w:rPr>
        <w:t>, Spyridon Makris</w:t>
      </w:r>
      <w:r w:rsidRPr="00AB6F6D">
        <w:rPr>
          <w:rFonts w:cstheme="minorHAnsi"/>
          <w:bCs/>
          <w:sz w:val="22"/>
          <w:szCs w:val="22"/>
          <w:vertAlign w:val="superscript"/>
        </w:rPr>
        <w:t>1</w:t>
      </w:r>
      <w:r w:rsidRPr="00AB6F6D">
        <w:rPr>
          <w:rFonts w:cstheme="minorHAnsi"/>
          <w:bCs/>
          <w:sz w:val="22"/>
          <w:szCs w:val="22"/>
        </w:rPr>
        <w:t>, Lindsey J. Millward</w:t>
      </w:r>
      <w:r w:rsidRPr="00AB6F6D">
        <w:rPr>
          <w:rFonts w:cstheme="minorHAnsi"/>
          <w:bCs/>
          <w:sz w:val="22"/>
          <w:szCs w:val="22"/>
          <w:vertAlign w:val="superscript"/>
        </w:rPr>
        <w:t>1</w:t>
      </w:r>
      <w:r w:rsidRPr="00AB6F6D">
        <w:rPr>
          <w:rFonts w:cstheme="minorHAnsi"/>
          <w:bCs/>
          <w:sz w:val="22"/>
          <w:szCs w:val="22"/>
        </w:rPr>
        <w:t xml:space="preserve">, </w:t>
      </w:r>
      <w:proofErr w:type="spellStart"/>
      <w:r w:rsidRPr="00AB6F6D">
        <w:rPr>
          <w:rFonts w:cstheme="minorHAnsi"/>
          <w:bCs/>
          <w:sz w:val="22"/>
          <w:szCs w:val="22"/>
        </w:rPr>
        <w:t>Agnesska</w:t>
      </w:r>
      <w:proofErr w:type="spellEnd"/>
      <w:r w:rsidRPr="00AB6F6D">
        <w:rPr>
          <w:rFonts w:cstheme="minorHAnsi"/>
          <w:bCs/>
          <w:sz w:val="22"/>
          <w:szCs w:val="22"/>
        </w:rPr>
        <w:t xml:space="preserve"> C. Benjamin</w:t>
      </w:r>
      <w:r w:rsidRPr="00AB6F6D">
        <w:rPr>
          <w:rFonts w:cstheme="minorHAnsi"/>
          <w:bCs/>
          <w:sz w:val="22"/>
          <w:szCs w:val="22"/>
          <w:vertAlign w:val="superscript"/>
        </w:rPr>
        <w:t>1</w:t>
      </w:r>
      <w:r w:rsidRPr="00AB6F6D">
        <w:rPr>
          <w:rFonts w:cstheme="minorHAnsi"/>
          <w:bCs/>
          <w:sz w:val="22"/>
          <w:szCs w:val="22"/>
        </w:rPr>
        <w:t xml:space="preserve">, </w:t>
      </w:r>
      <w:proofErr w:type="spellStart"/>
      <w:r w:rsidRPr="00AB6F6D">
        <w:rPr>
          <w:rFonts w:cstheme="minorHAnsi"/>
          <w:bCs/>
          <w:sz w:val="22"/>
          <w:szCs w:val="22"/>
        </w:rPr>
        <w:t>Ewa</w:t>
      </w:r>
      <w:proofErr w:type="spellEnd"/>
      <w:r w:rsidRPr="00AB6F6D">
        <w:rPr>
          <w:rFonts w:cstheme="minorHAnsi"/>
          <w:bCs/>
          <w:sz w:val="22"/>
          <w:szCs w:val="22"/>
        </w:rPr>
        <w:t xml:space="preserve"> K. Paluch</w:t>
      </w:r>
      <w:r w:rsidRPr="00AB6F6D">
        <w:rPr>
          <w:rFonts w:cstheme="minorHAnsi"/>
          <w:bCs/>
          <w:sz w:val="22"/>
          <w:szCs w:val="22"/>
          <w:vertAlign w:val="superscript"/>
        </w:rPr>
        <w:t>3</w:t>
      </w:r>
      <w:r w:rsidRPr="00AB6F6D">
        <w:rPr>
          <w:rFonts w:cstheme="minorHAnsi"/>
          <w:bCs/>
          <w:sz w:val="22"/>
          <w:szCs w:val="22"/>
        </w:rPr>
        <w:t xml:space="preserve">, </w:t>
      </w:r>
      <w:proofErr w:type="spellStart"/>
      <w:r w:rsidRPr="00AB6F6D">
        <w:rPr>
          <w:rFonts w:cstheme="minorHAnsi"/>
          <w:bCs/>
          <w:sz w:val="22"/>
          <w:szCs w:val="22"/>
        </w:rPr>
        <w:t>Yanlan</w:t>
      </w:r>
      <w:proofErr w:type="spellEnd"/>
      <w:r w:rsidRPr="00AB6F6D">
        <w:rPr>
          <w:rFonts w:cstheme="minorHAnsi"/>
          <w:bCs/>
          <w:sz w:val="22"/>
          <w:szCs w:val="22"/>
        </w:rPr>
        <w:t xml:space="preserve"> Mao</w:t>
      </w:r>
      <w:r w:rsidRPr="00AB6F6D">
        <w:rPr>
          <w:rFonts w:cstheme="minorHAnsi"/>
          <w:bCs/>
          <w:sz w:val="22"/>
          <w:szCs w:val="22"/>
          <w:vertAlign w:val="superscript"/>
        </w:rPr>
        <w:t>2,4</w:t>
      </w:r>
      <w:r w:rsidRPr="00AB6F6D">
        <w:rPr>
          <w:rFonts w:cstheme="minorHAnsi"/>
          <w:bCs/>
          <w:sz w:val="22"/>
          <w:szCs w:val="22"/>
        </w:rPr>
        <w:t>, Sophie E. Acton</w:t>
      </w:r>
      <w:r w:rsidRPr="00AB6F6D">
        <w:rPr>
          <w:rFonts w:cstheme="minorHAnsi"/>
          <w:bCs/>
          <w:sz w:val="22"/>
          <w:szCs w:val="22"/>
          <w:vertAlign w:val="superscript"/>
        </w:rPr>
        <w:t>1#</w:t>
      </w:r>
    </w:p>
    <w:p w14:paraId="2ED7139A" w14:textId="77777777" w:rsidR="00411F38" w:rsidRDefault="00411F38" w:rsidP="00411F38">
      <w:pPr>
        <w:jc w:val="center"/>
      </w:pPr>
    </w:p>
    <w:p w14:paraId="0C17C1D5" w14:textId="77777777" w:rsidR="00411F38" w:rsidRDefault="00411F38" w:rsidP="00411F38">
      <w:pPr>
        <w:jc w:val="center"/>
      </w:pPr>
      <w:r>
        <w:t>Correspondence to: s.acton@ucl.ac.uk</w:t>
      </w:r>
    </w:p>
    <w:p w14:paraId="0673B56A" w14:textId="77777777" w:rsidR="00411F38" w:rsidRDefault="00411F38" w:rsidP="00411F38"/>
    <w:p w14:paraId="20035D5B" w14:textId="77777777" w:rsidR="00411F38" w:rsidRDefault="00411F38" w:rsidP="00411F38">
      <w:pPr>
        <w:rPr>
          <w:b/>
        </w:rPr>
      </w:pPr>
    </w:p>
    <w:p w14:paraId="3C21283A" w14:textId="77777777" w:rsidR="00411F38" w:rsidRPr="00262D72" w:rsidRDefault="00411F38" w:rsidP="00411F38">
      <w:pPr>
        <w:rPr>
          <w:b/>
        </w:rPr>
      </w:pPr>
      <w:r>
        <w:rPr>
          <w:b/>
        </w:rPr>
        <w:t xml:space="preserve">This file </w:t>
      </w:r>
      <w:r w:rsidRPr="00262D72">
        <w:rPr>
          <w:b/>
        </w:rPr>
        <w:t>includes:</w:t>
      </w:r>
    </w:p>
    <w:p w14:paraId="5F110D70" w14:textId="77777777" w:rsidR="00411F38" w:rsidRDefault="00411F38" w:rsidP="00411F38"/>
    <w:p w14:paraId="4BF538CC" w14:textId="77777777" w:rsidR="00411F38" w:rsidRDefault="00411F38" w:rsidP="00411F38">
      <w:pPr>
        <w:ind w:left="720"/>
      </w:pPr>
      <w:r>
        <w:t>Figs. S1 to S5</w:t>
      </w:r>
    </w:p>
    <w:p w14:paraId="1990C35A" w14:textId="77777777" w:rsidR="00411F38" w:rsidRDefault="00411F38" w:rsidP="00411F38">
      <w:pPr>
        <w:ind w:left="720"/>
      </w:pPr>
      <w:r>
        <w:t>Tables S1</w:t>
      </w:r>
    </w:p>
    <w:p w14:paraId="61A313FB" w14:textId="77777777" w:rsidR="00411F38" w:rsidRDefault="00411F38" w:rsidP="00411F38">
      <w:pPr>
        <w:ind w:left="720"/>
      </w:pPr>
      <w:r>
        <w:t xml:space="preserve">References (1 to 14) </w:t>
      </w:r>
    </w:p>
    <w:p w14:paraId="48427E8B" w14:textId="77777777" w:rsidR="00411F38" w:rsidRDefault="00411F38" w:rsidP="00411F38">
      <w:pPr>
        <w:ind w:left="720"/>
      </w:pPr>
      <w:r>
        <w:t>Captions for Movies S1 to S4</w:t>
      </w:r>
    </w:p>
    <w:p w14:paraId="39FD65BA" w14:textId="77777777" w:rsidR="00411F38" w:rsidRDefault="00411F38" w:rsidP="00411F38"/>
    <w:p w14:paraId="2B4AD608" w14:textId="77777777" w:rsidR="00411F38" w:rsidRDefault="00411F38" w:rsidP="00411F38">
      <w:bookmarkStart w:id="0" w:name="_GoBack"/>
      <w:bookmarkEnd w:id="0"/>
    </w:p>
    <w:p w14:paraId="7101B9BC" w14:textId="77777777" w:rsidR="00411F38" w:rsidRDefault="00411F38" w:rsidP="00411F38">
      <w:pPr>
        <w:spacing w:line="360" w:lineRule="auto"/>
        <w:jc w:val="both"/>
        <w:rPr>
          <w:rFonts w:cstheme="minorHAnsi"/>
          <w:b/>
          <w:bCs/>
        </w:rPr>
      </w:pPr>
    </w:p>
    <w:p w14:paraId="6A3F506A" w14:textId="77777777" w:rsidR="00411F38" w:rsidRDefault="00411F38" w:rsidP="00411F38">
      <w:pPr>
        <w:spacing w:line="360" w:lineRule="auto"/>
        <w:jc w:val="both"/>
        <w:rPr>
          <w:rFonts w:cstheme="minorHAnsi"/>
          <w:b/>
          <w:bCs/>
        </w:rPr>
      </w:pPr>
    </w:p>
    <w:p w14:paraId="19FCDABC" w14:textId="77777777" w:rsidR="00411F38" w:rsidRDefault="00411F38" w:rsidP="00411F38">
      <w:pPr>
        <w:spacing w:line="360" w:lineRule="auto"/>
        <w:jc w:val="both"/>
        <w:rPr>
          <w:rFonts w:cstheme="minorHAnsi"/>
          <w:b/>
          <w:bCs/>
        </w:rPr>
      </w:pPr>
    </w:p>
    <w:p w14:paraId="14602B2D" w14:textId="77777777" w:rsidR="00411F38" w:rsidRDefault="00411F38" w:rsidP="00411F38">
      <w:pPr>
        <w:spacing w:line="360" w:lineRule="auto"/>
        <w:jc w:val="both"/>
        <w:rPr>
          <w:rFonts w:cstheme="minorHAnsi"/>
          <w:b/>
          <w:bCs/>
        </w:rPr>
      </w:pPr>
    </w:p>
    <w:p w14:paraId="48651EC3" w14:textId="77777777" w:rsidR="00411F38" w:rsidRDefault="00411F38" w:rsidP="00411F38">
      <w:pPr>
        <w:spacing w:line="360" w:lineRule="auto"/>
        <w:jc w:val="both"/>
        <w:rPr>
          <w:rFonts w:cstheme="minorHAnsi"/>
          <w:b/>
          <w:bCs/>
        </w:rPr>
      </w:pPr>
    </w:p>
    <w:p w14:paraId="6A59E844" w14:textId="77777777" w:rsidR="00411F38" w:rsidRDefault="00411F38" w:rsidP="00411F38">
      <w:pPr>
        <w:spacing w:line="360" w:lineRule="auto"/>
        <w:jc w:val="both"/>
        <w:rPr>
          <w:rFonts w:cstheme="minorHAnsi"/>
          <w:b/>
          <w:bCs/>
        </w:rPr>
      </w:pPr>
    </w:p>
    <w:p w14:paraId="16307935" w14:textId="77777777" w:rsidR="00411F38" w:rsidRDefault="00411F38" w:rsidP="00411F38">
      <w:pPr>
        <w:spacing w:line="360" w:lineRule="auto"/>
        <w:jc w:val="both"/>
        <w:rPr>
          <w:rFonts w:cstheme="minorHAnsi"/>
          <w:b/>
          <w:bCs/>
        </w:rPr>
      </w:pPr>
    </w:p>
    <w:p w14:paraId="5CA6AD6F" w14:textId="77777777" w:rsidR="00411F38" w:rsidRDefault="00411F38" w:rsidP="00411F38">
      <w:pPr>
        <w:spacing w:line="360" w:lineRule="auto"/>
        <w:jc w:val="both"/>
        <w:rPr>
          <w:rFonts w:cstheme="minorHAnsi"/>
          <w:b/>
          <w:bCs/>
        </w:rPr>
      </w:pPr>
    </w:p>
    <w:p w14:paraId="01586A99" w14:textId="77777777" w:rsidR="00411F38" w:rsidRDefault="00411F38" w:rsidP="00411F38">
      <w:pPr>
        <w:spacing w:line="360" w:lineRule="auto"/>
        <w:jc w:val="both"/>
        <w:rPr>
          <w:rFonts w:cstheme="minorHAnsi"/>
          <w:b/>
          <w:bCs/>
        </w:rPr>
      </w:pPr>
    </w:p>
    <w:p w14:paraId="37FE18F1" w14:textId="77777777" w:rsidR="00411F38" w:rsidRDefault="00411F38" w:rsidP="00411F38">
      <w:pPr>
        <w:spacing w:line="360" w:lineRule="auto"/>
        <w:jc w:val="both"/>
        <w:rPr>
          <w:rFonts w:cstheme="minorHAnsi"/>
          <w:b/>
          <w:bCs/>
        </w:rPr>
      </w:pPr>
    </w:p>
    <w:p w14:paraId="2A0FB995" w14:textId="77777777" w:rsidR="00411F38" w:rsidRDefault="00411F38" w:rsidP="00411F38">
      <w:pPr>
        <w:spacing w:line="360" w:lineRule="auto"/>
        <w:jc w:val="both"/>
        <w:rPr>
          <w:rFonts w:cstheme="minorHAnsi"/>
          <w:b/>
          <w:bCs/>
        </w:rPr>
      </w:pPr>
    </w:p>
    <w:p w14:paraId="384F5AE0" w14:textId="77777777" w:rsidR="00411F38" w:rsidRDefault="00411F38" w:rsidP="00411F38">
      <w:pPr>
        <w:spacing w:line="360" w:lineRule="auto"/>
        <w:jc w:val="both"/>
        <w:rPr>
          <w:rFonts w:cstheme="minorHAnsi"/>
          <w:b/>
          <w:bCs/>
        </w:rPr>
      </w:pPr>
    </w:p>
    <w:p w14:paraId="575E23BB" w14:textId="77777777" w:rsidR="00411F38" w:rsidRDefault="00411F38" w:rsidP="00411F38">
      <w:pPr>
        <w:spacing w:line="360" w:lineRule="auto"/>
        <w:jc w:val="both"/>
        <w:rPr>
          <w:rFonts w:cstheme="minorHAnsi"/>
          <w:b/>
          <w:bCs/>
        </w:rPr>
      </w:pPr>
    </w:p>
    <w:p w14:paraId="518DAD66" w14:textId="77777777" w:rsidR="00411F38" w:rsidRPr="00CF4BDC" w:rsidRDefault="00411F38" w:rsidP="00411F38">
      <w:pPr>
        <w:spacing w:line="360" w:lineRule="auto"/>
        <w:jc w:val="both"/>
        <w:rPr>
          <w:sz w:val="22"/>
          <w:szCs w:val="22"/>
        </w:rPr>
        <w:sectPr w:rsidR="00411F38" w:rsidRPr="00CF4BDC" w:rsidSect="00CF4BDC">
          <w:pgSz w:w="11900" w:h="16840"/>
          <w:pgMar w:top="1440" w:right="1440" w:bottom="1440" w:left="1440" w:header="709" w:footer="709" w:gutter="0"/>
          <w:cols w:space="708"/>
          <w:docGrid w:linePitch="360"/>
        </w:sectPr>
      </w:pPr>
    </w:p>
    <w:p w14:paraId="4342148C" w14:textId="77777777" w:rsidR="00411F38" w:rsidRPr="0008068B" w:rsidRDefault="00411F38" w:rsidP="00411F38">
      <w:pPr>
        <w:spacing w:line="360" w:lineRule="auto"/>
        <w:jc w:val="both"/>
        <w:rPr>
          <w:b/>
          <w:bCs/>
          <w:sz w:val="22"/>
          <w:szCs w:val="22"/>
        </w:rPr>
      </w:pPr>
      <w:r>
        <w:rPr>
          <w:b/>
          <w:bCs/>
        </w:rPr>
        <w:lastRenderedPageBreak/>
        <w:t>Figs. S1 to S5</w:t>
      </w:r>
    </w:p>
    <w:p w14:paraId="591B0750" w14:textId="77777777" w:rsidR="00411F38" w:rsidRDefault="00411F38" w:rsidP="00411F38">
      <w:r>
        <w:rPr>
          <w:noProof/>
        </w:rPr>
        <w:drawing>
          <wp:anchor distT="0" distB="0" distL="114300" distR="114300" simplePos="0" relativeHeight="251659264" behindDoc="1" locked="0" layoutInCell="1" allowOverlap="1" wp14:anchorId="79631541" wp14:editId="69334E67">
            <wp:simplePos x="0" y="0"/>
            <wp:positionH relativeFrom="column">
              <wp:posOffset>1211615</wp:posOffset>
            </wp:positionH>
            <wp:positionV relativeFrom="paragraph">
              <wp:posOffset>261299</wp:posOffset>
            </wp:positionV>
            <wp:extent cx="3898900" cy="2603500"/>
            <wp:effectExtent l="0" t="0" r="0" b="0"/>
            <wp:wrapTopAndBottom/>
            <wp:docPr id="8" name="Picture 8" descr="A picture containing text, c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picture containing text, cat&#10;&#10;Description automatically generated"/>
                    <pic:cNvPicPr/>
                  </pic:nvPicPr>
                  <pic:blipFill rotWithShape="1">
                    <a:blip r:embed="rId4" cstate="print">
                      <a:extLst>
                        <a:ext uri="{28A0092B-C50C-407E-A947-70E740481C1C}">
                          <a14:useLocalDpi xmlns:a14="http://schemas.microsoft.com/office/drawing/2010/main" val="0"/>
                        </a:ext>
                      </a:extLst>
                    </a:blip>
                    <a:srcRect r="40039"/>
                    <a:stretch/>
                  </pic:blipFill>
                  <pic:spPr bwMode="auto">
                    <a:xfrm>
                      <a:off x="0" y="0"/>
                      <a:ext cx="3898900" cy="26035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CF47AB3" w14:textId="77777777" w:rsidR="00411F38" w:rsidRDefault="00411F38" w:rsidP="00411F38"/>
    <w:p w14:paraId="4A1421C8" w14:textId="77777777" w:rsidR="00411F38" w:rsidRDefault="00411F38" w:rsidP="00411F38">
      <w:pPr>
        <w:jc w:val="both"/>
        <w:rPr>
          <w:b/>
          <w:bCs/>
          <w:sz w:val="22"/>
          <w:szCs w:val="22"/>
        </w:rPr>
      </w:pPr>
      <w:r>
        <w:rPr>
          <w:b/>
          <w:bCs/>
          <w:sz w:val="22"/>
          <w:szCs w:val="22"/>
        </w:rPr>
        <w:t>Fig. S1</w:t>
      </w:r>
      <w:r w:rsidRPr="000D3DDF">
        <w:rPr>
          <w:sz w:val="22"/>
          <w:szCs w:val="22"/>
        </w:rPr>
        <w:t xml:space="preserve"> - </w:t>
      </w:r>
      <w:r w:rsidRPr="000D3DDF">
        <w:rPr>
          <w:b/>
          <w:bCs/>
          <w:sz w:val="22"/>
          <w:szCs w:val="22"/>
        </w:rPr>
        <w:t xml:space="preserve">Flow cytometry </w:t>
      </w:r>
      <w:r>
        <w:rPr>
          <w:b/>
          <w:bCs/>
          <w:sz w:val="22"/>
          <w:szCs w:val="22"/>
        </w:rPr>
        <w:t>of</w:t>
      </w:r>
      <w:r w:rsidRPr="00526E72">
        <w:rPr>
          <w:sz w:val="22"/>
          <w:szCs w:val="22"/>
        </w:rPr>
        <w:t xml:space="preserve"> </w:t>
      </w:r>
      <w:r w:rsidRPr="001C6014">
        <w:rPr>
          <w:b/>
          <w:bCs/>
          <w:sz w:val="22"/>
          <w:szCs w:val="22"/>
        </w:rPr>
        <w:t>PDGFR</w:t>
      </w:r>
      <m:oMath>
        <m:r>
          <m:rPr>
            <m:sty m:val="bi"/>
          </m:rPr>
          <w:rPr>
            <w:rFonts w:ascii="Cambria Math" w:hAnsi="Cambria Math"/>
            <w:sz w:val="22"/>
            <w:szCs w:val="22"/>
          </w:rPr>
          <m:t>α</m:t>
        </m:r>
      </m:oMath>
      <w:r>
        <w:rPr>
          <w:b/>
          <w:sz w:val="22"/>
          <w:szCs w:val="22"/>
        </w:rPr>
        <w:t>-m</w:t>
      </w:r>
      <w:r w:rsidRPr="001C6014">
        <w:rPr>
          <w:b/>
          <w:bCs/>
          <w:sz w:val="22"/>
          <w:szCs w:val="22"/>
        </w:rPr>
        <w:t>GFP fibroblasts</w:t>
      </w:r>
    </w:p>
    <w:p w14:paraId="0160E022" w14:textId="77777777" w:rsidR="00411F38" w:rsidRPr="000D3DDF" w:rsidRDefault="00411F38" w:rsidP="00411F38">
      <w:pPr>
        <w:jc w:val="both"/>
        <w:rPr>
          <w:rFonts w:eastAsiaTheme="minorEastAsia"/>
          <w:sz w:val="22"/>
          <w:szCs w:val="22"/>
        </w:rPr>
      </w:pPr>
    </w:p>
    <w:p w14:paraId="7C833018" w14:textId="77777777" w:rsidR="00411F38" w:rsidRDefault="00411F38" w:rsidP="00411F38">
      <w:pPr>
        <w:jc w:val="both"/>
        <w:rPr>
          <w:rFonts w:eastAsiaTheme="minorEastAsia"/>
          <w:sz w:val="22"/>
          <w:szCs w:val="22"/>
        </w:rPr>
      </w:pPr>
      <w:r w:rsidRPr="000D3DDF">
        <w:rPr>
          <w:rFonts w:eastAsiaTheme="minorEastAsia"/>
          <w:b/>
          <w:bCs/>
          <w:sz w:val="22"/>
          <w:szCs w:val="22"/>
        </w:rPr>
        <w:t>A)</w:t>
      </w:r>
      <w:r w:rsidRPr="000D3DDF">
        <w:rPr>
          <w:rFonts w:eastAsiaTheme="minorEastAsia"/>
          <w:sz w:val="22"/>
          <w:szCs w:val="22"/>
        </w:rPr>
        <w:t xml:space="preserve">  </w:t>
      </w:r>
      <w:r>
        <w:rPr>
          <w:rFonts w:eastAsiaTheme="minorEastAsia"/>
          <w:sz w:val="22"/>
          <w:szCs w:val="22"/>
        </w:rPr>
        <w:t>Flow cytometry panel of PDPN</w:t>
      </w:r>
      <w:r w:rsidRPr="001C6014">
        <w:rPr>
          <w:rFonts w:eastAsiaTheme="minorEastAsia"/>
          <w:sz w:val="22"/>
          <w:szCs w:val="22"/>
          <w:vertAlign w:val="superscript"/>
        </w:rPr>
        <w:t>+</w:t>
      </w:r>
      <w:r>
        <w:rPr>
          <w:rFonts w:eastAsiaTheme="minorEastAsia"/>
          <w:sz w:val="22"/>
          <w:szCs w:val="22"/>
        </w:rPr>
        <w:t xml:space="preserve"> and CD140</w:t>
      </w:r>
      <m:oMath>
        <m:r>
          <w:rPr>
            <w:rFonts w:ascii="Cambria Math" w:hAnsi="Cambria Math"/>
            <w:sz w:val="22"/>
            <w:szCs w:val="22"/>
          </w:rPr>
          <m:t>α</m:t>
        </m:r>
      </m:oMath>
      <w:r w:rsidRPr="001C6014">
        <w:rPr>
          <w:rFonts w:eastAsiaTheme="minorEastAsia"/>
          <w:sz w:val="22"/>
          <w:szCs w:val="22"/>
          <w:vertAlign w:val="superscript"/>
        </w:rPr>
        <w:t xml:space="preserve">+ </w:t>
      </w:r>
      <w:r>
        <w:rPr>
          <w:rFonts w:eastAsiaTheme="minorEastAsia"/>
          <w:sz w:val="22"/>
          <w:szCs w:val="22"/>
        </w:rPr>
        <w:t>skin fibroblasts expressing GFP</w:t>
      </w:r>
      <w:r w:rsidRPr="000D3DDF">
        <w:rPr>
          <w:rFonts w:eastAsiaTheme="minorEastAsia"/>
          <w:sz w:val="22"/>
          <w:szCs w:val="22"/>
        </w:rPr>
        <w:t xml:space="preserve">. </w:t>
      </w:r>
      <w:r>
        <w:rPr>
          <w:rFonts w:eastAsiaTheme="minorEastAsia"/>
          <w:sz w:val="22"/>
          <w:szCs w:val="22"/>
        </w:rPr>
        <w:t>Top two panels show GFP- control fibroblasts. Bottom two panels show PDPN+, GFP+ and CD140a+ GFP+ fibroblasts. Right panel shows control fibroblasts (grey) to PDGFR</w:t>
      </w:r>
      <m:oMath>
        <m:r>
          <w:rPr>
            <w:rFonts w:ascii="Cambria Math" w:hAnsi="Cambria Math"/>
            <w:sz w:val="22"/>
            <w:szCs w:val="22"/>
          </w:rPr>
          <m:t>α</m:t>
        </m:r>
      </m:oMath>
      <w:r>
        <w:rPr>
          <w:rFonts w:eastAsiaTheme="minorEastAsia"/>
          <w:sz w:val="22"/>
          <w:szCs w:val="22"/>
        </w:rPr>
        <w:t>-mGFP fibrobla</w:t>
      </w:r>
      <w:proofErr w:type="spellStart"/>
      <w:r>
        <w:rPr>
          <w:rFonts w:eastAsiaTheme="minorEastAsia"/>
          <w:sz w:val="22"/>
          <w:szCs w:val="22"/>
        </w:rPr>
        <w:t>sts</w:t>
      </w:r>
      <w:proofErr w:type="spellEnd"/>
      <w:r>
        <w:rPr>
          <w:rFonts w:eastAsiaTheme="minorEastAsia"/>
          <w:sz w:val="22"/>
          <w:szCs w:val="22"/>
        </w:rPr>
        <w:t xml:space="preserve"> (green).</w:t>
      </w:r>
    </w:p>
    <w:p w14:paraId="4FD90E51" w14:textId="77777777" w:rsidR="00411F38" w:rsidRDefault="00411F38" w:rsidP="00411F38">
      <w:pPr>
        <w:jc w:val="both"/>
        <w:rPr>
          <w:b/>
          <w:bCs/>
          <w:sz w:val="22"/>
          <w:szCs w:val="22"/>
        </w:rPr>
      </w:pPr>
      <w:r>
        <w:rPr>
          <w:noProof/>
        </w:rPr>
        <w:lastRenderedPageBreak/>
        <w:drawing>
          <wp:anchor distT="0" distB="0" distL="114300" distR="114300" simplePos="0" relativeHeight="251664384" behindDoc="1" locked="0" layoutInCell="1" allowOverlap="1" wp14:anchorId="7053C5EB" wp14:editId="58DCB5EA">
            <wp:simplePos x="0" y="0"/>
            <wp:positionH relativeFrom="column">
              <wp:posOffset>-94540</wp:posOffset>
            </wp:positionH>
            <wp:positionV relativeFrom="paragraph">
              <wp:posOffset>0</wp:posOffset>
            </wp:positionV>
            <wp:extent cx="5943600" cy="6610985"/>
            <wp:effectExtent l="0" t="0" r="0" b="5715"/>
            <wp:wrapTopAndBottom/>
            <wp:docPr id="9" name="Picture 9"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Diagram&#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43600" cy="6610985"/>
                    </a:xfrm>
                    <a:prstGeom prst="rect">
                      <a:avLst/>
                    </a:prstGeom>
                  </pic:spPr>
                </pic:pic>
              </a:graphicData>
            </a:graphic>
            <wp14:sizeRelH relativeFrom="page">
              <wp14:pctWidth>0</wp14:pctWidth>
            </wp14:sizeRelH>
            <wp14:sizeRelV relativeFrom="page">
              <wp14:pctHeight>0</wp14:pctHeight>
            </wp14:sizeRelV>
          </wp:anchor>
        </w:drawing>
      </w:r>
      <w:r w:rsidRPr="00387DF9">
        <w:rPr>
          <w:b/>
          <w:bCs/>
          <w:sz w:val="22"/>
          <w:szCs w:val="22"/>
        </w:rPr>
        <w:t xml:space="preserve"> </w:t>
      </w:r>
    </w:p>
    <w:p w14:paraId="550719B5" w14:textId="77777777" w:rsidR="00411F38" w:rsidRDefault="00411F38" w:rsidP="00411F38">
      <w:pPr>
        <w:jc w:val="both"/>
        <w:rPr>
          <w:b/>
          <w:bCs/>
          <w:sz w:val="22"/>
          <w:szCs w:val="22"/>
        </w:rPr>
      </w:pPr>
      <w:r>
        <w:rPr>
          <w:b/>
          <w:bCs/>
          <w:sz w:val="22"/>
          <w:szCs w:val="22"/>
        </w:rPr>
        <w:t>Fig. S2</w:t>
      </w:r>
      <w:r w:rsidRPr="000D3DDF">
        <w:rPr>
          <w:sz w:val="22"/>
          <w:szCs w:val="22"/>
        </w:rPr>
        <w:t xml:space="preserve"> – </w:t>
      </w:r>
      <w:r w:rsidRPr="000D3DDF">
        <w:rPr>
          <w:b/>
          <w:bCs/>
          <w:sz w:val="22"/>
          <w:szCs w:val="22"/>
        </w:rPr>
        <w:t>Y27 treatment of lymph node slices reduce tension in the FRC network</w:t>
      </w:r>
    </w:p>
    <w:p w14:paraId="0C721E42" w14:textId="77777777" w:rsidR="00411F38" w:rsidRDefault="00411F38" w:rsidP="00411F38">
      <w:pPr>
        <w:jc w:val="both"/>
        <w:rPr>
          <w:b/>
          <w:bCs/>
          <w:sz w:val="22"/>
          <w:szCs w:val="22"/>
        </w:rPr>
      </w:pPr>
    </w:p>
    <w:p w14:paraId="10FF73DD" w14:textId="77777777" w:rsidR="00411F38" w:rsidRPr="003D2358" w:rsidRDefault="00411F38" w:rsidP="00411F38">
      <w:pPr>
        <w:jc w:val="both"/>
        <w:rPr>
          <w:rFonts w:eastAsiaTheme="minorEastAsia"/>
          <w:sz w:val="22"/>
          <w:szCs w:val="22"/>
        </w:rPr>
      </w:pPr>
      <w:r>
        <w:rPr>
          <w:rFonts w:eastAsiaTheme="minorEastAsia"/>
          <w:b/>
          <w:bCs/>
          <w:sz w:val="22"/>
          <w:szCs w:val="22"/>
        </w:rPr>
        <w:t xml:space="preserve">A) </w:t>
      </w:r>
      <w:r w:rsidRPr="009D3E14">
        <w:rPr>
          <w:sz w:val="22"/>
          <w:szCs w:val="22"/>
        </w:rPr>
        <w:t>Schematic of immunisation and animal models. A membrane targeted GFP molecule is driven under the (PDGFR</w:t>
      </w:r>
      <m:oMath>
        <m:r>
          <w:rPr>
            <w:rFonts w:ascii="Cambria Math" w:hAnsi="Cambria Math"/>
            <w:sz w:val="22"/>
            <w:szCs w:val="22"/>
          </w:rPr>
          <m:t>α</m:t>
        </m:r>
      </m:oMath>
      <w:r w:rsidRPr="009D3E14">
        <w:rPr>
          <w:rFonts w:eastAsiaTheme="minorEastAsia"/>
          <w:sz w:val="22"/>
          <w:szCs w:val="22"/>
        </w:rPr>
        <w:t>) promoter (left). LN nodes were embedded in low melt agarose and sliced at 200</w:t>
      </w:r>
      <m:oMath>
        <m:r>
          <w:rPr>
            <w:rFonts w:ascii="Cambria Math" w:hAnsi="Cambria Math"/>
            <w:sz w:val="22"/>
            <w:szCs w:val="22"/>
          </w:rPr>
          <m:t>μ</m:t>
        </m:r>
      </m:oMath>
      <w:r w:rsidRPr="009D3E14">
        <w:rPr>
          <w:rFonts w:eastAsiaTheme="minorEastAsia"/>
          <w:sz w:val="22"/>
          <w:szCs w:val="22"/>
        </w:rPr>
        <w:t xml:space="preserve">m thickness before being secured by cover glass for imaging (middle). </w:t>
      </w:r>
      <w:r w:rsidRPr="009D3E14">
        <w:rPr>
          <w:sz w:val="22"/>
          <w:szCs w:val="22"/>
        </w:rPr>
        <w:t xml:space="preserve">IFA/OVA is used as model immunisation with inguinal </w:t>
      </w:r>
      <w:r>
        <w:rPr>
          <w:sz w:val="22"/>
          <w:szCs w:val="22"/>
        </w:rPr>
        <w:t>draining (</w:t>
      </w:r>
      <w:proofErr w:type="spellStart"/>
      <w:r>
        <w:rPr>
          <w:sz w:val="22"/>
          <w:szCs w:val="22"/>
        </w:rPr>
        <w:t>dr</w:t>
      </w:r>
      <w:proofErr w:type="spellEnd"/>
      <w:r>
        <w:rPr>
          <w:sz w:val="22"/>
          <w:szCs w:val="22"/>
        </w:rPr>
        <w:t>) and non-draining (</w:t>
      </w:r>
      <w:proofErr w:type="spellStart"/>
      <w:r>
        <w:rPr>
          <w:sz w:val="22"/>
          <w:szCs w:val="22"/>
        </w:rPr>
        <w:t>nDr</w:t>
      </w:r>
      <w:proofErr w:type="spellEnd"/>
      <w:r>
        <w:rPr>
          <w:sz w:val="22"/>
          <w:szCs w:val="22"/>
        </w:rPr>
        <w:t xml:space="preserve">) </w:t>
      </w:r>
      <w:r w:rsidRPr="009D3E14">
        <w:rPr>
          <w:sz w:val="22"/>
          <w:szCs w:val="22"/>
        </w:rPr>
        <w:t>lymph nodes (LN’s) harvested day 3 or day 5 post immunisation (right).</w:t>
      </w:r>
      <w:r>
        <w:rPr>
          <w:sz w:val="22"/>
          <w:szCs w:val="22"/>
        </w:rPr>
        <w:t xml:space="preserve"> </w:t>
      </w:r>
      <w:r>
        <w:rPr>
          <w:b/>
          <w:bCs/>
          <w:sz w:val="22"/>
          <w:szCs w:val="22"/>
        </w:rPr>
        <w:t>B</w:t>
      </w:r>
      <w:r w:rsidRPr="000D3DDF">
        <w:rPr>
          <w:b/>
          <w:bCs/>
          <w:sz w:val="22"/>
          <w:szCs w:val="22"/>
        </w:rPr>
        <w:t>-</w:t>
      </w:r>
      <w:r>
        <w:rPr>
          <w:b/>
          <w:bCs/>
          <w:sz w:val="22"/>
          <w:szCs w:val="22"/>
        </w:rPr>
        <w:t>D</w:t>
      </w:r>
      <w:r w:rsidRPr="000D3DDF">
        <w:rPr>
          <w:b/>
          <w:bCs/>
          <w:sz w:val="22"/>
          <w:szCs w:val="22"/>
        </w:rPr>
        <w:t>)</w:t>
      </w:r>
      <w:r w:rsidRPr="000D3DDF">
        <w:rPr>
          <w:sz w:val="22"/>
          <w:szCs w:val="22"/>
        </w:rPr>
        <w:t xml:space="preserve"> </w:t>
      </w:r>
      <w:r w:rsidRPr="001E43BE">
        <w:rPr>
          <w:rFonts w:eastAsiaTheme="minorEastAsia"/>
          <w:sz w:val="22"/>
          <w:szCs w:val="22"/>
        </w:rPr>
        <w:t>Recoil curves show displacement over time</w:t>
      </w:r>
      <w:r>
        <w:rPr>
          <w:rFonts w:eastAsiaTheme="minorEastAsia"/>
          <w:sz w:val="22"/>
          <w:szCs w:val="22"/>
        </w:rPr>
        <w:t xml:space="preserve"> </w:t>
      </w:r>
      <w:r>
        <w:rPr>
          <w:sz w:val="22"/>
          <w:szCs w:val="22"/>
        </w:rPr>
        <w:t>(mean ±SEM) (top panel)</w:t>
      </w:r>
      <w:r w:rsidRPr="001E43BE">
        <w:rPr>
          <w:rFonts w:eastAsiaTheme="minorEastAsia"/>
          <w:sz w:val="22"/>
          <w:szCs w:val="22"/>
        </w:rPr>
        <w:t>.</w:t>
      </w:r>
      <w:r>
        <w:rPr>
          <w:rFonts w:eastAsiaTheme="minorEastAsia"/>
          <w:sz w:val="22"/>
          <w:szCs w:val="22"/>
        </w:rPr>
        <w:t xml:space="preserve"> Individual recoil curves of control (middle) and Y27 treated LNs (bottom).</w:t>
      </w:r>
      <w:r w:rsidRPr="001E43BE">
        <w:rPr>
          <w:rFonts w:eastAsiaTheme="minorEastAsia"/>
          <w:sz w:val="22"/>
          <w:szCs w:val="22"/>
        </w:rPr>
        <w:t xml:space="preserve"> </w:t>
      </w:r>
      <w:r>
        <w:rPr>
          <w:rFonts w:eastAsiaTheme="minorEastAsia"/>
          <w:sz w:val="22"/>
          <w:szCs w:val="22"/>
        </w:rPr>
        <w:t>N&gt;5 animals per condition.</w:t>
      </w:r>
      <w:r w:rsidRPr="000D3DDF" w:rsidDel="00E02A9E">
        <w:rPr>
          <w:sz w:val="22"/>
          <w:szCs w:val="22"/>
        </w:rPr>
        <w:t xml:space="preserve"> </w:t>
      </w:r>
      <w:r>
        <w:rPr>
          <w:b/>
          <w:bCs/>
          <w:sz w:val="22"/>
          <w:szCs w:val="22"/>
        </w:rPr>
        <w:t>E</w:t>
      </w:r>
      <w:r w:rsidRPr="000D3DDF">
        <w:rPr>
          <w:b/>
          <w:bCs/>
          <w:sz w:val="22"/>
          <w:szCs w:val="22"/>
        </w:rPr>
        <w:t>)</w:t>
      </w:r>
      <w:r w:rsidRPr="000D3DDF">
        <w:rPr>
          <w:rFonts w:eastAsiaTheme="minorEastAsia"/>
          <w:sz w:val="22"/>
          <w:szCs w:val="22"/>
        </w:rPr>
        <w:t xml:space="preserve"> </w:t>
      </w:r>
      <w:r w:rsidRPr="001E43BE">
        <w:rPr>
          <w:rFonts w:eastAsiaTheme="minorEastAsia"/>
          <w:sz w:val="22"/>
          <w:szCs w:val="22"/>
        </w:rPr>
        <w:t>Recoil curves show displacement over time</w:t>
      </w:r>
      <w:r>
        <w:rPr>
          <w:rFonts w:eastAsiaTheme="minorEastAsia"/>
          <w:sz w:val="22"/>
          <w:szCs w:val="22"/>
        </w:rPr>
        <w:t xml:space="preserve"> </w:t>
      </w:r>
      <w:r>
        <w:rPr>
          <w:sz w:val="22"/>
          <w:szCs w:val="22"/>
        </w:rPr>
        <w:t>(mean ±SEM), comparing untreated and Y27 treated LNs</w:t>
      </w:r>
      <w:r w:rsidRPr="001E43BE">
        <w:rPr>
          <w:rFonts w:eastAsiaTheme="minorEastAsia"/>
          <w:sz w:val="22"/>
          <w:szCs w:val="22"/>
        </w:rPr>
        <w:t>.</w:t>
      </w:r>
      <w:r>
        <w:rPr>
          <w:rFonts w:eastAsiaTheme="minorEastAsia"/>
          <w:sz w:val="22"/>
          <w:szCs w:val="22"/>
        </w:rPr>
        <w:t xml:space="preserve"> Blue shading indicates initial recoil phase.</w:t>
      </w:r>
      <w:r w:rsidRPr="001E43BE">
        <w:rPr>
          <w:rFonts w:eastAsiaTheme="minorEastAsia"/>
          <w:sz w:val="22"/>
          <w:szCs w:val="22"/>
        </w:rPr>
        <w:t xml:space="preserve"> </w:t>
      </w:r>
      <w:r>
        <w:rPr>
          <w:rFonts w:eastAsiaTheme="minorEastAsia"/>
          <w:sz w:val="22"/>
          <w:szCs w:val="22"/>
        </w:rPr>
        <w:t xml:space="preserve">N&gt;5 animals per condition. </w:t>
      </w:r>
      <w:r>
        <w:rPr>
          <w:b/>
          <w:bCs/>
          <w:sz w:val="22"/>
          <w:szCs w:val="22"/>
        </w:rPr>
        <w:t>F</w:t>
      </w:r>
      <w:r w:rsidRPr="000D3DDF">
        <w:rPr>
          <w:b/>
          <w:bCs/>
          <w:sz w:val="22"/>
          <w:szCs w:val="22"/>
        </w:rPr>
        <w:t>)</w:t>
      </w:r>
      <w:r w:rsidRPr="000D3DDF">
        <w:rPr>
          <w:rFonts w:eastAsiaTheme="minorEastAsia"/>
          <w:sz w:val="22"/>
          <w:szCs w:val="22"/>
        </w:rPr>
        <w:t xml:space="preserve"> </w:t>
      </w:r>
      <w:r w:rsidRPr="001E43BE">
        <w:rPr>
          <w:rFonts w:eastAsiaTheme="minorEastAsia"/>
          <w:sz w:val="22"/>
          <w:szCs w:val="22"/>
        </w:rPr>
        <w:t xml:space="preserve">Membrane GFP visualises the FRC network in the </w:t>
      </w:r>
      <w:r w:rsidRPr="00786CEB">
        <w:rPr>
          <w:rFonts w:eastAsiaTheme="minorEastAsia"/>
          <w:i/>
          <w:iCs/>
          <w:sz w:val="22"/>
          <w:szCs w:val="22"/>
        </w:rPr>
        <w:t>ex vivo</w:t>
      </w:r>
      <w:r w:rsidRPr="001E43BE">
        <w:rPr>
          <w:rFonts w:eastAsiaTheme="minorEastAsia"/>
          <w:sz w:val="22"/>
          <w:szCs w:val="22"/>
        </w:rPr>
        <w:t xml:space="preserve"> lymph node slice.</w:t>
      </w:r>
      <w:r>
        <w:rPr>
          <w:rFonts w:eastAsiaTheme="minorEastAsia"/>
          <w:sz w:val="22"/>
          <w:szCs w:val="22"/>
        </w:rPr>
        <w:t xml:space="preserve"> Y27 treatment has no effect on the FRC network connectivity.</w:t>
      </w:r>
      <w:r w:rsidRPr="001E43BE">
        <w:rPr>
          <w:rFonts w:eastAsiaTheme="minorEastAsia"/>
          <w:sz w:val="22"/>
          <w:szCs w:val="22"/>
        </w:rPr>
        <w:t xml:space="preserve"> Scale </w:t>
      </w:r>
      <w:r>
        <w:rPr>
          <w:rFonts w:eastAsiaTheme="minorEastAsia"/>
          <w:sz w:val="22"/>
          <w:szCs w:val="22"/>
        </w:rPr>
        <w:t>bar</w:t>
      </w:r>
      <w:r w:rsidRPr="001E43BE">
        <w:rPr>
          <w:rFonts w:eastAsiaTheme="minorEastAsia"/>
          <w:sz w:val="22"/>
          <w:szCs w:val="22"/>
        </w:rPr>
        <w:t xml:space="preserve"> 50</w:t>
      </w:r>
      <m:oMath>
        <m:r>
          <w:rPr>
            <w:rFonts w:ascii="Cambria Math" w:hAnsi="Cambria Math"/>
            <w:sz w:val="22"/>
            <w:szCs w:val="22"/>
          </w:rPr>
          <m:t>μ</m:t>
        </m:r>
      </m:oMath>
      <w:r w:rsidRPr="001E43BE">
        <w:rPr>
          <w:rFonts w:eastAsiaTheme="minorEastAsia"/>
          <w:sz w:val="22"/>
          <w:szCs w:val="22"/>
        </w:rPr>
        <w:t>m</w:t>
      </w:r>
      <w:r w:rsidRPr="000D3DDF">
        <w:rPr>
          <w:sz w:val="22"/>
          <w:szCs w:val="22"/>
        </w:rPr>
        <w:t>.</w:t>
      </w:r>
    </w:p>
    <w:p w14:paraId="330CAD5E" w14:textId="77777777" w:rsidR="00411F38" w:rsidRDefault="00411F38" w:rsidP="00411F38">
      <w:pPr>
        <w:rPr>
          <w:b/>
          <w:bCs/>
          <w:sz w:val="22"/>
          <w:szCs w:val="22"/>
        </w:rPr>
      </w:pPr>
      <w:r>
        <w:rPr>
          <w:noProof/>
        </w:rPr>
        <w:lastRenderedPageBreak/>
        <w:drawing>
          <wp:anchor distT="0" distB="0" distL="114300" distR="114300" simplePos="0" relativeHeight="251663360" behindDoc="0" locked="0" layoutInCell="1" allowOverlap="1" wp14:anchorId="263BC16E" wp14:editId="5D785042">
            <wp:simplePos x="0" y="0"/>
            <wp:positionH relativeFrom="column">
              <wp:posOffset>-446592</wp:posOffset>
            </wp:positionH>
            <wp:positionV relativeFrom="paragraph">
              <wp:posOffset>0</wp:posOffset>
            </wp:positionV>
            <wp:extent cx="6685280" cy="4741545"/>
            <wp:effectExtent l="0" t="0" r="0" b="0"/>
            <wp:wrapTopAndBottom/>
            <wp:docPr id="10" name="Picture 10" descr="A screenshot of a compu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screenshot of a computer&#10;&#10;Description automatically generated with medium confidence"/>
                    <pic:cNvPicPr/>
                  </pic:nvPicPr>
                  <pic:blipFill>
                    <a:blip r:embed="rId6" cstate="print">
                      <a:extLst>
                        <a:ext uri="{28A0092B-C50C-407E-A947-70E740481C1C}">
                          <a14:useLocalDpi xmlns:a14="http://schemas.microsoft.com/office/drawing/2010/main" val="0"/>
                        </a:ext>
                      </a:extLst>
                    </a:blip>
                    <a:stretch>
                      <a:fillRect/>
                    </a:stretch>
                  </pic:blipFill>
                  <pic:spPr>
                    <a:xfrm>
                      <a:off x="0" y="0"/>
                      <a:ext cx="6685280" cy="4741545"/>
                    </a:xfrm>
                    <a:prstGeom prst="rect">
                      <a:avLst/>
                    </a:prstGeom>
                  </pic:spPr>
                </pic:pic>
              </a:graphicData>
            </a:graphic>
            <wp14:sizeRelH relativeFrom="page">
              <wp14:pctWidth>0</wp14:pctWidth>
            </wp14:sizeRelH>
            <wp14:sizeRelV relativeFrom="page">
              <wp14:pctHeight>0</wp14:pctHeight>
            </wp14:sizeRelV>
          </wp:anchor>
        </w:drawing>
      </w:r>
    </w:p>
    <w:p w14:paraId="0863BEF3" w14:textId="77777777" w:rsidR="00411F38" w:rsidRDefault="00411F38" w:rsidP="00411F38">
      <w:pPr>
        <w:rPr>
          <w:b/>
          <w:bCs/>
          <w:sz w:val="22"/>
          <w:szCs w:val="22"/>
        </w:rPr>
      </w:pPr>
      <w:r>
        <w:rPr>
          <w:b/>
          <w:bCs/>
          <w:sz w:val="22"/>
          <w:szCs w:val="22"/>
        </w:rPr>
        <w:t>Fig. S3</w:t>
      </w:r>
      <w:r w:rsidRPr="000D3DDF">
        <w:rPr>
          <w:b/>
          <w:bCs/>
          <w:sz w:val="22"/>
          <w:szCs w:val="22"/>
        </w:rPr>
        <w:t xml:space="preserve"> - Induction of PDPN mutants in PDPN KO fibroblastic reticular cell line</w:t>
      </w:r>
    </w:p>
    <w:p w14:paraId="75A134E9" w14:textId="77777777" w:rsidR="00411F38" w:rsidRDefault="00411F38" w:rsidP="00411F38">
      <w:pPr>
        <w:rPr>
          <w:b/>
          <w:bCs/>
          <w:sz w:val="22"/>
          <w:szCs w:val="22"/>
        </w:rPr>
      </w:pPr>
    </w:p>
    <w:p w14:paraId="4477B72B" w14:textId="77777777" w:rsidR="00411F38" w:rsidRPr="008D27DC" w:rsidRDefault="00411F38" w:rsidP="00411F38">
      <w:pPr>
        <w:jc w:val="both"/>
        <w:rPr>
          <w:b/>
          <w:bCs/>
          <w:sz w:val="22"/>
          <w:szCs w:val="22"/>
        </w:rPr>
      </w:pPr>
      <w:r>
        <w:rPr>
          <w:b/>
          <w:bCs/>
          <w:sz w:val="22"/>
          <w:szCs w:val="22"/>
        </w:rPr>
        <w:t xml:space="preserve">A) </w:t>
      </w:r>
      <w:r w:rsidRPr="001E43BE">
        <w:rPr>
          <w:rFonts w:eastAsiaTheme="minorEastAsia"/>
          <w:sz w:val="22"/>
          <w:szCs w:val="22"/>
        </w:rPr>
        <w:t xml:space="preserve">Schema of </w:t>
      </w:r>
      <w:r>
        <w:rPr>
          <w:rFonts w:eastAsiaTheme="minorEastAsia"/>
          <w:sz w:val="22"/>
          <w:szCs w:val="22"/>
        </w:rPr>
        <w:t xml:space="preserve">exogenous </w:t>
      </w:r>
      <w:r w:rsidRPr="001E43BE">
        <w:rPr>
          <w:rFonts w:eastAsiaTheme="minorEastAsia"/>
          <w:sz w:val="22"/>
          <w:szCs w:val="22"/>
        </w:rPr>
        <w:t xml:space="preserve">PDPN mutants and </w:t>
      </w:r>
      <w:r>
        <w:rPr>
          <w:rFonts w:eastAsiaTheme="minorEastAsia"/>
          <w:sz w:val="22"/>
          <w:szCs w:val="22"/>
        </w:rPr>
        <w:t>interaction with</w:t>
      </w:r>
      <w:r w:rsidRPr="001E43BE">
        <w:rPr>
          <w:rFonts w:eastAsiaTheme="minorEastAsia"/>
          <w:sz w:val="22"/>
          <w:szCs w:val="22"/>
        </w:rPr>
        <w:t xml:space="preserve"> CLEC2. </w:t>
      </w:r>
      <w:r>
        <w:rPr>
          <w:rFonts w:eastAsiaTheme="minorEastAsia"/>
          <w:sz w:val="22"/>
          <w:szCs w:val="22"/>
        </w:rPr>
        <w:t>Green arrow denotes active signalling by PDPN leading to actomyosin contractility, red arrow indicates inhibition of PDPN signalling and reduction in actomyosin contractility</w:t>
      </w:r>
      <w:r>
        <w:rPr>
          <w:b/>
          <w:bCs/>
          <w:sz w:val="22"/>
          <w:szCs w:val="22"/>
        </w:rPr>
        <w:t>. B)</w:t>
      </w:r>
      <w:r w:rsidRPr="00DA7931">
        <w:rPr>
          <w:rFonts w:eastAsiaTheme="minorEastAsia"/>
          <w:sz w:val="22"/>
          <w:szCs w:val="22"/>
        </w:rPr>
        <w:t xml:space="preserve"> </w:t>
      </w:r>
      <w:r w:rsidRPr="001E43BE">
        <w:rPr>
          <w:rFonts w:eastAsiaTheme="minorEastAsia"/>
          <w:sz w:val="22"/>
          <w:szCs w:val="22"/>
        </w:rPr>
        <w:t xml:space="preserve">Trap force measurements of </w:t>
      </w:r>
      <w:r>
        <w:rPr>
          <w:rFonts w:eastAsiaTheme="minorEastAsia"/>
          <w:sz w:val="22"/>
          <w:szCs w:val="22"/>
        </w:rPr>
        <w:t xml:space="preserve">FRCs expressing </w:t>
      </w:r>
      <w:r w:rsidRPr="001E43BE">
        <w:rPr>
          <w:rFonts w:eastAsiaTheme="minorEastAsia"/>
          <w:sz w:val="22"/>
          <w:szCs w:val="22"/>
        </w:rPr>
        <w:t xml:space="preserve">PDPN mutants </w:t>
      </w:r>
      <w:r>
        <w:rPr>
          <w:rFonts w:eastAsiaTheme="minorEastAsia"/>
          <w:sz w:val="22"/>
          <w:szCs w:val="22"/>
        </w:rPr>
        <w:t>after pre-treatment of</w:t>
      </w:r>
      <w:r w:rsidRPr="001E43BE">
        <w:rPr>
          <w:rFonts w:eastAsiaTheme="minorEastAsia"/>
          <w:sz w:val="22"/>
          <w:szCs w:val="22"/>
        </w:rPr>
        <w:t xml:space="preserve"> CLEC2. </w:t>
      </w:r>
      <w:r w:rsidRPr="001E43BE">
        <w:rPr>
          <w:sz w:val="22"/>
          <w:szCs w:val="22"/>
        </w:rPr>
        <w:t xml:space="preserve">Box plots </w:t>
      </w:r>
      <w:r>
        <w:rPr>
          <w:sz w:val="22"/>
          <w:szCs w:val="22"/>
        </w:rPr>
        <w:t xml:space="preserve">indicates median and interquartile range. </w:t>
      </w:r>
      <w:r>
        <w:rPr>
          <w:rFonts w:eastAsiaTheme="minorEastAsia"/>
          <w:sz w:val="22"/>
          <w:szCs w:val="22"/>
        </w:rPr>
        <w:t xml:space="preserve">Two-way ANOVA with </w:t>
      </w:r>
      <w:proofErr w:type="spellStart"/>
      <w:r>
        <w:rPr>
          <w:rFonts w:eastAsiaTheme="minorEastAsia"/>
          <w:sz w:val="22"/>
          <w:szCs w:val="22"/>
        </w:rPr>
        <w:t>Tukeys</w:t>
      </w:r>
      <w:proofErr w:type="spellEnd"/>
      <w:r>
        <w:rPr>
          <w:rFonts w:eastAsiaTheme="minorEastAsia"/>
          <w:sz w:val="22"/>
          <w:szCs w:val="22"/>
        </w:rPr>
        <w:t xml:space="preserve"> multiple comparisons, p&lt;0.001. N&gt;18</w:t>
      </w:r>
      <w:r>
        <w:rPr>
          <w:b/>
          <w:bCs/>
          <w:sz w:val="22"/>
          <w:szCs w:val="22"/>
        </w:rPr>
        <w:t xml:space="preserve">. </w:t>
      </w:r>
      <w:r w:rsidRPr="00EC44A2">
        <w:rPr>
          <w:b/>
          <w:bCs/>
          <w:sz w:val="22"/>
          <w:szCs w:val="22"/>
        </w:rPr>
        <w:t>C)</w:t>
      </w:r>
      <w:r w:rsidRPr="000D3DDF">
        <w:rPr>
          <w:sz w:val="22"/>
          <w:szCs w:val="22"/>
        </w:rPr>
        <w:t xml:space="preserve"> Trap force measurements of PDPN </w:t>
      </w:r>
      <w:r>
        <w:rPr>
          <w:sz w:val="22"/>
          <w:szCs w:val="22"/>
        </w:rPr>
        <w:t xml:space="preserve">CRISPR </w:t>
      </w:r>
      <w:r w:rsidRPr="000D3DDF">
        <w:rPr>
          <w:sz w:val="22"/>
          <w:szCs w:val="22"/>
        </w:rPr>
        <w:t xml:space="preserve">KO </w:t>
      </w:r>
      <w:r>
        <w:rPr>
          <w:sz w:val="22"/>
          <w:szCs w:val="22"/>
        </w:rPr>
        <w:t>FRCs treated with</w:t>
      </w:r>
      <w:r w:rsidRPr="000D3DDF">
        <w:rPr>
          <w:sz w:val="22"/>
          <w:szCs w:val="22"/>
        </w:rPr>
        <w:t xml:space="preserve"> CTRL or CLEC2 supernatant.</w:t>
      </w:r>
      <w:r w:rsidRPr="000D3DDF">
        <w:rPr>
          <w:rFonts w:eastAsiaTheme="minorEastAsia"/>
          <w:sz w:val="22"/>
          <w:szCs w:val="22"/>
        </w:rPr>
        <w:t xml:space="preserve"> </w:t>
      </w:r>
      <w:r>
        <w:rPr>
          <w:rFonts w:eastAsiaTheme="minorEastAsia"/>
          <w:sz w:val="22"/>
          <w:szCs w:val="22"/>
        </w:rPr>
        <w:t xml:space="preserve">One-way ANOVA with </w:t>
      </w:r>
      <w:proofErr w:type="spellStart"/>
      <w:r>
        <w:rPr>
          <w:rFonts w:eastAsiaTheme="minorEastAsia"/>
          <w:sz w:val="22"/>
          <w:szCs w:val="22"/>
        </w:rPr>
        <w:t>Tukeys</w:t>
      </w:r>
      <w:proofErr w:type="spellEnd"/>
      <w:r>
        <w:rPr>
          <w:rFonts w:eastAsiaTheme="minorEastAsia"/>
          <w:sz w:val="22"/>
          <w:szCs w:val="22"/>
        </w:rPr>
        <w:t xml:space="preserve"> multiple comparisons. N&gt;5</w:t>
      </w:r>
      <w:r>
        <w:rPr>
          <w:b/>
          <w:bCs/>
          <w:sz w:val="22"/>
          <w:szCs w:val="22"/>
        </w:rPr>
        <w:t>. D</w:t>
      </w:r>
      <w:r w:rsidRPr="000D3DDF">
        <w:rPr>
          <w:b/>
          <w:bCs/>
          <w:sz w:val="22"/>
          <w:szCs w:val="22"/>
        </w:rPr>
        <w:t>)</w:t>
      </w:r>
      <w:r w:rsidRPr="000D3DDF">
        <w:rPr>
          <w:sz w:val="22"/>
          <w:szCs w:val="22"/>
        </w:rPr>
        <w:t xml:space="preserve"> </w:t>
      </w:r>
      <w:r>
        <w:rPr>
          <w:sz w:val="22"/>
          <w:szCs w:val="22"/>
        </w:rPr>
        <w:t xml:space="preserve">Fold </w:t>
      </w:r>
      <w:r w:rsidRPr="000D3DDF">
        <w:rPr>
          <w:sz w:val="22"/>
          <w:szCs w:val="22"/>
        </w:rPr>
        <w:t xml:space="preserve">induction of </w:t>
      </w:r>
      <w:r>
        <w:rPr>
          <w:sz w:val="22"/>
          <w:szCs w:val="22"/>
        </w:rPr>
        <w:t xml:space="preserve">exogenous </w:t>
      </w:r>
      <w:r w:rsidRPr="000D3DDF">
        <w:rPr>
          <w:sz w:val="22"/>
          <w:szCs w:val="22"/>
        </w:rPr>
        <w:t>PDPN</w:t>
      </w:r>
      <w:r>
        <w:rPr>
          <w:sz w:val="22"/>
          <w:szCs w:val="22"/>
        </w:rPr>
        <w:t xml:space="preserve">, based on PDPN staining geometric mean, for each PDPN </w:t>
      </w:r>
      <w:r w:rsidRPr="000D3DDF">
        <w:rPr>
          <w:sz w:val="22"/>
          <w:szCs w:val="22"/>
        </w:rPr>
        <w:t>mutant</w:t>
      </w:r>
      <w:r>
        <w:rPr>
          <w:sz w:val="22"/>
          <w:szCs w:val="22"/>
        </w:rPr>
        <w:t xml:space="preserve"> cell line</w:t>
      </w:r>
      <w:r w:rsidRPr="000D3DDF">
        <w:rPr>
          <w:sz w:val="22"/>
          <w:szCs w:val="22"/>
        </w:rPr>
        <w:t xml:space="preserve"> </w:t>
      </w:r>
      <w:r>
        <w:rPr>
          <w:sz w:val="22"/>
          <w:szCs w:val="22"/>
        </w:rPr>
        <w:t>treated with or without</w:t>
      </w:r>
      <w:r w:rsidRPr="000D3DDF">
        <w:rPr>
          <w:sz w:val="22"/>
          <w:szCs w:val="22"/>
        </w:rPr>
        <w:t xml:space="preserve"> doxycycline.</w:t>
      </w:r>
      <w:r>
        <w:rPr>
          <w:sz w:val="22"/>
          <w:szCs w:val="22"/>
        </w:rPr>
        <w:t xml:space="preserve"> PDPN CTRL (left), PDPN T34A (middle) and PDPN DSS (right).</w:t>
      </w:r>
      <w:r w:rsidRPr="000D3DDF">
        <w:rPr>
          <w:sz w:val="22"/>
          <w:szCs w:val="22"/>
        </w:rPr>
        <w:t xml:space="preserve"> </w:t>
      </w:r>
      <w:r>
        <w:rPr>
          <w:sz w:val="22"/>
          <w:szCs w:val="22"/>
        </w:rPr>
        <w:t xml:space="preserve">N=6. </w:t>
      </w:r>
      <w:r>
        <w:rPr>
          <w:b/>
          <w:bCs/>
          <w:sz w:val="22"/>
          <w:szCs w:val="22"/>
        </w:rPr>
        <w:t>E</w:t>
      </w:r>
      <w:r w:rsidRPr="000D3DDF">
        <w:rPr>
          <w:b/>
          <w:bCs/>
          <w:sz w:val="22"/>
          <w:szCs w:val="22"/>
        </w:rPr>
        <w:t>)</w:t>
      </w:r>
      <w:r w:rsidRPr="000D3DDF">
        <w:rPr>
          <w:sz w:val="22"/>
          <w:szCs w:val="22"/>
        </w:rPr>
        <w:t xml:space="preserve"> Trap force measurements of </w:t>
      </w:r>
      <w:r>
        <w:rPr>
          <w:sz w:val="22"/>
          <w:szCs w:val="22"/>
        </w:rPr>
        <w:t xml:space="preserve">CTRL and CD44 (purple) KO FRCs. </w:t>
      </w:r>
      <w:r>
        <w:rPr>
          <w:rFonts w:eastAsiaTheme="minorEastAsia"/>
          <w:sz w:val="22"/>
          <w:szCs w:val="22"/>
        </w:rPr>
        <w:t>Mann-Whitney test, p&lt;0.001. Each point represents one cell. N&gt;10</w:t>
      </w:r>
      <w:r>
        <w:rPr>
          <w:b/>
          <w:bCs/>
          <w:sz w:val="22"/>
          <w:szCs w:val="22"/>
        </w:rPr>
        <w:t xml:space="preserve">. </w:t>
      </w:r>
      <w:r w:rsidRPr="00DA7931">
        <w:rPr>
          <w:rFonts w:eastAsiaTheme="minorEastAsia"/>
          <w:b/>
          <w:bCs/>
          <w:sz w:val="22"/>
          <w:szCs w:val="22"/>
        </w:rPr>
        <w:t>F)</w:t>
      </w:r>
      <w:r>
        <w:rPr>
          <w:rFonts w:eastAsiaTheme="minorEastAsia"/>
          <w:sz w:val="22"/>
          <w:szCs w:val="22"/>
        </w:rPr>
        <w:t xml:space="preserve"> </w:t>
      </w:r>
      <w:r w:rsidRPr="001E43BE">
        <w:rPr>
          <w:rFonts w:eastAsiaTheme="minorEastAsia"/>
          <w:sz w:val="22"/>
          <w:szCs w:val="22"/>
        </w:rPr>
        <w:t xml:space="preserve">Representative western blot of </w:t>
      </w:r>
      <w:proofErr w:type="spellStart"/>
      <w:r w:rsidRPr="001E43BE">
        <w:rPr>
          <w:rFonts w:eastAsiaTheme="minorEastAsia"/>
          <w:sz w:val="22"/>
          <w:szCs w:val="22"/>
        </w:rPr>
        <w:t>pERM</w:t>
      </w:r>
      <w:proofErr w:type="spellEnd"/>
      <w:r w:rsidRPr="001E43BE">
        <w:rPr>
          <w:rFonts w:eastAsiaTheme="minorEastAsia"/>
          <w:sz w:val="22"/>
          <w:szCs w:val="22"/>
        </w:rPr>
        <w:t xml:space="preserve"> in CTRL FRCs after treatment with CLEC2</w:t>
      </w:r>
      <w:r>
        <w:rPr>
          <w:b/>
          <w:bCs/>
          <w:sz w:val="22"/>
          <w:szCs w:val="22"/>
        </w:rPr>
        <w:t xml:space="preserve">. </w:t>
      </w:r>
      <w:r w:rsidRPr="00DA7931">
        <w:rPr>
          <w:rFonts w:eastAsiaTheme="minorEastAsia"/>
          <w:b/>
          <w:bCs/>
          <w:sz w:val="22"/>
          <w:szCs w:val="22"/>
        </w:rPr>
        <w:t>G)</w:t>
      </w:r>
      <w:r>
        <w:rPr>
          <w:rFonts w:eastAsiaTheme="minorEastAsia"/>
          <w:sz w:val="22"/>
          <w:szCs w:val="22"/>
        </w:rPr>
        <w:t xml:space="preserve"> Schema and e</w:t>
      </w:r>
      <w:r w:rsidRPr="001E43BE">
        <w:rPr>
          <w:rFonts w:eastAsiaTheme="minorEastAsia"/>
          <w:sz w:val="22"/>
          <w:szCs w:val="22"/>
        </w:rPr>
        <w:t>quation to calculate trap force (F</w:t>
      </w:r>
      <w:r w:rsidRPr="001E43BE">
        <w:rPr>
          <w:rFonts w:eastAsiaTheme="minorEastAsia"/>
          <w:sz w:val="22"/>
          <w:szCs w:val="22"/>
          <w:vertAlign w:val="subscript"/>
        </w:rPr>
        <w:t>t</w:t>
      </w:r>
      <w:r w:rsidRPr="001E43BE">
        <w:rPr>
          <w:rFonts w:eastAsiaTheme="minorEastAsia"/>
          <w:sz w:val="22"/>
          <w:szCs w:val="22"/>
        </w:rPr>
        <w:t>) from displacement</w:t>
      </w:r>
      <w:r>
        <w:rPr>
          <w:rFonts w:eastAsiaTheme="minorEastAsia"/>
          <w:sz w:val="22"/>
          <w:szCs w:val="22"/>
        </w:rPr>
        <w:t>.</w:t>
      </w:r>
    </w:p>
    <w:p w14:paraId="3FBAD572" w14:textId="77777777" w:rsidR="00411F38" w:rsidRDefault="00411F38" w:rsidP="00411F38">
      <w:pPr>
        <w:jc w:val="both"/>
        <w:rPr>
          <w:b/>
          <w:bCs/>
          <w:sz w:val="22"/>
          <w:szCs w:val="22"/>
        </w:rPr>
      </w:pPr>
    </w:p>
    <w:p w14:paraId="7D9B54AC" w14:textId="77777777" w:rsidR="00411F38" w:rsidRDefault="00411F38" w:rsidP="00411F38">
      <w:pPr>
        <w:jc w:val="both"/>
        <w:rPr>
          <w:b/>
          <w:bCs/>
          <w:sz w:val="22"/>
          <w:szCs w:val="22"/>
        </w:rPr>
      </w:pPr>
    </w:p>
    <w:p w14:paraId="4B0C37A8" w14:textId="77777777" w:rsidR="00411F38" w:rsidRDefault="00411F38" w:rsidP="00411F38">
      <w:pPr>
        <w:jc w:val="both"/>
        <w:rPr>
          <w:b/>
          <w:bCs/>
          <w:sz w:val="22"/>
          <w:szCs w:val="22"/>
        </w:rPr>
      </w:pPr>
    </w:p>
    <w:p w14:paraId="2EBFF489" w14:textId="77777777" w:rsidR="00411F38" w:rsidRDefault="00411F38" w:rsidP="00411F38">
      <w:pPr>
        <w:jc w:val="both"/>
        <w:rPr>
          <w:b/>
          <w:bCs/>
          <w:sz w:val="22"/>
          <w:szCs w:val="22"/>
        </w:rPr>
      </w:pPr>
    </w:p>
    <w:p w14:paraId="1514F0B5" w14:textId="77777777" w:rsidR="00411F38" w:rsidRDefault="00411F38" w:rsidP="00411F38">
      <w:pPr>
        <w:jc w:val="both"/>
        <w:rPr>
          <w:b/>
          <w:bCs/>
          <w:sz w:val="22"/>
          <w:szCs w:val="22"/>
        </w:rPr>
      </w:pPr>
    </w:p>
    <w:p w14:paraId="5F63076D" w14:textId="77777777" w:rsidR="00411F38" w:rsidRDefault="00411F38" w:rsidP="00411F38">
      <w:pPr>
        <w:jc w:val="both"/>
        <w:rPr>
          <w:b/>
          <w:bCs/>
          <w:sz w:val="22"/>
          <w:szCs w:val="22"/>
        </w:rPr>
      </w:pPr>
    </w:p>
    <w:p w14:paraId="7520B8DC" w14:textId="77777777" w:rsidR="00411F38" w:rsidRDefault="00411F38" w:rsidP="00411F38">
      <w:pPr>
        <w:jc w:val="both"/>
        <w:rPr>
          <w:b/>
          <w:bCs/>
          <w:sz w:val="22"/>
          <w:szCs w:val="22"/>
        </w:rPr>
      </w:pPr>
    </w:p>
    <w:p w14:paraId="0360CF14" w14:textId="77777777" w:rsidR="00411F38" w:rsidRDefault="00411F38" w:rsidP="00411F38">
      <w:pPr>
        <w:jc w:val="both"/>
        <w:rPr>
          <w:b/>
          <w:bCs/>
          <w:sz w:val="22"/>
          <w:szCs w:val="22"/>
        </w:rPr>
      </w:pPr>
    </w:p>
    <w:p w14:paraId="33F4EF2F" w14:textId="77777777" w:rsidR="00411F38" w:rsidRDefault="00411F38" w:rsidP="00411F38">
      <w:pPr>
        <w:jc w:val="both"/>
        <w:rPr>
          <w:b/>
          <w:bCs/>
          <w:sz w:val="22"/>
          <w:szCs w:val="22"/>
        </w:rPr>
      </w:pPr>
    </w:p>
    <w:p w14:paraId="5688AB66" w14:textId="77777777" w:rsidR="00411F38" w:rsidRDefault="00411F38" w:rsidP="00411F38">
      <w:pPr>
        <w:jc w:val="both"/>
        <w:rPr>
          <w:b/>
          <w:bCs/>
          <w:sz w:val="22"/>
          <w:szCs w:val="22"/>
        </w:rPr>
      </w:pPr>
      <w:r>
        <w:rPr>
          <w:b/>
          <w:bCs/>
          <w:noProof/>
          <w:sz w:val="22"/>
          <w:szCs w:val="22"/>
        </w:rPr>
        <w:lastRenderedPageBreak/>
        <w:drawing>
          <wp:anchor distT="0" distB="0" distL="114300" distR="114300" simplePos="0" relativeHeight="251662336" behindDoc="0" locked="0" layoutInCell="1" allowOverlap="1" wp14:anchorId="6BABCFC3" wp14:editId="394E593C">
            <wp:simplePos x="0" y="0"/>
            <wp:positionH relativeFrom="column">
              <wp:posOffset>1115695</wp:posOffset>
            </wp:positionH>
            <wp:positionV relativeFrom="paragraph">
              <wp:posOffset>0</wp:posOffset>
            </wp:positionV>
            <wp:extent cx="3429000" cy="5379085"/>
            <wp:effectExtent l="0" t="0" r="0" b="5715"/>
            <wp:wrapTopAndBottom/>
            <wp:docPr id="5" name="Picture 5"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Diagram&#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3429000" cy="5379085"/>
                    </a:xfrm>
                    <a:prstGeom prst="rect">
                      <a:avLst/>
                    </a:prstGeom>
                  </pic:spPr>
                </pic:pic>
              </a:graphicData>
            </a:graphic>
            <wp14:sizeRelH relativeFrom="page">
              <wp14:pctWidth>0</wp14:pctWidth>
            </wp14:sizeRelH>
            <wp14:sizeRelV relativeFrom="page">
              <wp14:pctHeight>0</wp14:pctHeight>
            </wp14:sizeRelV>
          </wp:anchor>
        </w:drawing>
      </w:r>
      <w:r>
        <w:rPr>
          <w:b/>
          <w:bCs/>
          <w:sz w:val="22"/>
          <w:szCs w:val="22"/>
        </w:rPr>
        <w:t>Fig. S4</w:t>
      </w:r>
      <w:r w:rsidRPr="001E43BE">
        <w:rPr>
          <w:b/>
          <w:bCs/>
          <w:sz w:val="22"/>
          <w:szCs w:val="22"/>
        </w:rPr>
        <w:t xml:space="preserve"> - Membrane access of fibroblastic reticular cells is increased through the CLEC2/PDPN signalling axis</w:t>
      </w:r>
    </w:p>
    <w:p w14:paraId="54245347" w14:textId="77777777" w:rsidR="00411F38" w:rsidRPr="001E43BE" w:rsidRDefault="00411F38" w:rsidP="00411F38">
      <w:pPr>
        <w:jc w:val="both"/>
        <w:rPr>
          <w:b/>
          <w:bCs/>
          <w:sz w:val="22"/>
          <w:szCs w:val="22"/>
        </w:rPr>
      </w:pPr>
    </w:p>
    <w:p w14:paraId="109BA1DD" w14:textId="77777777" w:rsidR="00411F38" w:rsidRPr="00CF4BDC" w:rsidRDefault="00411F38" w:rsidP="00411F38">
      <w:pPr>
        <w:jc w:val="both"/>
        <w:rPr>
          <w:rFonts w:eastAsiaTheme="minorEastAsia"/>
          <w:sz w:val="22"/>
          <w:szCs w:val="22"/>
        </w:rPr>
      </w:pPr>
      <w:r w:rsidRPr="00D74E7A">
        <w:rPr>
          <w:b/>
          <w:bCs/>
          <w:sz w:val="22"/>
          <w:szCs w:val="22"/>
        </w:rPr>
        <w:t>A)</w:t>
      </w:r>
      <w:r>
        <w:rPr>
          <w:sz w:val="22"/>
          <w:szCs w:val="22"/>
        </w:rPr>
        <w:t xml:space="preserve"> </w:t>
      </w:r>
      <w:r w:rsidRPr="001E43BE">
        <w:rPr>
          <w:sz w:val="22"/>
          <w:szCs w:val="22"/>
        </w:rPr>
        <w:t>Schematic of osmotic shock experiment, inducing swelling by alter</w:t>
      </w:r>
      <w:r>
        <w:rPr>
          <w:sz w:val="22"/>
          <w:szCs w:val="22"/>
        </w:rPr>
        <w:t>ing</w:t>
      </w:r>
      <w:r w:rsidRPr="001E43BE">
        <w:rPr>
          <w:sz w:val="22"/>
          <w:szCs w:val="22"/>
        </w:rPr>
        <w:t xml:space="preserve"> osmolarity. </w:t>
      </w:r>
      <w:r w:rsidRPr="00D74E7A">
        <w:rPr>
          <w:b/>
          <w:bCs/>
          <w:sz w:val="22"/>
          <w:szCs w:val="22"/>
        </w:rPr>
        <w:t>B)</w:t>
      </w:r>
      <w:r w:rsidRPr="001E43BE">
        <w:rPr>
          <w:sz w:val="22"/>
          <w:szCs w:val="22"/>
        </w:rPr>
        <w:t xml:space="preserve"> Representative stills of </w:t>
      </w:r>
      <w:r>
        <w:rPr>
          <w:sz w:val="22"/>
          <w:szCs w:val="22"/>
        </w:rPr>
        <w:t xml:space="preserve">FRC in </w:t>
      </w:r>
      <w:r w:rsidRPr="001E43BE">
        <w:rPr>
          <w:sz w:val="22"/>
          <w:szCs w:val="22"/>
        </w:rPr>
        <w:t xml:space="preserve">isotonic </w:t>
      </w:r>
      <w:r>
        <w:rPr>
          <w:sz w:val="22"/>
          <w:szCs w:val="22"/>
        </w:rPr>
        <w:t>control media</w:t>
      </w:r>
      <w:r w:rsidRPr="001E43BE">
        <w:rPr>
          <w:sz w:val="22"/>
          <w:szCs w:val="22"/>
        </w:rPr>
        <w:t>.</w:t>
      </w:r>
      <w:r>
        <w:rPr>
          <w:sz w:val="22"/>
          <w:szCs w:val="22"/>
        </w:rPr>
        <w:t xml:space="preserve"> Scale bar</w:t>
      </w:r>
      <w:r w:rsidRPr="001E43BE">
        <w:rPr>
          <w:sz w:val="22"/>
          <w:szCs w:val="22"/>
        </w:rPr>
        <w:t xml:space="preserve"> 25</w:t>
      </w:r>
      <m:oMath>
        <m:r>
          <w:rPr>
            <w:rFonts w:ascii="Cambria Math" w:hAnsi="Cambria Math"/>
            <w:sz w:val="22"/>
            <w:szCs w:val="22"/>
          </w:rPr>
          <m:t>μ</m:t>
        </m:r>
      </m:oMath>
      <w:r w:rsidRPr="001E43BE">
        <w:rPr>
          <w:rFonts w:eastAsiaTheme="minorEastAsia"/>
          <w:sz w:val="22"/>
          <w:szCs w:val="22"/>
        </w:rPr>
        <w:t>m</w:t>
      </w:r>
      <w:r>
        <w:rPr>
          <w:rFonts w:eastAsiaTheme="minorEastAsia"/>
          <w:sz w:val="22"/>
          <w:szCs w:val="22"/>
        </w:rPr>
        <w:t>.</w:t>
      </w:r>
      <w:r>
        <w:rPr>
          <w:sz w:val="22"/>
          <w:szCs w:val="22"/>
        </w:rPr>
        <w:t xml:space="preserve"> </w:t>
      </w:r>
      <w:r w:rsidRPr="00D74E7A">
        <w:rPr>
          <w:b/>
          <w:bCs/>
          <w:sz w:val="22"/>
          <w:szCs w:val="22"/>
        </w:rPr>
        <w:t>C)</w:t>
      </w:r>
      <w:r>
        <w:rPr>
          <w:sz w:val="22"/>
          <w:szCs w:val="22"/>
        </w:rPr>
        <w:t xml:space="preserve"> Time course of PDPN T34A FRCs with or without CLEC2 treatment in hypotonic conditions. Stills (top) show swelling of cells in hypotonic media. White dotted circle marks initial size before swelling and is compared to swelling at t=20 (black dotted circle). Scale bar</w:t>
      </w:r>
      <w:r w:rsidRPr="001E43BE">
        <w:rPr>
          <w:sz w:val="22"/>
          <w:szCs w:val="22"/>
        </w:rPr>
        <w:t xml:space="preserve"> 25</w:t>
      </w:r>
      <m:oMath>
        <m:r>
          <w:rPr>
            <w:rFonts w:ascii="Cambria Math" w:hAnsi="Cambria Math"/>
            <w:sz w:val="22"/>
            <w:szCs w:val="22"/>
          </w:rPr>
          <m:t>μ</m:t>
        </m:r>
      </m:oMath>
      <w:r w:rsidRPr="001E43BE">
        <w:rPr>
          <w:rFonts w:eastAsiaTheme="minorEastAsia"/>
          <w:sz w:val="22"/>
          <w:szCs w:val="22"/>
        </w:rPr>
        <w:t>m</w:t>
      </w:r>
      <w:r>
        <w:rPr>
          <w:rFonts w:eastAsiaTheme="minorEastAsia"/>
          <w:sz w:val="22"/>
          <w:szCs w:val="22"/>
        </w:rPr>
        <w:t xml:space="preserve">. </w:t>
      </w:r>
      <w:r>
        <w:rPr>
          <w:sz w:val="22"/>
          <w:szCs w:val="22"/>
        </w:rPr>
        <w:t>Change in diameter ratio over time (bottom left, mean ±SEM). Swelling ratio comparisons between control and CLEC2 treatment at 15 minutes post swelling (orange dotted line, bottom right).</w:t>
      </w:r>
      <w:r w:rsidRPr="001E43BE">
        <w:rPr>
          <w:sz w:val="22"/>
          <w:szCs w:val="22"/>
        </w:rPr>
        <w:t xml:space="preserve"> Box plots </w:t>
      </w:r>
      <w:r>
        <w:rPr>
          <w:sz w:val="22"/>
          <w:szCs w:val="22"/>
        </w:rPr>
        <w:t xml:space="preserve">indicates median and interquartile range. One-way ANOVA with </w:t>
      </w:r>
      <w:proofErr w:type="spellStart"/>
      <w:r>
        <w:rPr>
          <w:sz w:val="22"/>
          <w:szCs w:val="22"/>
        </w:rPr>
        <w:t>Tukeys</w:t>
      </w:r>
      <w:proofErr w:type="spellEnd"/>
      <w:r>
        <w:rPr>
          <w:sz w:val="22"/>
          <w:szCs w:val="22"/>
        </w:rPr>
        <w:t xml:space="preserve"> multiple comparisons. N&gt;29. </w:t>
      </w:r>
      <w:r>
        <w:rPr>
          <w:b/>
          <w:bCs/>
          <w:sz w:val="22"/>
          <w:szCs w:val="22"/>
        </w:rPr>
        <w:t>D</w:t>
      </w:r>
      <w:r w:rsidRPr="00D74E7A">
        <w:rPr>
          <w:b/>
          <w:bCs/>
          <w:sz w:val="22"/>
          <w:szCs w:val="22"/>
        </w:rPr>
        <w:t>)</w:t>
      </w:r>
      <w:r w:rsidRPr="001E43BE">
        <w:rPr>
          <w:sz w:val="22"/>
          <w:szCs w:val="22"/>
        </w:rPr>
        <w:t xml:space="preserve"> </w:t>
      </w:r>
      <w:r>
        <w:rPr>
          <w:sz w:val="22"/>
          <w:szCs w:val="22"/>
        </w:rPr>
        <w:t xml:space="preserve">Time course of PDPN CTRL vs PDPN </w:t>
      </w:r>
      <w:r>
        <w:rPr>
          <w:rFonts w:eastAsiaTheme="minorEastAsia"/>
          <w:sz w:val="22"/>
          <w:szCs w:val="22"/>
        </w:rPr>
        <w:t xml:space="preserve">shRNA KD </w:t>
      </w:r>
      <w:r w:rsidRPr="001E43BE">
        <w:rPr>
          <w:rFonts w:eastAsiaTheme="minorEastAsia"/>
          <w:sz w:val="22"/>
          <w:szCs w:val="22"/>
        </w:rPr>
        <w:t>FRCs</w:t>
      </w:r>
      <w:r>
        <w:rPr>
          <w:sz w:val="22"/>
          <w:szCs w:val="22"/>
        </w:rPr>
        <w:t xml:space="preserve"> in extreme hypotonic conditions (H</w:t>
      </w:r>
      <w:r w:rsidRPr="00786CEB">
        <w:rPr>
          <w:sz w:val="22"/>
          <w:szCs w:val="22"/>
          <w:vertAlign w:val="subscript"/>
        </w:rPr>
        <w:t>2</w:t>
      </w:r>
      <w:r>
        <w:rPr>
          <w:sz w:val="22"/>
          <w:szCs w:val="22"/>
        </w:rPr>
        <w:t>0). Stills (top) show swelling of cells in hypotonic media. White dotted circle marks initial size before swelling and is compared to swelling at t=20 (black dotted circle). Scale bar</w:t>
      </w:r>
      <w:r w:rsidRPr="001E43BE">
        <w:rPr>
          <w:sz w:val="22"/>
          <w:szCs w:val="22"/>
        </w:rPr>
        <w:t xml:space="preserve"> 25</w:t>
      </w:r>
      <m:oMath>
        <m:r>
          <w:rPr>
            <w:rFonts w:ascii="Cambria Math" w:hAnsi="Cambria Math"/>
            <w:sz w:val="22"/>
            <w:szCs w:val="22"/>
          </w:rPr>
          <m:t>μ</m:t>
        </m:r>
      </m:oMath>
      <w:r w:rsidRPr="001E43BE">
        <w:rPr>
          <w:rFonts w:eastAsiaTheme="minorEastAsia"/>
          <w:sz w:val="22"/>
          <w:szCs w:val="22"/>
        </w:rPr>
        <w:t>m</w:t>
      </w:r>
      <w:r>
        <w:rPr>
          <w:rFonts w:eastAsiaTheme="minorEastAsia"/>
          <w:sz w:val="22"/>
          <w:szCs w:val="22"/>
        </w:rPr>
        <w:t xml:space="preserve">. </w:t>
      </w:r>
      <w:r>
        <w:rPr>
          <w:sz w:val="22"/>
          <w:szCs w:val="22"/>
        </w:rPr>
        <w:t>Change in diameter ratio over time (bottom left, mean ±SEM). Swelling ratio between control and PDPN shRNA KD FRCs at 15 minutes post swelling (orange dotted line, bottom right).</w:t>
      </w:r>
      <w:r w:rsidRPr="001E43BE">
        <w:rPr>
          <w:sz w:val="22"/>
          <w:szCs w:val="22"/>
        </w:rPr>
        <w:t xml:space="preserve"> Box plots </w:t>
      </w:r>
      <w:r>
        <w:rPr>
          <w:sz w:val="22"/>
          <w:szCs w:val="22"/>
        </w:rPr>
        <w:t xml:space="preserve">indicates median and interquartile range. One-way ANOVA with </w:t>
      </w:r>
      <w:proofErr w:type="spellStart"/>
      <w:r>
        <w:rPr>
          <w:sz w:val="22"/>
          <w:szCs w:val="22"/>
        </w:rPr>
        <w:t>Tukeys</w:t>
      </w:r>
      <w:proofErr w:type="spellEnd"/>
      <w:r>
        <w:rPr>
          <w:sz w:val="22"/>
          <w:szCs w:val="22"/>
        </w:rPr>
        <w:t xml:space="preserve"> multiple comparisons. N&gt;16</w:t>
      </w:r>
      <w:r w:rsidRPr="001E43BE">
        <w:rPr>
          <w:sz w:val="22"/>
          <w:szCs w:val="22"/>
        </w:rPr>
        <w:t>.</w:t>
      </w:r>
      <w:r>
        <w:rPr>
          <w:sz w:val="22"/>
          <w:szCs w:val="22"/>
        </w:rPr>
        <w:t xml:space="preserve"> </w:t>
      </w:r>
      <w:r w:rsidRPr="008D27DC">
        <w:rPr>
          <w:b/>
          <w:bCs/>
          <w:sz w:val="22"/>
          <w:szCs w:val="22"/>
        </w:rPr>
        <w:t>E)</w:t>
      </w:r>
      <w:r>
        <w:rPr>
          <w:sz w:val="22"/>
          <w:szCs w:val="22"/>
        </w:rPr>
        <w:t xml:space="preserve"> Single channel stills of </w:t>
      </w:r>
      <w:r>
        <w:rPr>
          <w:rFonts w:eastAsiaTheme="minorEastAsia"/>
          <w:sz w:val="22"/>
          <w:szCs w:val="22"/>
        </w:rPr>
        <w:t>PDGFR</w:t>
      </w:r>
      <m:oMath>
        <m:r>
          <w:rPr>
            <w:rFonts w:ascii="Cambria Math" w:hAnsi="Cambria Math"/>
            <w:sz w:val="22"/>
            <w:szCs w:val="22"/>
          </w:rPr>
          <m:t>α</m:t>
        </m:r>
      </m:oMath>
      <w:r>
        <w:rPr>
          <w:rFonts w:eastAsiaTheme="minorEastAsia"/>
          <w:sz w:val="22"/>
          <w:szCs w:val="22"/>
        </w:rPr>
        <w:t>-mGFP</w:t>
      </w:r>
      <w:r>
        <w:rPr>
          <w:sz w:val="22"/>
          <w:szCs w:val="22"/>
        </w:rPr>
        <w:t xml:space="preserve"> confetti FRC network in the steady state and day 3 post immunisation. Scale bar</w:t>
      </w:r>
      <w:r w:rsidRPr="001E43BE">
        <w:rPr>
          <w:sz w:val="22"/>
          <w:szCs w:val="22"/>
        </w:rPr>
        <w:t xml:space="preserve"> </w:t>
      </w:r>
      <w:r>
        <w:rPr>
          <w:sz w:val="22"/>
          <w:szCs w:val="22"/>
        </w:rPr>
        <w:t>10</w:t>
      </w:r>
      <m:oMath>
        <m:r>
          <w:rPr>
            <w:rFonts w:ascii="Cambria Math" w:hAnsi="Cambria Math"/>
            <w:sz w:val="22"/>
            <w:szCs w:val="22"/>
          </w:rPr>
          <m:t>μ</m:t>
        </m:r>
      </m:oMath>
      <w:r w:rsidRPr="001E43BE">
        <w:rPr>
          <w:rFonts w:eastAsiaTheme="minorEastAsia"/>
          <w:sz w:val="22"/>
          <w:szCs w:val="22"/>
        </w:rPr>
        <w:t>m</w:t>
      </w:r>
      <w:r>
        <w:rPr>
          <w:rFonts w:eastAsiaTheme="minorEastAsia"/>
          <w:sz w:val="22"/>
          <w:szCs w:val="22"/>
        </w:rPr>
        <w:t>.</w:t>
      </w:r>
    </w:p>
    <w:p w14:paraId="3D9D514F" w14:textId="77777777" w:rsidR="00411F38" w:rsidRDefault="00411F38" w:rsidP="00411F38">
      <w:pPr>
        <w:rPr>
          <w:b/>
          <w:bCs/>
          <w:sz w:val="22"/>
          <w:szCs w:val="22"/>
        </w:rPr>
      </w:pPr>
      <w:r>
        <w:rPr>
          <w:noProof/>
        </w:rPr>
        <w:lastRenderedPageBreak/>
        <w:drawing>
          <wp:anchor distT="0" distB="0" distL="114300" distR="114300" simplePos="0" relativeHeight="251660288" behindDoc="1" locked="0" layoutInCell="1" allowOverlap="1" wp14:anchorId="0DC23422" wp14:editId="6E56ADF4">
            <wp:simplePos x="0" y="0"/>
            <wp:positionH relativeFrom="column">
              <wp:posOffset>-348241</wp:posOffset>
            </wp:positionH>
            <wp:positionV relativeFrom="paragraph">
              <wp:posOffset>485</wp:posOffset>
            </wp:positionV>
            <wp:extent cx="6553200" cy="6769100"/>
            <wp:effectExtent l="0" t="0" r="0" b="0"/>
            <wp:wrapTight wrapText="bothSides">
              <wp:wrapPolygon edited="0">
                <wp:start x="0" y="0"/>
                <wp:lineTo x="0" y="21559"/>
                <wp:lineTo x="21558" y="21559"/>
                <wp:lineTo x="21558" y="0"/>
                <wp:lineTo x="0" y="0"/>
              </wp:wrapPolygon>
            </wp:wrapTight>
            <wp:docPr id="6" name="Picture 6"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Diagram&#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6553200" cy="6769100"/>
                    </a:xfrm>
                    <a:prstGeom prst="rect">
                      <a:avLst/>
                    </a:prstGeom>
                  </pic:spPr>
                </pic:pic>
              </a:graphicData>
            </a:graphic>
            <wp14:sizeRelH relativeFrom="page">
              <wp14:pctWidth>0</wp14:pctWidth>
            </wp14:sizeRelH>
            <wp14:sizeRelV relativeFrom="page">
              <wp14:pctHeight>0</wp14:pctHeight>
            </wp14:sizeRelV>
          </wp:anchor>
        </w:drawing>
      </w:r>
    </w:p>
    <w:p w14:paraId="57451C1D" w14:textId="77777777" w:rsidR="00411F38" w:rsidRDefault="00411F38" w:rsidP="00411F38">
      <w:pPr>
        <w:jc w:val="both"/>
        <w:rPr>
          <w:b/>
          <w:bCs/>
          <w:sz w:val="22"/>
          <w:szCs w:val="22"/>
        </w:rPr>
      </w:pPr>
      <w:r>
        <w:rPr>
          <w:b/>
          <w:bCs/>
          <w:sz w:val="22"/>
          <w:szCs w:val="22"/>
        </w:rPr>
        <w:t>Fig. S5</w:t>
      </w:r>
      <w:r w:rsidRPr="000D3DDF">
        <w:rPr>
          <w:sz w:val="22"/>
          <w:szCs w:val="22"/>
        </w:rPr>
        <w:t xml:space="preserve"> - </w:t>
      </w:r>
      <w:r w:rsidRPr="000D3DDF">
        <w:rPr>
          <w:b/>
          <w:bCs/>
          <w:sz w:val="22"/>
          <w:szCs w:val="22"/>
        </w:rPr>
        <w:t>Flow cytometry gating strategy and Ki67 measurements</w:t>
      </w:r>
    </w:p>
    <w:p w14:paraId="11546B44" w14:textId="77777777" w:rsidR="00411F38" w:rsidRDefault="00411F38" w:rsidP="00411F38">
      <w:pPr>
        <w:jc w:val="both"/>
        <w:rPr>
          <w:b/>
          <w:bCs/>
          <w:sz w:val="22"/>
          <w:szCs w:val="22"/>
        </w:rPr>
      </w:pPr>
    </w:p>
    <w:p w14:paraId="6EA3C44D" w14:textId="77777777" w:rsidR="00411F38" w:rsidRPr="008D27DC" w:rsidRDefault="00411F38" w:rsidP="00411F38">
      <w:pPr>
        <w:jc w:val="both"/>
        <w:rPr>
          <w:rFonts w:eastAsiaTheme="minorEastAsia"/>
          <w:sz w:val="22"/>
          <w:szCs w:val="22"/>
        </w:rPr>
      </w:pPr>
      <w:r>
        <w:rPr>
          <w:rFonts w:eastAsiaTheme="minorEastAsia"/>
          <w:b/>
          <w:bCs/>
          <w:sz w:val="22"/>
          <w:szCs w:val="22"/>
        </w:rPr>
        <w:t>A</w:t>
      </w:r>
      <w:r w:rsidRPr="001E43BE">
        <w:rPr>
          <w:rFonts w:eastAsiaTheme="minorEastAsia"/>
          <w:b/>
          <w:bCs/>
          <w:sz w:val="22"/>
          <w:szCs w:val="22"/>
        </w:rPr>
        <w:t>)</w:t>
      </w:r>
      <w:r w:rsidRPr="001E43BE">
        <w:rPr>
          <w:rFonts w:eastAsiaTheme="minorEastAsia"/>
          <w:sz w:val="22"/>
          <w:szCs w:val="22"/>
        </w:rPr>
        <w:t xml:space="preserve"> Quantification of Ki67</w:t>
      </w:r>
      <w:r w:rsidRPr="00786CEB">
        <w:rPr>
          <w:rFonts w:eastAsiaTheme="minorEastAsia"/>
          <w:sz w:val="22"/>
          <w:szCs w:val="22"/>
          <w:vertAlign w:val="superscript"/>
        </w:rPr>
        <w:t>+</w:t>
      </w:r>
      <w:r w:rsidRPr="001E43BE">
        <w:rPr>
          <w:rFonts w:eastAsiaTheme="minorEastAsia"/>
          <w:sz w:val="22"/>
          <w:szCs w:val="22"/>
        </w:rPr>
        <w:t xml:space="preserve"> cells</w:t>
      </w:r>
      <w:r>
        <w:rPr>
          <w:rFonts w:eastAsiaTheme="minorEastAsia"/>
          <w:sz w:val="22"/>
          <w:szCs w:val="22"/>
        </w:rPr>
        <w:t xml:space="preserve"> (top)</w:t>
      </w:r>
      <w:r w:rsidRPr="001E43BE">
        <w:rPr>
          <w:rFonts w:eastAsiaTheme="minorEastAsia"/>
          <w:sz w:val="22"/>
          <w:szCs w:val="22"/>
        </w:rPr>
        <w:t xml:space="preserve"> and PDPN</w:t>
      </w:r>
      <w:r w:rsidRPr="002651D8">
        <w:rPr>
          <w:rFonts w:eastAsiaTheme="minorEastAsia"/>
          <w:sz w:val="22"/>
          <w:szCs w:val="22"/>
          <w:vertAlign w:val="superscript"/>
        </w:rPr>
        <w:t>+</w:t>
      </w:r>
      <w:r w:rsidRPr="001E43BE">
        <w:rPr>
          <w:rFonts w:eastAsiaTheme="minorEastAsia"/>
          <w:sz w:val="22"/>
          <w:szCs w:val="22"/>
        </w:rPr>
        <w:t xml:space="preserve"> </w:t>
      </w:r>
      <w:r>
        <w:rPr>
          <w:rFonts w:eastAsiaTheme="minorEastAsia"/>
          <w:sz w:val="22"/>
          <w:szCs w:val="22"/>
        </w:rPr>
        <w:t>Ki</w:t>
      </w:r>
      <w:r w:rsidRPr="001E43BE">
        <w:rPr>
          <w:rFonts w:eastAsiaTheme="minorEastAsia"/>
          <w:sz w:val="22"/>
          <w:szCs w:val="22"/>
        </w:rPr>
        <w:t>67</w:t>
      </w:r>
      <w:r w:rsidRPr="002651D8">
        <w:rPr>
          <w:rFonts w:eastAsiaTheme="minorEastAsia"/>
          <w:sz w:val="22"/>
          <w:szCs w:val="22"/>
          <w:vertAlign w:val="superscript"/>
        </w:rPr>
        <w:t>+</w:t>
      </w:r>
      <w:r w:rsidRPr="001E43BE">
        <w:rPr>
          <w:rFonts w:eastAsiaTheme="minorEastAsia"/>
          <w:sz w:val="22"/>
          <w:szCs w:val="22"/>
        </w:rPr>
        <w:t xml:space="preserve"> cells</w:t>
      </w:r>
      <w:r>
        <w:rPr>
          <w:rFonts w:eastAsiaTheme="minorEastAsia"/>
          <w:sz w:val="22"/>
          <w:szCs w:val="22"/>
        </w:rPr>
        <w:t xml:space="preserve"> (bottom) per LN region</w:t>
      </w:r>
      <w:r w:rsidRPr="001E43BE">
        <w:rPr>
          <w:rFonts w:eastAsiaTheme="minorEastAsia"/>
          <w:sz w:val="22"/>
          <w:szCs w:val="22"/>
        </w:rPr>
        <w:t xml:space="preserve">. </w:t>
      </w:r>
      <w:r w:rsidRPr="001E43BE">
        <w:rPr>
          <w:sz w:val="22"/>
          <w:szCs w:val="22"/>
        </w:rPr>
        <w:t xml:space="preserve">Box plots </w:t>
      </w:r>
      <w:r>
        <w:rPr>
          <w:sz w:val="22"/>
          <w:szCs w:val="22"/>
        </w:rPr>
        <w:t xml:space="preserve">indicates median and interquartile range. </w:t>
      </w:r>
      <w:r w:rsidRPr="001E43BE">
        <w:rPr>
          <w:rFonts w:eastAsiaTheme="minorEastAsia"/>
          <w:sz w:val="22"/>
          <w:szCs w:val="22"/>
        </w:rPr>
        <w:t>Mann-Whitney</w:t>
      </w:r>
      <w:r>
        <w:rPr>
          <w:rFonts w:eastAsiaTheme="minorEastAsia"/>
          <w:sz w:val="22"/>
          <w:szCs w:val="22"/>
        </w:rPr>
        <w:t xml:space="preserve"> test, p&lt;0.05</w:t>
      </w:r>
      <w:r w:rsidRPr="001E43BE">
        <w:rPr>
          <w:rFonts w:eastAsiaTheme="minorEastAsia"/>
          <w:sz w:val="22"/>
          <w:szCs w:val="22"/>
        </w:rPr>
        <w:t>.</w:t>
      </w:r>
      <w:r>
        <w:rPr>
          <w:rFonts w:eastAsiaTheme="minorEastAsia"/>
          <w:sz w:val="22"/>
          <w:szCs w:val="22"/>
        </w:rPr>
        <w:t xml:space="preserve"> N=2. </w:t>
      </w:r>
      <w:r>
        <w:rPr>
          <w:rFonts w:eastAsiaTheme="minorEastAsia"/>
          <w:b/>
          <w:bCs/>
          <w:sz w:val="22"/>
          <w:szCs w:val="22"/>
        </w:rPr>
        <w:t>B</w:t>
      </w:r>
      <w:r w:rsidRPr="000D3DDF">
        <w:rPr>
          <w:rFonts w:eastAsiaTheme="minorEastAsia"/>
          <w:b/>
          <w:bCs/>
          <w:sz w:val="22"/>
          <w:szCs w:val="22"/>
        </w:rPr>
        <w:t>)</w:t>
      </w:r>
      <w:r w:rsidRPr="000D3DDF">
        <w:rPr>
          <w:rFonts w:eastAsiaTheme="minorEastAsia"/>
          <w:sz w:val="22"/>
          <w:szCs w:val="22"/>
        </w:rPr>
        <w:t xml:space="preserve"> Schema of flow cytometry gating strategy for measurement of stromal cell populations. </w:t>
      </w:r>
      <w:r>
        <w:rPr>
          <w:rFonts w:eastAsiaTheme="minorEastAsia"/>
          <w:b/>
          <w:bCs/>
          <w:sz w:val="22"/>
          <w:szCs w:val="22"/>
        </w:rPr>
        <w:t>C</w:t>
      </w:r>
      <w:r w:rsidRPr="000D3DDF">
        <w:rPr>
          <w:rFonts w:eastAsiaTheme="minorEastAsia"/>
          <w:b/>
          <w:bCs/>
          <w:sz w:val="22"/>
          <w:szCs w:val="22"/>
        </w:rPr>
        <w:t>)</w:t>
      </w:r>
      <w:r w:rsidRPr="000D3DDF">
        <w:rPr>
          <w:rFonts w:eastAsiaTheme="minorEastAsia"/>
          <w:sz w:val="22"/>
          <w:szCs w:val="22"/>
        </w:rPr>
        <w:t xml:space="preserve"> Example of Ki67</w:t>
      </w:r>
      <w:r w:rsidRPr="00C1683B">
        <w:rPr>
          <w:rFonts w:eastAsiaTheme="minorEastAsia"/>
          <w:sz w:val="22"/>
          <w:szCs w:val="22"/>
          <w:vertAlign w:val="superscript"/>
        </w:rPr>
        <w:t>+</w:t>
      </w:r>
      <w:r>
        <w:rPr>
          <w:rFonts w:eastAsiaTheme="minorEastAsia"/>
          <w:sz w:val="22"/>
          <w:szCs w:val="22"/>
        </w:rPr>
        <w:t xml:space="preserve"> FRCs</w:t>
      </w:r>
      <w:r w:rsidRPr="000D3DDF">
        <w:rPr>
          <w:rFonts w:eastAsiaTheme="minorEastAsia"/>
          <w:sz w:val="22"/>
          <w:szCs w:val="22"/>
        </w:rPr>
        <w:t xml:space="preserve"> </w:t>
      </w:r>
      <w:r>
        <w:rPr>
          <w:rFonts w:eastAsiaTheme="minorEastAsia"/>
          <w:sz w:val="22"/>
          <w:szCs w:val="22"/>
        </w:rPr>
        <w:t xml:space="preserve">cell plots and histogram of Ki67 geometric mean, comparing immunisation and Y27 treatments. </w:t>
      </w:r>
      <w:r>
        <w:rPr>
          <w:rFonts w:eastAsiaTheme="minorEastAsia"/>
          <w:b/>
          <w:bCs/>
          <w:sz w:val="22"/>
          <w:szCs w:val="22"/>
        </w:rPr>
        <w:t>D</w:t>
      </w:r>
      <w:r w:rsidRPr="000D3DDF">
        <w:rPr>
          <w:rFonts w:eastAsiaTheme="minorEastAsia"/>
          <w:b/>
          <w:bCs/>
          <w:sz w:val="22"/>
          <w:szCs w:val="22"/>
        </w:rPr>
        <w:t>)</w:t>
      </w:r>
      <w:r w:rsidRPr="000D3DDF">
        <w:rPr>
          <w:rFonts w:eastAsiaTheme="minorEastAsia"/>
          <w:sz w:val="22"/>
          <w:szCs w:val="22"/>
        </w:rPr>
        <w:t xml:space="preserve"> Quantification of Ki67</w:t>
      </w:r>
      <w:r w:rsidRPr="00C1683B">
        <w:rPr>
          <w:rFonts w:eastAsiaTheme="minorEastAsia"/>
          <w:sz w:val="22"/>
          <w:szCs w:val="22"/>
          <w:vertAlign w:val="superscript"/>
        </w:rPr>
        <w:t>+</w:t>
      </w:r>
      <w:r w:rsidRPr="000D3DDF">
        <w:rPr>
          <w:rFonts w:eastAsiaTheme="minorEastAsia"/>
          <w:sz w:val="22"/>
          <w:szCs w:val="22"/>
        </w:rPr>
        <w:t xml:space="preserve"> FRCs. </w:t>
      </w:r>
      <w:r>
        <w:rPr>
          <w:rFonts w:eastAsiaTheme="minorEastAsia"/>
          <w:sz w:val="22"/>
          <w:szCs w:val="22"/>
        </w:rPr>
        <w:t>Box plots indicates median and interquartile range. Two</w:t>
      </w:r>
      <w:r w:rsidRPr="000D3DDF">
        <w:rPr>
          <w:rFonts w:eastAsiaTheme="minorEastAsia"/>
          <w:sz w:val="22"/>
          <w:szCs w:val="22"/>
        </w:rPr>
        <w:t>-way ANOVA</w:t>
      </w:r>
      <w:r>
        <w:rPr>
          <w:rFonts w:eastAsiaTheme="minorEastAsia"/>
          <w:sz w:val="22"/>
          <w:szCs w:val="22"/>
        </w:rPr>
        <w:t xml:space="preserve"> with</w:t>
      </w:r>
      <w:r w:rsidRPr="000D3DDF">
        <w:rPr>
          <w:rFonts w:eastAsiaTheme="minorEastAsia"/>
          <w:sz w:val="22"/>
          <w:szCs w:val="22"/>
        </w:rPr>
        <w:t xml:space="preserve"> Tukey’s multiple comparisons. ****p&lt;0.0001, ***p&lt;0.001. </w:t>
      </w:r>
      <w:r>
        <w:rPr>
          <w:rFonts w:eastAsiaTheme="minorEastAsia"/>
          <w:sz w:val="22"/>
          <w:szCs w:val="22"/>
        </w:rPr>
        <w:t>N&gt;9 animals per condition</w:t>
      </w:r>
    </w:p>
    <w:p w14:paraId="1BAEAB72" w14:textId="77777777" w:rsidR="00411F38" w:rsidRDefault="00411F38" w:rsidP="00411F38">
      <w:pPr>
        <w:jc w:val="both"/>
        <w:rPr>
          <w:rFonts w:eastAsiaTheme="minorEastAsia"/>
          <w:sz w:val="22"/>
          <w:szCs w:val="22"/>
        </w:rPr>
      </w:pPr>
    </w:p>
    <w:p w14:paraId="16F3F66E" w14:textId="77777777" w:rsidR="00411F38" w:rsidRDefault="00411F38" w:rsidP="00411F38">
      <w:pPr>
        <w:jc w:val="both"/>
        <w:rPr>
          <w:rFonts w:eastAsiaTheme="minorEastAsia"/>
          <w:sz w:val="22"/>
          <w:szCs w:val="22"/>
        </w:rPr>
      </w:pPr>
      <w:r>
        <w:rPr>
          <w:rFonts w:eastAsiaTheme="minorEastAsia"/>
          <w:sz w:val="22"/>
          <w:szCs w:val="22"/>
        </w:rPr>
        <w:br w:type="page"/>
      </w:r>
    </w:p>
    <w:p w14:paraId="28418E6A" w14:textId="77777777" w:rsidR="00411F38" w:rsidRDefault="00411F38" w:rsidP="00411F38">
      <w:pPr>
        <w:jc w:val="both"/>
        <w:rPr>
          <w:sz w:val="22"/>
          <w:szCs w:val="22"/>
        </w:rPr>
      </w:pPr>
      <w:r w:rsidRPr="0008068B">
        <w:rPr>
          <w:b/>
          <w:bCs/>
          <w:noProof/>
          <w:sz w:val="22"/>
          <w:szCs w:val="22"/>
        </w:rPr>
        <w:lastRenderedPageBreak/>
        <w:drawing>
          <wp:anchor distT="0" distB="0" distL="114300" distR="114300" simplePos="0" relativeHeight="251661312" behindDoc="1" locked="0" layoutInCell="1" allowOverlap="1" wp14:anchorId="0E5C4CED" wp14:editId="05FFC724">
            <wp:simplePos x="0" y="0"/>
            <wp:positionH relativeFrom="column">
              <wp:posOffset>-497915</wp:posOffset>
            </wp:positionH>
            <wp:positionV relativeFrom="paragraph">
              <wp:posOffset>262255</wp:posOffset>
            </wp:positionV>
            <wp:extent cx="6717030" cy="4235450"/>
            <wp:effectExtent l="0" t="0" r="0" b="0"/>
            <wp:wrapTight wrapText="bothSides">
              <wp:wrapPolygon edited="0">
                <wp:start x="286" y="842"/>
                <wp:lineTo x="286" y="21179"/>
                <wp:lineTo x="21359" y="21179"/>
                <wp:lineTo x="21359" y="842"/>
                <wp:lineTo x="286" y="842"/>
              </wp:wrapPolygon>
            </wp:wrapT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rotWithShape="1">
                    <a:blip r:embed="rId9">
                      <a:extLst>
                        <a:ext uri="{28A0092B-C50C-407E-A947-70E740481C1C}">
                          <a14:useLocalDpi xmlns:a14="http://schemas.microsoft.com/office/drawing/2010/main" val="0"/>
                        </a:ext>
                      </a:extLst>
                    </a:blip>
                    <a:srcRect l="19233" t="4864" r="7885" b="62659"/>
                    <a:stretch/>
                  </pic:blipFill>
                  <pic:spPr bwMode="auto">
                    <a:xfrm>
                      <a:off x="0" y="0"/>
                      <a:ext cx="6717030" cy="42354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60131AD" w14:textId="77777777" w:rsidR="00411F38" w:rsidRPr="0008068B" w:rsidRDefault="00411F38" w:rsidP="00411F38">
      <w:pPr>
        <w:jc w:val="both"/>
        <w:rPr>
          <w:b/>
          <w:bCs/>
          <w:sz w:val="22"/>
          <w:szCs w:val="22"/>
        </w:rPr>
      </w:pPr>
      <w:r w:rsidRPr="0008068B">
        <w:rPr>
          <w:b/>
          <w:bCs/>
          <w:sz w:val="22"/>
          <w:szCs w:val="22"/>
        </w:rPr>
        <w:t xml:space="preserve">Tables S1 </w:t>
      </w:r>
    </w:p>
    <w:p w14:paraId="26DBAA64" w14:textId="77777777" w:rsidR="00411F38" w:rsidRDefault="00411F38" w:rsidP="00411F38">
      <w:pPr>
        <w:rPr>
          <w:sz w:val="22"/>
          <w:szCs w:val="22"/>
        </w:rPr>
      </w:pPr>
      <w:r w:rsidRPr="0008068B">
        <w:rPr>
          <w:i/>
          <w:iCs/>
          <w:sz w:val="22"/>
          <w:szCs w:val="22"/>
        </w:rPr>
        <w:t>Table S1</w:t>
      </w:r>
      <w:r>
        <w:rPr>
          <w:sz w:val="22"/>
          <w:szCs w:val="22"/>
        </w:rPr>
        <w:t xml:space="preserve"> – </w:t>
      </w:r>
      <w:r w:rsidRPr="0008068B">
        <w:rPr>
          <w:b/>
          <w:bCs/>
          <w:sz w:val="22"/>
          <w:szCs w:val="22"/>
        </w:rPr>
        <w:t>Antibody reagents and dilutions</w:t>
      </w:r>
    </w:p>
    <w:p w14:paraId="54249193" w14:textId="77777777" w:rsidR="00411F38" w:rsidRPr="0008068B" w:rsidRDefault="00411F38" w:rsidP="00411F38">
      <w:pPr>
        <w:rPr>
          <w:b/>
          <w:bCs/>
          <w:sz w:val="22"/>
          <w:szCs w:val="22"/>
        </w:rPr>
      </w:pPr>
      <w:r>
        <w:rPr>
          <w:sz w:val="22"/>
          <w:szCs w:val="22"/>
        </w:rPr>
        <w:br w:type="page"/>
      </w:r>
      <w:r w:rsidRPr="0008068B">
        <w:rPr>
          <w:b/>
          <w:bCs/>
          <w:sz w:val="22"/>
          <w:szCs w:val="22"/>
        </w:rPr>
        <w:lastRenderedPageBreak/>
        <w:t>References</w:t>
      </w:r>
    </w:p>
    <w:p w14:paraId="19F186AD" w14:textId="77777777" w:rsidR="00411F38" w:rsidRDefault="00411F38" w:rsidP="00411F38">
      <w:pPr>
        <w:jc w:val="both"/>
        <w:rPr>
          <w:sz w:val="22"/>
          <w:szCs w:val="22"/>
        </w:rPr>
      </w:pPr>
    </w:p>
    <w:p w14:paraId="61C85F41" w14:textId="77777777" w:rsidR="00411F38" w:rsidRPr="007A5E12" w:rsidRDefault="00411F38" w:rsidP="00411F38">
      <w:pPr>
        <w:widowControl w:val="0"/>
        <w:autoSpaceDE w:val="0"/>
        <w:autoSpaceDN w:val="0"/>
        <w:adjustRightInd w:val="0"/>
        <w:spacing w:line="360" w:lineRule="auto"/>
        <w:ind w:left="640" w:hanging="640"/>
        <w:rPr>
          <w:noProof/>
          <w:sz w:val="22"/>
        </w:rPr>
      </w:pPr>
      <w:r>
        <w:rPr>
          <w:sz w:val="22"/>
          <w:szCs w:val="22"/>
        </w:rPr>
        <w:fldChar w:fldCharType="begin" w:fldLock="1"/>
      </w:r>
      <w:r>
        <w:rPr>
          <w:sz w:val="22"/>
          <w:szCs w:val="22"/>
        </w:rPr>
        <w:instrText xml:space="preserve">ADDIN Mendeley Bibliography CSL_BIBLIOGRAPHY </w:instrText>
      </w:r>
      <w:r>
        <w:rPr>
          <w:sz w:val="22"/>
          <w:szCs w:val="22"/>
        </w:rPr>
        <w:fldChar w:fldCharType="separate"/>
      </w:r>
      <w:r w:rsidRPr="007A5E12">
        <w:rPr>
          <w:noProof/>
          <w:sz w:val="22"/>
        </w:rPr>
        <w:t>1.</w:t>
      </w:r>
      <w:r w:rsidRPr="007A5E12">
        <w:rPr>
          <w:noProof/>
          <w:sz w:val="22"/>
        </w:rPr>
        <w:tab/>
        <w:t xml:space="preserve">Liu, Z. </w:t>
      </w:r>
      <w:r w:rsidRPr="007A5E12">
        <w:rPr>
          <w:i/>
          <w:iCs/>
          <w:noProof/>
          <w:sz w:val="22"/>
        </w:rPr>
        <w:t>et al.</w:t>
      </w:r>
      <w:r w:rsidRPr="007A5E12">
        <w:rPr>
          <w:noProof/>
          <w:sz w:val="22"/>
        </w:rPr>
        <w:t xml:space="preserve"> Systematic comparison of 2A peptides for cloning multi-genes in a polycistronic vector. </w:t>
      </w:r>
      <w:r w:rsidRPr="007A5E12">
        <w:rPr>
          <w:i/>
          <w:iCs/>
          <w:noProof/>
          <w:sz w:val="22"/>
        </w:rPr>
        <w:t>Sci. Rep.</w:t>
      </w:r>
      <w:r w:rsidRPr="007A5E12">
        <w:rPr>
          <w:noProof/>
          <w:sz w:val="22"/>
        </w:rPr>
        <w:t xml:space="preserve"> </w:t>
      </w:r>
      <w:r w:rsidRPr="007A5E12">
        <w:rPr>
          <w:b/>
          <w:bCs/>
          <w:noProof/>
          <w:sz w:val="22"/>
        </w:rPr>
        <w:t>7</w:t>
      </w:r>
      <w:r w:rsidRPr="007A5E12">
        <w:rPr>
          <w:noProof/>
          <w:sz w:val="22"/>
        </w:rPr>
        <w:t>, (2017).</w:t>
      </w:r>
    </w:p>
    <w:p w14:paraId="5EFB3A98" w14:textId="77777777" w:rsidR="00411F38" w:rsidRPr="007A5E12" w:rsidRDefault="00411F38" w:rsidP="00411F38">
      <w:pPr>
        <w:widowControl w:val="0"/>
        <w:autoSpaceDE w:val="0"/>
        <w:autoSpaceDN w:val="0"/>
        <w:adjustRightInd w:val="0"/>
        <w:spacing w:line="360" w:lineRule="auto"/>
        <w:ind w:left="640" w:hanging="640"/>
        <w:rPr>
          <w:noProof/>
          <w:sz w:val="22"/>
        </w:rPr>
      </w:pPr>
      <w:r w:rsidRPr="007A5E12">
        <w:rPr>
          <w:noProof/>
          <w:sz w:val="22"/>
        </w:rPr>
        <w:t>2.</w:t>
      </w:r>
      <w:r w:rsidRPr="007A5E12">
        <w:rPr>
          <w:noProof/>
          <w:sz w:val="22"/>
        </w:rPr>
        <w:tab/>
        <w:t xml:space="preserve">Snippert, H. J. </w:t>
      </w:r>
      <w:r w:rsidRPr="007A5E12">
        <w:rPr>
          <w:i/>
          <w:iCs/>
          <w:noProof/>
          <w:sz w:val="22"/>
        </w:rPr>
        <w:t>et al.</w:t>
      </w:r>
      <w:r w:rsidRPr="007A5E12">
        <w:rPr>
          <w:noProof/>
          <w:sz w:val="22"/>
        </w:rPr>
        <w:t xml:space="preserve"> Intestinal crypt homeostasis results from neutral competition between symmetrically dividing Lgr5 stem cells. </w:t>
      </w:r>
      <w:r w:rsidRPr="007A5E12">
        <w:rPr>
          <w:i/>
          <w:iCs/>
          <w:noProof/>
          <w:sz w:val="22"/>
        </w:rPr>
        <w:t>Cell</w:t>
      </w:r>
      <w:r w:rsidRPr="007A5E12">
        <w:rPr>
          <w:noProof/>
          <w:sz w:val="22"/>
        </w:rPr>
        <w:t xml:space="preserve"> </w:t>
      </w:r>
      <w:r w:rsidRPr="007A5E12">
        <w:rPr>
          <w:b/>
          <w:bCs/>
          <w:noProof/>
          <w:sz w:val="22"/>
        </w:rPr>
        <w:t>143</w:t>
      </w:r>
      <w:r w:rsidRPr="007A5E12">
        <w:rPr>
          <w:noProof/>
          <w:sz w:val="22"/>
        </w:rPr>
        <w:t>, 134–144 (2010).</w:t>
      </w:r>
    </w:p>
    <w:p w14:paraId="6703CE54" w14:textId="77777777" w:rsidR="00411F38" w:rsidRPr="007A5E12" w:rsidRDefault="00411F38" w:rsidP="00411F38">
      <w:pPr>
        <w:widowControl w:val="0"/>
        <w:autoSpaceDE w:val="0"/>
        <w:autoSpaceDN w:val="0"/>
        <w:adjustRightInd w:val="0"/>
        <w:spacing w:line="360" w:lineRule="auto"/>
        <w:ind w:left="640" w:hanging="640"/>
        <w:rPr>
          <w:noProof/>
          <w:sz w:val="22"/>
        </w:rPr>
      </w:pPr>
      <w:r w:rsidRPr="007A5E12">
        <w:rPr>
          <w:noProof/>
          <w:sz w:val="22"/>
        </w:rPr>
        <w:t>3.</w:t>
      </w:r>
      <w:r w:rsidRPr="007A5E12">
        <w:rPr>
          <w:noProof/>
          <w:sz w:val="22"/>
        </w:rPr>
        <w:tab/>
        <w:t xml:space="preserve">Bajénoff, M. </w:t>
      </w:r>
      <w:r w:rsidRPr="007A5E12">
        <w:rPr>
          <w:i/>
          <w:iCs/>
          <w:noProof/>
          <w:sz w:val="22"/>
        </w:rPr>
        <w:t>et al.</w:t>
      </w:r>
      <w:r w:rsidRPr="007A5E12">
        <w:rPr>
          <w:noProof/>
          <w:sz w:val="22"/>
        </w:rPr>
        <w:t xml:space="preserve"> Stromal Cell Networks Regulate Lymphocyte Entry, Migration, and Territoriality in Lymph Nodes. </w:t>
      </w:r>
      <w:r w:rsidRPr="007A5E12">
        <w:rPr>
          <w:i/>
          <w:iCs/>
          <w:noProof/>
          <w:sz w:val="22"/>
        </w:rPr>
        <w:t>Immunity</w:t>
      </w:r>
      <w:r w:rsidRPr="007A5E12">
        <w:rPr>
          <w:noProof/>
          <w:sz w:val="22"/>
        </w:rPr>
        <w:t xml:space="preserve"> </w:t>
      </w:r>
      <w:r w:rsidRPr="007A5E12">
        <w:rPr>
          <w:b/>
          <w:bCs/>
          <w:noProof/>
          <w:sz w:val="22"/>
        </w:rPr>
        <w:t>25</w:t>
      </w:r>
      <w:r w:rsidRPr="007A5E12">
        <w:rPr>
          <w:noProof/>
          <w:sz w:val="22"/>
        </w:rPr>
        <w:t>, 989–1001 (2006).</w:t>
      </w:r>
    </w:p>
    <w:p w14:paraId="180F690D" w14:textId="77777777" w:rsidR="00411F38" w:rsidRPr="007A5E12" w:rsidRDefault="00411F38" w:rsidP="00411F38">
      <w:pPr>
        <w:widowControl w:val="0"/>
        <w:autoSpaceDE w:val="0"/>
        <w:autoSpaceDN w:val="0"/>
        <w:adjustRightInd w:val="0"/>
        <w:spacing w:line="360" w:lineRule="auto"/>
        <w:ind w:left="640" w:hanging="640"/>
        <w:rPr>
          <w:noProof/>
          <w:sz w:val="22"/>
        </w:rPr>
      </w:pPr>
      <w:r w:rsidRPr="007A5E12">
        <w:rPr>
          <w:noProof/>
          <w:sz w:val="22"/>
        </w:rPr>
        <w:t>4.</w:t>
      </w:r>
      <w:r w:rsidRPr="007A5E12">
        <w:rPr>
          <w:noProof/>
          <w:sz w:val="22"/>
        </w:rPr>
        <w:tab/>
        <w:t xml:space="preserve">Bozdag, E. </w:t>
      </w:r>
      <w:r w:rsidRPr="007A5E12">
        <w:rPr>
          <w:i/>
          <w:iCs/>
          <w:noProof/>
          <w:sz w:val="22"/>
        </w:rPr>
        <w:t>Intravital Imaging of Dynamic Bone and Immune Systems</w:t>
      </w:r>
      <w:r w:rsidRPr="007A5E12">
        <w:rPr>
          <w:noProof/>
          <w:sz w:val="22"/>
        </w:rPr>
        <w:t xml:space="preserve">. </w:t>
      </w:r>
      <w:r w:rsidRPr="007A5E12">
        <w:rPr>
          <w:i/>
          <w:iCs/>
          <w:noProof/>
          <w:sz w:val="22"/>
        </w:rPr>
        <w:t>Ethics and Information Technology</w:t>
      </w:r>
      <w:r w:rsidRPr="007A5E12">
        <w:rPr>
          <w:noProof/>
          <w:sz w:val="22"/>
        </w:rPr>
        <w:t xml:space="preserve"> vol. 1763 (2018).</w:t>
      </w:r>
    </w:p>
    <w:p w14:paraId="223DC6DB" w14:textId="77777777" w:rsidR="00411F38" w:rsidRPr="007A5E12" w:rsidRDefault="00411F38" w:rsidP="00411F38">
      <w:pPr>
        <w:widowControl w:val="0"/>
        <w:autoSpaceDE w:val="0"/>
        <w:autoSpaceDN w:val="0"/>
        <w:adjustRightInd w:val="0"/>
        <w:spacing w:line="360" w:lineRule="auto"/>
        <w:ind w:left="640" w:hanging="640"/>
        <w:rPr>
          <w:noProof/>
          <w:sz w:val="22"/>
        </w:rPr>
      </w:pPr>
      <w:r w:rsidRPr="007A5E12">
        <w:rPr>
          <w:noProof/>
          <w:sz w:val="22"/>
        </w:rPr>
        <w:t>5.</w:t>
      </w:r>
      <w:r w:rsidRPr="007A5E12">
        <w:rPr>
          <w:noProof/>
          <w:sz w:val="22"/>
        </w:rPr>
        <w:tab/>
        <w:t xml:space="preserve">Groff, B. D., Kinman, A. W. L., Woodroof, J. F. &amp; Pompano, R. R. Immunofluorescence staining of live lymph node tissue slices. </w:t>
      </w:r>
      <w:r w:rsidRPr="007A5E12">
        <w:rPr>
          <w:i/>
          <w:iCs/>
          <w:noProof/>
          <w:sz w:val="22"/>
        </w:rPr>
        <w:t>J. Immunol. Methods</w:t>
      </w:r>
      <w:r w:rsidRPr="007A5E12">
        <w:rPr>
          <w:noProof/>
          <w:sz w:val="22"/>
        </w:rPr>
        <w:t xml:space="preserve"> </w:t>
      </w:r>
      <w:r w:rsidRPr="007A5E12">
        <w:rPr>
          <w:b/>
          <w:bCs/>
          <w:noProof/>
          <w:sz w:val="22"/>
        </w:rPr>
        <w:t>464</w:t>
      </w:r>
      <w:r w:rsidRPr="007A5E12">
        <w:rPr>
          <w:noProof/>
          <w:sz w:val="22"/>
        </w:rPr>
        <w:t>, 119–125 (2019).</w:t>
      </w:r>
    </w:p>
    <w:p w14:paraId="37027CB3" w14:textId="77777777" w:rsidR="00411F38" w:rsidRPr="007A5E12" w:rsidRDefault="00411F38" w:rsidP="00411F38">
      <w:pPr>
        <w:widowControl w:val="0"/>
        <w:autoSpaceDE w:val="0"/>
        <w:autoSpaceDN w:val="0"/>
        <w:adjustRightInd w:val="0"/>
        <w:spacing w:line="360" w:lineRule="auto"/>
        <w:ind w:left="640" w:hanging="640"/>
        <w:rPr>
          <w:noProof/>
          <w:sz w:val="22"/>
        </w:rPr>
      </w:pPr>
      <w:r w:rsidRPr="007A5E12">
        <w:rPr>
          <w:noProof/>
          <w:sz w:val="22"/>
        </w:rPr>
        <w:t>6.</w:t>
      </w:r>
      <w:r w:rsidRPr="007A5E12">
        <w:rPr>
          <w:noProof/>
          <w:sz w:val="22"/>
        </w:rPr>
        <w:tab/>
        <w:t xml:space="preserve">Belanger, M. C. </w:t>
      </w:r>
      <w:r w:rsidRPr="007A5E12">
        <w:rPr>
          <w:i/>
          <w:iCs/>
          <w:noProof/>
          <w:sz w:val="22"/>
        </w:rPr>
        <w:t>et al.</w:t>
      </w:r>
      <w:r w:rsidRPr="007A5E12">
        <w:rPr>
          <w:noProof/>
          <w:sz w:val="22"/>
        </w:rPr>
        <w:t xml:space="preserve"> Acute lymph node slices are a functional model system to study immunity ex vivo. doi:10.1101/865543.</w:t>
      </w:r>
    </w:p>
    <w:p w14:paraId="7576C141" w14:textId="77777777" w:rsidR="00411F38" w:rsidRPr="007A5E12" w:rsidRDefault="00411F38" w:rsidP="00411F38">
      <w:pPr>
        <w:widowControl w:val="0"/>
        <w:autoSpaceDE w:val="0"/>
        <w:autoSpaceDN w:val="0"/>
        <w:adjustRightInd w:val="0"/>
        <w:spacing w:line="360" w:lineRule="auto"/>
        <w:ind w:left="640" w:hanging="640"/>
        <w:rPr>
          <w:noProof/>
          <w:sz w:val="22"/>
        </w:rPr>
      </w:pPr>
      <w:r w:rsidRPr="007A5E12">
        <w:rPr>
          <w:noProof/>
          <w:sz w:val="22"/>
        </w:rPr>
        <w:t>7.</w:t>
      </w:r>
      <w:r w:rsidRPr="007A5E12">
        <w:rPr>
          <w:noProof/>
          <w:sz w:val="22"/>
        </w:rPr>
        <w:tab/>
        <w:t xml:space="preserve">Mao, Y. </w:t>
      </w:r>
      <w:r w:rsidRPr="007A5E12">
        <w:rPr>
          <w:i/>
          <w:iCs/>
          <w:noProof/>
          <w:sz w:val="22"/>
        </w:rPr>
        <w:t>et al.</w:t>
      </w:r>
      <w:r w:rsidRPr="007A5E12">
        <w:rPr>
          <w:noProof/>
          <w:sz w:val="22"/>
        </w:rPr>
        <w:t xml:space="preserve"> Differential proliferation rates generate patterns of mechanical tension that orient tissue growth. </w:t>
      </w:r>
      <w:r w:rsidRPr="007A5E12">
        <w:rPr>
          <w:i/>
          <w:iCs/>
          <w:noProof/>
          <w:sz w:val="22"/>
        </w:rPr>
        <w:t>EMBO J.</w:t>
      </w:r>
      <w:r w:rsidRPr="007A5E12">
        <w:rPr>
          <w:noProof/>
          <w:sz w:val="22"/>
        </w:rPr>
        <w:t xml:space="preserve"> </w:t>
      </w:r>
      <w:r w:rsidRPr="007A5E12">
        <w:rPr>
          <w:b/>
          <w:bCs/>
          <w:noProof/>
          <w:sz w:val="22"/>
        </w:rPr>
        <w:t>32</w:t>
      </w:r>
      <w:r w:rsidRPr="007A5E12">
        <w:rPr>
          <w:noProof/>
          <w:sz w:val="22"/>
        </w:rPr>
        <w:t>, 2790–2803 (2013).</w:t>
      </w:r>
    </w:p>
    <w:p w14:paraId="67E0DFD5" w14:textId="77777777" w:rsidR="00411F38" w:rsidRPr="007A5E12" w:rsidRDefault="00411F38" w:rsidP="00411F38">
      <w:pPr>
        <w:widowControl w:val="0"/>
        <w:autoSpaceDE w:val="0"/>
        <w:autoSpaceDN w:val="0"/>
        <w:adjustRightInd w:val="0"/>
        <w:spacing w:line="360" w:lineRule="auto"/>
        <w:ind w:left="640" w:hanging="640"/>
        <w:rPr>
          <w:noProof/>
          <w:sz w:val="22"/>
        </w:rPr>
      </w:pPr>
      <w:r w:rsidRPr="007A5E12">
        <w:rPr>
          <w:noProof/>
          <w:sz w:val="22"/>
        </w:rPr>
        <w:t>8.</w:t>
      </w:r>
      <w:r w:rsidRPr="007A5E12">
        <w:rPr>
          <w:noProof/>
          <w:sz w:val="22"/>
        </w:rPr>
        <w:tab/>
        <w:t xml:space="preserve">Duda, M. </w:t>
      </w:r>
      <w:r w:rsidRPr="007A5E12">
        <w:rPr>
          <w:i/>
          <w:iCs/>
          <w:noProof/>
          <w:sz w:val="22"/>
        </w:rPr>
        <w:t>et al.</w:t>
      </w:r>
      <w:r w:rsidRPr="007A5E12">
        <w:rPr>
          <w:noProof/>
          <w:sz w:val="22"/>
        </w:rPr>
        <w:t xml:space="preserve"> Polarization of Myosin II Refines Tissue Material Properties to Buffer Mechanical Stress. </w:t>
      </w:r>
      <w:r w:rsidRPr="007A5E12">
        <w:rPr>
          <w:i/>
          <w:iCs/>
          <w:noProof/>
          <w:sz w:val="22"/>
        </w:rPr>
        <w:t>Dev. Cell</w:t>
      </w:r>
      <w:r w:rsidRPr="007A5E12">
        <w:rPr>
          <w:noProof/>
          <w:sz w:val="22"/>
        </w:rPr>
        <w:t xml:space="preserve"> </w:t>
      </w:r>
      <w:r w:rsidRPr="007A5E12">
        <w:rPr>
          <w:b/>
          <w:bCs/>
          <w:noProof/>
          <w:sz w:val="22"/>
        </w:rPr>
        <w:t>48</w:t>
      </w:r>
      <w:r w:rsidRPr="007A5E12">
        <w:rPr>
          <w:noProof/>
          <w:sz w:val="22"/>
        </w:rPr>
        <w:t>, 245-260.e7 (2019).</w:t>
      </w:r>
    </w:p>
    <w:p w14:paraId="38F7ED15" w14:textId="77777777" w:rsidR="00411F38" w:rsidRPr="007A5E12" w:rsidRDefault="00411F38" w:rsidP="00411F38">
      <w:pPr>
        <w:widowControl w:val="0"/>
        <w:autoSpaceDE w:val="0"/>
        <w:autoSpaceDN w:val="0"/>
        <w:adjustRightInd w:val="0"/>
        <w:spacing w:line="360" w:lineRule="auto"/>
        <w:ind w:left="640" w:hanging="640"/>
        <w:rPr>
          <w:noProof/>
          <w:sz w:val="22"/>
        </w:rPr>
      </w:pPr>
      <w:r w:rsidRPr="007A5E12">
        <w:rPr>
          <w:noProof/>
          <w:sz w:val="22"/>
        </w:rPr>
        <w:t>9.</w:t>
      </w:r>
      <w:r w:rsidRPr="007A5E12">
        <w:rPr>
          <w:noProof/>
          <w:sz w:val="22"/>
        </w:rPr>
        <w:tab/>
        <w:t xml:space="preserve">Fletcher, A. L. </w:t>
      </w:r>
      <w:r w:rsidRPr="007A5E12">
        <w:rPr>
          <w:i/>
          <w:iCs/>
          <w:noProof/>
          <w:sz w:val="22"/>
        </w:rPr>
        <w:t>et al.</w:t>
      </w:r>
      <w:r w:rsidRPr="007A5E12">
        <w:rPr>
          <w:noProof/>
          <w:sz w:val="22"/>
        </w:rPr>
        <w:t xml:space="preserve"> Reproducible isolation of lymph node stromal cells reveals site-dependent differences in fibroblastic reticular cells. </w:t>
      </w:r>
      <w:r w:rsidRPr="007A5E12">
        <w:rPr>
          <w:i/>
          <w:iCs/>
          <w:noProof/>
          <w:sz w:val="22"/>
        </w:rPr>
        <w:t>Front. Immunol.</w:t>
      </w:r>
      <w:r w:rsidRPr="007A5E12">
        <w:rPr>
          <w:noProof/>
          <w:sz w:val="22"/>
        </w:rPr>
        <w:t xml:space="preserve"> </w:t>
      </w:r>
      <w:r w:rsidRPr="007A5E12">
        <w:rPr>
          <w:b/>
          <w:bCs/>
          <w:noProof/>
          <w:sz w:val="22"/>
        </w:rPr>
        <w:t>2</w:t>
      </w:r>
      <w:r w:rsidRPr="007A5E12">
        <w:rPr>
          <w:noProof/>
          <w:sz w:val="22"/>
        </w:rPr>
        <w:t>, (2011).</w:t>
      </w:r>
    </w:p>
    <w:p w14:paraId="1A4F1E64" w14:textId="77777777" w:rsidR="00411F38" w:rsidRPr="007A5E12" w:rsidRDefault="00411F38" w:rsidP="00411F38">
      <w:pPr>
        <w:widowControl w:val="0"/>
        <w:autoSpaceDE w:val="0"/>
        <w:autoSpaceDN w:val="0"/>
        <w:adjustRightInd w:val="0"/>
        <w:spacing w:line="360" w:lineRule="auto"/>
        <w:ind w:left="640" w:hanging="640"/>
        <w:rPr>
          <w:noProof/>
          <w:sz w:val="22"/>
        </w:rPr>
      </w:pPr>
      <w:r w:rsidRPr="007A5E12">
        <w:rPr>
          <w:noProof/>
          <w:sz w:val="22"/>
        </w:rPr>
        <w:t>10.</w:t>
      </w:r>
      <w:r w:rsidRPr="007A5E12">
        <w:rPr>
          <w:noProof/>
          <w:sz w:val="22"/>
        </w:rPr>
        <w:tab/>
        <w:t xml:space="preserve">Acton, S. E. </w:t>
      </w:r>
      <w:r w:rsidRPr="007A5E12">
        <w:rPr>
          <w:i/>
          <w:iCs/>
          <w:noProof/>
          <w:sz w:val="22"/>
        </w:rPr>
        <w:t>et al.</w:t>
      </w:r>
      <w:r w:rsidRPr="007A5E12">
        <w:rPr>
          <w:noProof/>
          <w:sz w:val="22"/>
        </w:rPr>
        <w:t xml:space="preserve"> Dendritic cells control fibroblastic reticular network tension and lymph node expansion. </w:t>
      </w:r>
      <w:r w:rsidRPr="007A5E12">
        <w:rPr>
          <w:i/>
          <w:iCs/>
          <w:noProof/>
          <w:sz w:val="22"/>
        </w:rPr>
        <w:t>Nature</w:t>
      </w:r>
      <w:r w:rsidRPr="007A5E12">
        <w:rPr>
          <w:noProof/>
          <w:sz w:val="22"/>
        </w:rPr>
        <w:t xml:space="preserve"> </w:t>
      </w:r>
      <w:r w:rsidRPr="007A5E12">
        <w:rPr>
          <w:b/>
          <w:bCs/>
          <w:noProof/>
          <w:sz w:val="22"/>
        </w:rPr>
        <w:t>514</w:t>
      </w:r>
      <w:r w:rsidRPr="007A5E12">
        <w:rPr>
          <w:noProof/>
          <w:sz w:val="22"/>
        </w:rPr>
        <w:t>, 498–502 (2014).</w:t>
      </w:r>
    </w:p>
    <w:p w14:paraId="684D9B0C" w14:textId="77777777" w:rsidR="00411F38" w:rsidRPr="007A5E12" w:rsidRDefault="00411F38" w:rsidP="00411F38">
      <w:pPr>
        <w:widowControl w:val="0"/>
        <w:autoSpaceDE w:val="0"/>
        <w:autoSpaceDN w:val="0"/>
        <w:adjustRightInd w:val="0"/>
        <w:spacing w:line="360" w:lineRule="auto"/>
        <w:ind w:left="640" w:hanging="640"/>
        <w:rPr>
          <w:noProof/>
          <w:sz w:val="22"/>
        </w:rPr>
      </w:pPr>
      <w:r w:rsidRPr="007A5E12">
        <w:rPr>
          <w:noProof/>
          <w:sz w:val="22"/>
        </w:rPr>
        <w:t>11.</w:t>
      </w:r>
      <w:r w:rsidRPr="007A5E12">
        <w:rPr>
          <w:noProof/>
          <w:sz w:val="22"/>
        </w:rPr>
        <w:tab/>
        <w:t xml:space="preserve">De Winde, C. M. </w:t>
      </w:r>
      <w:r w:rsidRPr="007A5E12">
        <w:rPr>
          <w:i/>
          <w:iCs/>
          <w:noProof/>
          <w:sz w:val="22"/>
        </w:rPr>
        <w:t>et al.</w:t>
      </w:r>
      <w:r w:rsidRPr="007A5E12">
        <w:rPr>
          <w:noProof/>
          <w:sz w:val="22"/>
        </w:rPr>
        <w:t xml:space="preserve"> Fibroblastic Reticular Cell Response to Dendritic Cells Requires Coordinated Activity of Podoplanin, CD44 and CD9. doi:10.1101/793141.</w:t>
      </w:r>
    </w:p>
    <w:p w14:paraId="04420875" w14:textId="77777777" w:rsidR="00411F38" w:rsidRPr="007A5E12" w:rsidRDefault="00411F38" w:rsidP="00411F38">
      <w:pPr>
        <w:widowControl w:val="0"/>
        <w:autoSpaceDE w:val="0"/>
        <w:autoSpaceDN w:val="0"/>
        <w:adjustRightInd w:val="0"/>
        <w:spacing w:line="360" w:lineRule="auto"/>
        <w:ind w:left="640" w:hanging="640"/>
        <w:rPr>
          <w:noProof/>
          <w:sz w:val="22"/>
        </w:rPr>
      </w:pPr>
      <w:r w:rsidRPr="007A5E12">
        <w:rPr>
          <w:noProof/>
          <w:sz w:val="22"/>
        </w:rPr>
        <w:t>12.</w:t>
      </w:r>
      <w:r w:rsidRPr="007A5E12">
        <w:rPr>
          <w:noProof/>
          <w:sz w:val="22"/>
        </w:rPr>
        <w:tab/>
        <w:t xml:space="preserve">Diz-Muñoz, A. </w:t>
      </w:r>
      <w:r w:rsidRPr="007A5E12">
        <w:rPr>
          <w:i/>
          <w:iCs/>
          <w:noProof/>
          <w:sz w:val="22"/>
        </w:rPr>
        <w:t>et al.</w:t>
      </w:r>
      <w:r w:rsidRPr="007A5E12">
        <w:rPr>
          <w:noProof/>
          <w:sz w:val="22"/>
        </w:rPr>
        <w:t xml:space="preserve"> Membrane Tension Acts Through PLD2 and mTORC2 to Limit Actin Network Assembly During Neutrophil Migration. </w:t>
      </w:r>
      <w:r w:rsidRPr="007A5E12">
        <w:rPr>
          <w:i/>
          <w:iCs/>
          <w:noProof/>
          <w:sz w:val="22"/>
        </w:rPr>
        <w:t>PLoS Biol.</w:t>
      </w:r>
      <w:r w:rsidRPr="007A5E12">
        <w:rPr>
          <w:noProof/>
          <w:sz w:val="22"/>
        </w:rPr>
        <w:t xml:space="preserve"> </w:t>
      </w:r>
      <w:r w:rsidRPr="007A5E12">
        <w:rPr>
          <w:b/>
          <w:bCs/>
          <w:noProof/>
          <w:sz w:val="22"/>
        </w:rPr>
        <w:t>14</w:t>
      </w:r>
      <w:r w:rsidRPr="007A5E12">
        <w:rPr>
          <w:noProof/>
          <w:sz w:val="22"/>
        </w:rPr>
        <w:t>, (2016).</w:t>
      </w:r>
    </w:p>
    <w:p w14:paraId="744B35F6" w14:textId="77777777" w:rsidR="00411F38" w:rsidRPr="007A5E12" w:rsidRDefault="00411F38" w:rsidP="00411F38">
      <w:pPr>
        <w:widowControl w:val="0"/>
        <w:autoSpaceDE w:val="0"/>
        <w:autoSpaceDN w:val="0"/>
        <w:adjustRightInd w:val="0"/>
        <w:spacing w:line="360" w:lineRule="auto"/>
        <w:ind w:left="640" w:hanging="640"/>
        <w:rPr>
          <w:noProof/>
          <w:sz w:val="22"/>
        </w:rPr>
      </w:pPr>
      <w:r w:rsidRPr="007A5E12">
        <w:rPr>
          <w:noProof/>
          <w:sz w:val="22"/>
        </w:rPr>
        <w:t>13.</w:t>
      </w:r>
      <w:r w:rsidRPr="007A5E12">
        <w:rPr>
          <w:noProof/>
          <w:sz w:val="22"/>
        </w:rPr>
        <w:tab/>
        <w:t xml:space="preserve">De Belly, H. </w:t>
      </w:r>
      <w:r w:rsidRPr="007A5E12">
        <w:rPr>
          <w:i/>
          <w:iCs/>
          <w:noProof/>
          <w:sz w:val="22"/>
        </w:rPr>
        <w:t>et al.</w:t>
      </w:r>
      <w:r w:rsidRPr="007A5E12">
        <w:rPr>
          <w:noProof/>
          <w:sz w:val="22"/>
        </w:rPr>
        <w:t xml:space="preserve"> Membrane Tension Gates ERK-Mediated Regulation of Pluripotent Cell Fate. </w:t>
      </w:r>
      <w:r w:rsidRPr="007A5E12">
        <w:rPr>
          <w:i/>
          <w:iCs/>
          <w:noProof/>
          <w:sz w:val="22"/>
        </w:rPr>
        <w:t>Cell Stem Cell</w:t>
      </w:r>
      <w:r w:rsidRPr="007A5E12">
        <w:rPr>
          <w:noProof/>
          <w:sz w:val="22"/>
        </w:rPr>
        <w:t xml:space="preserve"> </w:t>
      </w:r>
      <w:r w:rsidRPr="007A5E12">
        <w:rPr>
          <w:b/>
          <w:bCs/>
          <w:noProof/>
          <w:sz w:val="22"/>
        </w:rPr>
        <w:t>28</w:t>
      </w:r>
      <w:r w:rsidRPr="007A5E12">
        <w:rPr>
          <w:noProof/>
          <w:sz w:val="22"/>
        </w:rPr>
        <w:t>, 273-284.e6 (2021).</w:t>
      </w:r>
    </w:p>
    <w:p w14:paraId="046206D2" w14:textId="77777777" w:rsidR="00411F38" w:rsidRPr="007A5E12" w:rsidRDefault="00411F38" w:rsidP="00411F38">
      <w:pPr>
        <w:widowControl w:val="0"/>
        <w:autoSpaceDE w:val="0"/>
        <w:autoSpaceDN w:val="0"/>
        <w:adjustRightInd w:val="0"/>
        <w:spacing w:line="360" w:lineRule="auto"/>
        <w:ind w:left="640" w:hanging="640"/>
        <w:rPr>
          <w:noProof/>
          <w:sz w:val="22"/>
        </w:rPr>
      </w:pPr>
      <w:r w:rsidRPr="007A5E12">
        <w:rPr>
          <w:noProof/>
          <w:sz w:val="22"/>
        </w:rPr>
        <w:t>14.</w:t>
      </w:r>
      <w:r w:rsidRPr="007A5E12">
        <w:rPr>
          <w:noProof/>
          <w:sz w:val="22"/>
        </w:rPr>
        <w:tab/>
        <w:t xml:space="preserve">Compan, V. </w:t>
      </w:r>
      <w:r w:rsidRPr="007A5E12">
        <w:rPr>
          <w:i/>
          <w:iCs/>
          <w:noProof/>
          <w:sz w:val="22"/>
        </w:rPr>
        <w:t>et al.</w:t>
      </w:r>
      <w:r w:rsidRPr="007A5E12">
        <w:rPr>
          <w:noProof/>
          <w:sz w:val="22"/>
        </w:rPr>
        <w:t xml:space="preserve"> Cell Volume Regulation Modulates NLRP3 Inflammasome Activation. </w:t>
      </w:r>
      <w:r w:rsidRPr="007A5E12">
        <w:rPr>
          <w:i/>
          <w:iCs/>
          <w:noProof/>
          <w:sz w:val="22"/>
        </w:rPr>
        <w:t>Immunity</w:t>
      </w:r>
      <w:r w:rsidRPr="007A5E12">
        <w:rPr>
          <w:noProof/>
          <w:sz w:val="22"/>
        </w:rPr>
        <w:t xml:space="preserve"> </w:t>
      </w:r>
      <w:r w:rsidRPr="007A5E12">
        <w:rPr>
          <w:b/>
          <w:bCs/>
          <w:noProof/>
          <w:sz w:val="22"/>
        </w:rPr>
        <w:t>37</w:t>
      </w:r>
      <w:r w:rsidRPr="007A5E12">
        <w:rPr>
          <w:noProof/>
          <w:sz w:val="22"/>
        </w:rPr>
        <w:t>, 487–500 (2012).</w:t>
      </w:r>
    </w:p>
    <w:p w14:paraId="3FAC61DB" w14:textId="77777777" w:rsidR="00411F38" w:rsidRDefault="00411F38" w:rsidP="00411F38">
      <w:pPr>
        <w:widowControl w:val="0"/>
        <w:autoSpaceDE w:val="0"/>
        <w:autoSpaceDN w:val="0"/>
        <w:adjustRightInd w:val="0"/>
        <w:ind w:left="640" w:hanging="640"/>
        <w:rPr>
          <w:sz w:val="22"/>
          <w:szCs w:val="22"/>
        </w:rPr>
      </w:pPr>
      <w:r>
        <w:rPr>
          <w:sz w:val="22"/>
          <w:szCs w:val="22"/>
        </w:rPr>
        <w:fldChar w:fldCharType="end"/>
      </w:r>
    </w:p>
    <w:p w14:paraId="5332F7E8" w14:textId="77777777" w:rsidR="00411F38" w:rsidRDefault="00411F38" w:rsidP="00411F38">
      <w:pPr>
        <w:widowControl w:val="0"/>
        <w:autoSpaceDE w:val="0"/>
        <w:autoSpaceDN w:val="0"/>
        <w:adjustRightInd w:val="0"/>
        <w:ind w:left="640" w:hanging="640"/>
        <w:rPr>
          <w:sz w:val="22"/>
          <w:szCs w:val="22"/>
        </w:rPr>
      </w:pPr>
    </w:p>
    <w:p w14:paraId="655D67F4" w14:textId="77777777" w:rsidR="00411F38" w:rsidRDefault="00411F38" w:rsidP="00411F38">
      <w:pPr>
        <w:rPr>
          <w:sz w:val="22"/>
          <w:szCs w:val="22"/>
        </w:rPr>
      </w:pPr>
    </w:p>
    <w:p w14:paraId="4B69F254" w14:textId="77777777" w:rsidR="00411F38" w:rsidRDefault="00411F38" w:rsidP="00411F38">
      <w:pPr>
        <w:rPr>
          <w:b/>
          <w:bCs/>
          <w:sz w:val="22"/>
          <w:szCs w:val="22"/>
        </w:rPr>
      </w:pPr>
    </w:p>
    <w:p w14:paraId="3A824F91" w14:textId="77777777" w:rsidR="00411F38" w:rsidRDefault="00411F38" w:rsidP="00411F38">
      <w:pPr>
        <w:rPr>
          <w:b/>
          <w:bCs/>
          <w:sz w:val="22"/>
          <w:szCs w:val="22"/>
        </w:rPr>
      </w:pPr>
    </w:p>
    <w:p w14:paraId="3433395B" w14:textId="77777777" w:rsidR="00411F38" w:rsidRDefault="00411F38" w:rsidP="00411F38">
      <w:pPr>
        <w:rPr>
          <w:b/>
          <w:bCs/>
          <w:sz w:val="22"/>
          <w:szCs w:val="22"/>
        </w:rPr>
      </w:pPr>
    </w:p>
    <w:p w14:paraId="2C2C1D12" w14:textId="77777777" w:rsidR="00411F38" w:rsidRDefault="00411F38" w:rsidP="00411F38">
      <w:pPr>
        <w:rPr>
          <w:b/>
          <w:bCs/>
          <w:sz w:val="22"/>
          <w:szCs w:val="22"/>
        </w:rPr>
      </w:pPr>
    </w:p>
    <w:p w14:paraId="3363FA2E" w14:textId="77777777" w:rsidR="00411F38" w:rsidRPr="0008068B" w:rsidRDefault="00411F38" w:rsidP="00411F38">
      <w:pPr>
        <w:rPr>
          <w:b/>
          <w:bCs/>
          <w:sz w:val="22"/>
          <w:szCs w:val="22"/>
        </w:rPr>
      </w:pPr>
      <w:r>
        <w:rPr>
          <w:b/>
          <w:bCs/>
          <w:sz w:val="22"/>
          <w:szCs w:val="22"/>
        </w:rPr>
        <w:lastRenderedPageBreak/>
        <w:t>Movies S1 to S4</w:t>
      </w:r>
    </w:p>
    <w:p w14:paraId="1D818ADC" w14:textId="77777777" w:rsidR="00411F38" w:rsidRPr="00B63AC1" w:rsidRDefault="00411F38" w:rsidP="00411F38">
      <w:pPr>
        <w:rPr>
          <w:sz w:val="22"/>
          <w:szCs w:val="22"/>
        </w:rPr>
      </w:pPr>
    </w:p>
    <w:p w14:paraId="0DB8CCBA" w14:textId="77777777" w:rsidR="00411F38" w:rsidRDefault="00411F38" w:rsidP="00411F38">
      <w:pPr>
        <w:spacing w:line="276" w:lineRule="auto"/>
        <w:jc w:val="both"/>
        <w:rPr>
          <w:rFonts w:eastAsiaTheme="minorEastAsia"/>
          <w:sz w:val="22"/>
          <w:szCs w:val="22"/>
        </w:rPr>
      </w:pPr>
      <w:r w:rsidRPr="00B63AC1">
        <w:rPr>
          <w:rFonts w:eastAsiaTheme="minorEastAsia"/>
          <w:b/>
          <w:bCs/>
          <w:sz w:val="22"/>
          <w:szCs w:val="22"/>
        </w:rPr>
        <w:t>S1A – The paracortical T-cell FRC network, showing 3D localisation of actomyosin structures in homeostasis</w:t>
      </w:r>
      <w:r w:rsidRPr="00B63AC1">
        <w:rPr>
          <w:rFonts w:eastAsiaTheme="minorEastAsia"/>
          <w:sz w:val="22"/>
          <w:szCs w:val="22"/>
        </w:rPr>
        <w:t xml:space="preserve">. </w:t>
      </w:r>
    </w:p>
    <w:p w14:paraId="0592B4E5" w14:textId="77777777" w:rsidR="00411F38" w:rsidRDefault="00411F38" w:rsidP="00411F38">
      <w:pPr>
        <w:spacing w:line="276" w:lineRule="auto"/>
        <w:jc w:val="both"/>
        <w:rPr>
          <w:rFonts w:eastAsiaTheme="minorEastAsia"/>
          <w:sz w:val="22"/>
          <w:szCs w:val="22"/>
        </w:rPr>
      </w:pPr>
    </w:p>
    <w:p w14:paraId="683266F1" w14:textId="77777777" w:rsidR="00411F38" w:rsidRPr="00B63AC1" w:rsidRDefault="00411F38" w:rsidP="00411F38">
      <w:pPr>
        <w:spacing w:line="276" w:lineRule="auto"/>
        <w:jc w:val="both"/>
        <w:rPr>
          <w:rFonts w:eastAsiaTheme="minorEastAsia"/>
          <w:sz w:val="22"/>
          <w:szCs w:val="22"/>
        </w:rPr>
      </w:pPr>
      <w:r w:rsidRPr="00B63AC1">
        <w:rPr>
          <w:rFonts w:eastAsiaTheme="minorEastAsia"/>
          <w:sz w:val="22"/>
          <w:szCs w:val="22"/>
        </w:rPr>
        <w:t>Staining of the conduit (</w:t>
      </w:r>
      <w:proofErr w:type="spellStart"/>
      <w:r w:rsidRPr="00B63AC1">
        <w:rPr>
          <w:rFonts w:eastAsiaTheme="minorEastAsia"/>
          <w:sz w:val="22"/>
          <w:szCs w:val="22"/>
        </w:rPr>
        <w:t>perlecan</w:t>
      </w:r>
      <w:proofErr w:type="spellEnd"/>
      <w:r w:rsidRPr="00B63AC1">
        <w:rPr>
          <w:rFonts w:eastAsiaTheme="minorEastAsia"/>
          <w:sz w:val="22"/>
          <w:szCs w:val="22"/>
        </w:rPr>
        <w:t xml:space="preserve">, magenta), FRC network (PDPN, yellow), F-actin (phalloidin, cyan) and </w:t>
      </w:r>
      <w:proofErr w:type="spellStart"/>
      <w:r w:rsidRPr="00B63AC1">
        <w:rPr>
          <w:rFonts w:eastAsiaTheme="minorEastAsia"/>
          <w:sz w:val="22"/>
          <w:szCs w:val="22"/>
        </w:rPr>
        <w:t>pMLC</w:t>
      </w:r>
      <w:proofErr w:type="spellEnd"/>
      <w:r w:rsidRPr="00B63AC1">
        <w:rPr>
          <w:rFonts w:eastAsiaTheme="minorEastAsia"/>
          <w:sz w:val="22"/>
          <w:szCs w:val="22"/>
        </w:rPr>
        <w:t xml:space="preserve"> (red). PDPN and </w:t>
      </w:r>
      <w:proofErr w:type="spellStart"/>
      <w:r w:rsidRPr="00B63AC1">
        <w:rPr>
          <w:rFonts w:eastAsiaTheme="minorEastAsia"/>
          <w:sz w:val="22"/>
          <w:szCs w:val="22"/>
        </w:rPr>
        <w:t>perlecan</w:t>
      </w:r>
      <w:proofErr w:type="spellEnd"/>
      <w:r w:rsidRPr="00B63AC1">
        <w:rPr>
          <w:rFonts w:eastAsiaTheme="minorEastAsia"/>
          <w:sz w:val="22"/>
          <w:szCs w:val="22"/>
        </w:rPr>
        <w:t xml:space="preserve"> surface renders show the location of actomyosin in relation to these structures.</w:t>
      </w:r>
    </w:p>
    <w:p w14:paraId="70A41CC4" w14:textId="77777777" w:rsidR="00411F38" w:rsidRPr="00B63AC1" w:rsidRDefault="00411F38" w:rsidP="00411F38">
      <w:pPr>
        <w:spacing w:line="276" w:lineRule="auto"/>
        <w:jc w:val="both"/>
        <w:rPr>
          <w:rFonts w:eastAsiaTheme="minorEastAsia"/>
          <w:b/>
          <w:bCs/>
          <w:sz w:val="22"/>
          <w:szCs w:val="22"/>
        </w:rPr>
      </w:pPr>
    </w:p>
    <w:p w14:paraId="62F076A6" w14:textId="77777777" w:rsidR="00411F38" w:rsidRDefault="00411F38" w:rsidP="00411F38">
      <w:pPr>
        <w:spacing w:line="276" w:lineRule="auto"/>
        <w:jc w:val="both"/>
        <w:rPr>
          <w:rFonts w:eastAsiaTheme="minorEastAsia"/>
          <w:b/>
          <w:bCs/>
          <w:sz w:val="22"/>
          <w:szCs w:val="22"/>
        </w:rPr>
      </w:pPr>
      <w:r w:rsidRPr="00B63AC1">
        <w:rPr>
          <w:rFonts w:eastAsiaTheme="minorEastAsia"/>
          <w:b/>
          <w:bCs/>
          <w:sz w:val="22"/>
          <w:szCs w:val="22"/>
        </w:rPr>
        <w:t xml:space="preserve">S1B – Laser ablation of homeostatic FRC network. </w:t>
      </w:r>
    </w:p>
    <w:p w14:paraId="3E04AA6D" w14:textId="77777777" w:rsidR="00411F38" w:rsidRDefault="00411F38" w:rsidP="00411F38">
      <w:pPr>
        <w:spacing w:line="276" w:lineRule="auto"/>
        <w:jc w:val="both"/>
        <w:rPr>
          <w:rFonts w:eastAsiaTheme="minorEastAsia"/>
          <w:b/>
          <w:bCs/>
          <w:sz w:val="22"/>
          <w:szCs w:val="22"/>
        </w:rPr>
      </w:pPr>
    </w:p>
    <w:p w14:paraId="540AF58F" w14:textId="77777777" w:rsidR="00411F38" w:rsidRPr="00B63AC1" w:rsidRDefault="00411F38" w:rsidP="00411F38">
      <w:pPr>
        <w:spacing w:line="276" w:lineRule="auto"/>
        <w:jc w:val="both"/>
        <w:rPr>
          <w:rFonts w:eastAsiaTheme="minorEastAsia"/>
          <w:sz w:val="22"/>
          <w:szCs w:val="22"/>
        </w:rPr>
      </w:pPr>
      <w:r w:rsidRPr="00B63AC1">
        <w:rPr>
          <w:rFonts w:eastAsiaTheme="minorEastAsia"/>
          <w:sz w:val="22"/>
          <w:szCs w:val="22"/>
        </w:rPr>
        <w:t>Movies captured over 25 seconds. Yellow line marks site of cut one second after imaging began.</w:t>
      </w:r>
    </w:p>
    <w:p w14:paraId="437B403F" w14:textId="77777777" w:rsidR="00411F38" w:rsidRPr="00B63AC1" w:rsidRDefault="00411F38" w:rsidP="00411F38">
      <w:pPr>
        <w:spacing w:line="276" w:lineRule="auto"/>
        <w:jc w:val="both"/>
        <w:rPr>
          <w:rFonts w:eastAsiaTheme="minorEastAsia"/>
          <w:sz w:val="22"/>
          <w:szCs w:val="22"/>
        </w:rPr>
      </w:pPr>
    </w:p>
    <w:p w14:paraId="6A5C8DCC" w14:textId="77777777" w:rsidR="00411F38" w:rsidRDefault="00411F38" w:rsidP="00411F38">
      <w:pPr>
        <w:spacing w:line="276" w:lineRule="auto"/>
        <w:jc w:val="both"/>
        <w:rPr>
          <w:rFonts w:eastAsiaTheme="minorEastAsia"/>
          <w:b/>
          <w:bCs/>
          <w:sz w:val="22"/>
          <w:szCs w:val="22"/>
        </w:rPr>
      </w:pPr>
      <w:r w:rsidRPr="00B63AC1">
        <w:rPr>
          <w:rFonts w:eastAsiaTheme="minorEastAsia"/>
          <w:b/>
          <w:bCs/>
          <w:sz w:val="22"/>
          <w:szCs w:val="22"/>
        </w:rPr>
        <w:t xml:space="preserve">S2A – Laser ablation of FRC network </w:t>
      </w:r>
      <w:r>
        <w:rPr>
          <w:rFonts w:eastAsiaTheme="minorEastAsia"/>
          <w:b/>
          <w:bCs/>
          <w:sz w:val="22"/>
          <w:szCs w:val="22"/>
        </w:rPr>
        <w:t>day 3 post immunisations</w:t>
      </w:r>
      <w:r w:rsidRPr="00B63AC1">
        <w:rPr>
          <w:rFonts w:eastAsiaTheme="minorEastAsia"/>
          <w:b/>
          <w:bCs/>
          <w:sz w:val="22"/>
          <w:szCs w:val="22"/>
        </w:rPr>
        <w:t xml:space="preserve">. </w:t>
      </w:r>
    </w:p>
    <w:p w14:paraId="7BB8ADF0" w14:textId="77777777" w:rsidR="00411F38" w:rsidRDefault="00411F38" w:rsidP="00411F38">
      <w:pPr>
        <w:spacing w:line="276" w:lineRule="auto"/>
        <w:jc w:val="both"/>
        <w:rPr>
          <w:rFonts w:eastAsiaTheme="minorEastAsia"/>
          <w:b/>
          <w:bCs/>
          <w:sz w:val="22"/>
          <w:szCs w:val="22"/>
        </w:rPr>
      </w:pPr>
    </w:p>
    <w:p w14:paraId="76F5C06D" w14:textId="77777777" w:rsidR="00411F38" w:rsidRDefault="00411F38" w:rsidP="00411F38">
      <w:pPr>
        <w:spacing w:line="276" w:lineRule="auto"/>
        <w:jc w:val="both"/>
        <w:rPr>
          <w:rFonts w:eastAsiaTheme="minorEastAsia"/>
          <w:sz w:val="22"/>
          <w:szCs w:val="22"/>
        </w:rPr>
      </w:pPr>
      <w:r w:rsidRPr="00B63AC1">
        <w:rPr>
          <w:rFonts w:eastAsiaTheme="minorEastAsia"/>
          <w:sz w:val="22"/>
          <w:szCs w:val="22"/>
        </w:rPr>
        <w:t>Movies captured over 25 seconds. Yellow line marks site of cut one second after imaging began.</w:t>
      </w:r>
    </w:p>
    <w:p w14:paraId="4CE419B2" w14:textId="77777777" w:rsidR="00411F38" w:rsidRDefault="00411F38" w:rsidP="00411F38">
      <w:pPr>
        <w:spacing w:line="276" w:lineRule="auto"/>
        <w:jc w:val="both"/>
        <w:rPr>
          <w:rFonts w:eastAsiaTheme="minorEastAsia"/>
          <w:sz w:val="22"/>
          <w:szCs w:val="22"/>
        </w:rPr>
      </w:pPr>
    </w:p>
    <w:p w14:paraId="65BAA47E" w14:textId="77777777" w:rsidR="00411F38" w:rsidRDefault="00411F38" w:rsidP="00411F38">
      <w:pPr>
        <w:spacing w:line="276" w:lineRule="auto"/>
        <w:jc w:val="both"/>
        <w:rPr>
          <w:rFonts w:eastAsiaTheme="minorEastAsia"/>
          <w:b/>
          <w:bCs/>
          <w:sz w:val="22"/>
          <w:szCs w:val="22"/>
        </w:rPr>
      </w:pPr>
      <w:r w:rsidRPr="00B63AC1">
        <w:rPr>
          <w:rFonts w:eastAsiaTheme="minorEastAsia"/>
          <w:b/>
          <w:bCs/>
          <w:sz w:val="22"/>
          <w:szCs w:val="22"/>
        </w:rPr>
        <w:t>S2</w:t>
      </w:r>
      <w:r>
        <w:rPr>
          <w:rFonts w:eastAsiaTheme="minorEastAsia"/>
          <w:b/>
          <w:bCs/>
          <w:sz w:val="22"/>
          <w:szCs w:val="22"/>
        </w:rPr>
        <w:t>B</w:t>
      </w:r>
      <w:r w:rsidRPr="00B63AC1">
        <w:rPr>
          <w:rFonts w:eastAsiaTheme="minorEastAsia"/>
          <w:b/>
          <w:bCs/>
          <w:sz w:val="22"/>
          <w:szCs w:val="22"/>
        </w:rPr>
        <w:t xml:space="preserve"> – Laser ablation of FRC network </w:t>
      </w:r>
      <w:r>
        <w:rPr>
          <w:rFonts w:eastAsiaTheme="minorEastAsia"/>
          <w:b/>
          <w:bCs/>
          <w:sz w:val="22"/>
          <w:szCs w:val="22"/>
        </w:rPr>
        <w:t>day 5 post immunisations</w:t>
      </w:r>
      <w:r w:rsidRPr="00B63AC1">
        <w:rPr>
          <w:rFonts w:eastAsiaTheme="minorEastAsia"/>
          <w:b/>
          <w:bCs/>
          <w:sz w:val="22"/>
          <w:szCs w:val="22"/>
        </w:rPr>
        <w:t xml:space="preserve">. </w:t>
      </w:r>
    </w:p>
    <w:p w14:paraId="44456604" w14:textId="77777777" w:rsidR="00411F38" w:rsidRDefault="00411F38" w:rsidP="00411F38">
      <w:pPr>
        <w:spacing w:line="276" w:lineRule="auto"/>
        <w:jc w:val="both"/>
        <w:rPr>
          <w:rFonts w:eastAsiaTheme="minorEastAsia"/>
          <w:b/>
          <w:bCs/>
          <w:sz w:val="22"/>
          <w:szCs w:val="22"/>
        </w:rPr>
      </w:pPr>
    </w:p>
    <w:p w14:paraId="3567850A" w14:textId="77777777" w:rsidR="00411F38" w:rsidRPr="00B63AC1" w:rsidRDefault="00411F38" w:rsidP="00411F38">
      <w:pPr>
        <w:spacing w:line="276" w:lineRule="auto"/>
        <w:jc w:val="both"/>
        <w:rPr>
          <w:rFonts w:eastAsiaTheme="minorEastAsia"/>
          <w:sz w:val="22"/>
          <w:szCs w:val="22"/>
        </w:rPr>
      </w:pPr>
      <w:r w:rsidRPr="00B63AC1">
        <w:rPr>
          <w:rFonts w:eastAsiaTheme="minorEastAsia"/>
          <w:sz w:val="22"/>
          <w:szCs w:val="22"/>
        </w:rPr>
        <w:t>Movies captured over 25 seconds. Yellow line marks site of cut one second after imaging began.</w:t>
      </w:r>
    </w:p>
    <w:p w14:paraId="5F67A573" w14:textId="77777777" w:rsidR="00411F38" w:rsidRPr="00B63AC1" w:rsidRDefault="00411F38" w:rsidP="00411F38">
      <w:pPr>
        <w:spacing w:line="276" w:lineRule="auto"/>
        <w:jc w:val="both"/>
        <w:rPr>
          <w:rFonts w:eastAsiaTheme="minorEastAsia"/>
          <w:sz w:val="22"/>
          <w:szCs w:val="22"/>
        </w:rPr>
      </w:pPr>
    </w:p>
    <w:p w14:paraId="26431E4C" w14:textId="77777777" w:rsidR="00411F38" w:rsidRDefault="00411F38" w:rsidP="00411F38">
      <w:pPr>
        <w:spacing w:line="276" w:lineRule="auto"/>
        <w:jc w:val="both"/>
        <w:rPr>
          <w:rFonts w:eastAsiaTheme="minorEastAsia"/>
          <w:sz w:val="22"/>
          <w:szCs w:val="22"/>
        </w:rPr>
      </w:pPr>
      <w:r w:rsidRPr="00B63AC1">
        <w:rPr>
          <w:rFonts w:eastAsiaTheme="minorEastAsia"/>
          <w:b/>
          <w:bCs/>
          <w:sz w:val="22"/>
          <w:szCs w:val="22"/>
        </w:rPr>
        <w:t>S2</w:t>
      </w:r>
      <w:r>
        <w:rPr>
          <w:rFonts w:eastAsiaTheme="minorEastAsia"/>
          <w:b/>
          <w:bCs/>
          <w:sz w:val="22"/>
          <w:szCs w:val="22"/>
        </w:rPr>
        <w:t xml:space="preserve">C </w:t>
      </w:r>
      <w:r w:rsidRPr="00B63AC1">
        <w:rPr>
          <w:rFonts w:eastAsiaTheme="minorEastAsia"/>
          <w:b/>
          <w:bCs/>
          <w:sz w:val="22"/>
          <w:szCs w:val="22"/>
        </w:rPr>
        <w:t xml:space="preserve">– The paracortical T-cell FRC network, showing 3D localisation of actomyosin structures </w:t>
      </w:r>
      <w:r>
        <w:rPr>
          <w:rFonts w:eastAsiaTheme="minorEastAsia"/>
          <w:b/>
          <w:bCs/>
          <w:sz w:val="22"/>
          <w:szCs w:val="22"/>
        </w:rPr>
        <w:t>day 3 post immunisations</w:t>
      </w:r>
      <w:r w:rsidRPr="00B63AC1">
        <w:rPr>
          <w:rFonts w:eastAsiaTheme="minorEastAsia"/>
          <w:sz w:val="22"/>
          <w:szCs w:val="22"/>
        </w:rPr>
        <w:t>.</w:t>
      </w:r>
    </w:p>
    <w:p w14:paraId="77EE0433" w14:textId="77777777" w:rsidR="00411F38" w:rsidRDefault="00411F38" w:rsidP="00411F38">
      <w:pPr>
        <w:spacing w:line="276" w:lineRule="auto"/>
        <w:jc w:val="both"/>
        <w:rPr>
          <w:rFonts w:eastAsiaTheme="minorEastAsia"/>
          <w:sz w:val="22"/>
          <w:szCs w:val="22"/>
        </w:rPr>
      </w:pPr>
    </w:p>
    <w:p w14:paraId="01241A62" w14:textId="77777777" w:rsidR="00411F38" w:rsidRDefault="00411F38" w:rsidP="00411F38">
      <w:pPr>
        <w:spacing w:line="276" w:lineRule="auto"/>
        <w:jc w:val="both"/>
        <w:rPr>
          <w:rFonts w:eastAsiaTheme="minorEastAsia"/>
          <w:sz w:val="22"/>
          <w:szCs w:val="22"/>
        </w:rPr>
      </w:pPr>
      <w:r w:rsidRPr="00B63AC1">
        <w:rPr>
          <w:rFonts w:eastAsiaTheme="minorEastAsia"/>
          <w:sz w:val="22"/>
          <w:szCs w:val="22"/>
        </w:rPr>
        <w:t>Staining of the conduit (</w:t>
      </w:r>
      <w:proofErr w:type="spellStart"/>
      <w:r w:rsidRPr="00B63AC1">
        <w:rPr>
          <w:rFonts w:eastAsiaTheme="minorEastAsia"/>
          <w:sz w:val="22"/>
          <w:szCs w:val="22"/>
        </w:rPr>
        <w:t>perlecan</w:t>
      </w:r>
      <w:proofErr w:type="spellEnd"/>
      <w:r w:rsidRPr="00B63AC1">
        <w:rPr>
          <w:rFonts w:eastAsiaTheme="minorEastAsia"/>
          <w:sz w:val="22"/>
          <w:szCs w:val="22"/>
        </w:rPr>
        <w:t xml:space="preserve">, magenta), FRC network (PDPN, yellow), F-actin (phalloidin, cyan) and </w:t>
      </w:r>
      <w:proofErr w:type="spellStart"/>
      <w:r w:rsidRPr="00B63AC1">
        <w:rPr>
          <w:rFonts w:eastAsiaTheme="minorEastAsia"/>
          <w:sz w:val="22"/>
          <w:szCs w:val="22"/>
        </w:rPr>
        <w:t>pMLC</w:t>
      </w:r>
      <w:proofErr w:type="spellEnd"/>
      <w:r w:rsidRPr="00B63AC1">
        <w:rPr>
          <w:rFonts w:eastAsiaTheme="minorEastAsia"/>
          <w:sz w:val="22"/>
          <w:szCs w:val="22"/>
        </w:rPr>
        <w:t xml:space="preserve"> (red). PDPN and </w:t>
      </w:r>
      <w:proofErr w:type="spellStart"/>
      <w:r w:rsidRPr="00B63AC1">
        <w:rPr>
          <w:rFonts w:eastAsiaTheme="minorEastAsia"/>
          <w:sz w:val="22"/>
          <w:szCs w:val="22"/>
        </w:rPr>
        <w:t>perlecan</w:t>
      </w:r>
      <w:proofErr w:type="spellEnd"/>
      <w:r w:rsidRPr="00B63AC1">
        <w:rPr>
          <w:rFonts w:eastAsiaTheme="minorEastAsia"/>
          <w:sz w:val="22"/>
          <w:szCs w:val="22"/>
        </w:rPr>
        <w:t xml:space="preserve"> surface renders show the location of actomyosin in relation to these structures.</w:t>
      </w:r>
    </w:p>
    <w:p w14:paraId="6114CCD5" w14:textId="77777777" w:rsidR="00411F38" w:rsidRDefault="00411F38" w:rsidP="00411F38">
      <w:pPr>
        <w:spacing w:line="276" w:lineRule="auto"/>
        <w:jc w:val="both"/>
        <w:rPr>
          <w:rFonts w:eastAsiaTheme="minorEastAsia"/>
          <w:sz w:val="22"/>
          <w:szCs w:val="22"/>
        </w:rPr>
      </w:pPr>
    </w:p>
    <w:p w14:paraId="76030029" w14:textId="77777777" w:rsidR="00411F38" w:rsidRDefault="00411F38" w:rsidP="00411F38">
      <w:pPr>
        <w:spacing w:line="276" w:lineRule="auto"/>
        <w:jc w:val="both"/>
        <w:rPr>
          <w:rFonts w:eastAsiaTheme="minorEastAsia"/>
          <w:sz w:val="22"/>
          <w:szCs w:val="22"/>
        </w:rPr>
      </w:pPr>
      <w:r w:rsidRPr="00B63AC1">
        <w:rPr>
          <w:rFonts w:eastAsiaTheme="minorEastAsia"/>
          <w:b/>
          <w:bCs/>
          <w:sz w:val="22"/>
          <w:szCs w:val="22"/>
        </w:rPr>
        <w:t>S2</w:t>
      </w:r>
      <w:r>
        <w:rPr>
          <w:rFonts w:eastAsiaTheme="minorEastAsia"/>
          <w:b/>
          <w:bCs/>
          <w:sz w:val="22"/>
          <w:szCs w:val="22"/>
        </w:rPr>
        <w:t xml:space="preserve">D </w:t>
      </w:r>
      <w:r w:rsidRPr="00B63AC1">
        <w:rPr>
          <w:rFonts w:eastAsiaTheme="minorEastAsia"/>
          <w:b/>
          <w:bCs/>
          <w:sz w:val="22"/>
          <w:szCs w:val="22"/>
        </w:rPr>
        <w:t xml:space="preserve">– The paracortical T-cell FRC network, showing 3D localisation of actomyosin structures </w:t>
      </w:r>
      <w:r>
        <w:rPr>
          <w:rFonts w:eastAsiaTheme="minorEastAsia"/>
          <w:b/>
          <w:bCs/>
          <w:sz w:val="22"/>
          <w:szCs w:val="22"/>
        </w:rPr>
        <w:t>day 5 post immunisation</w:t>
      </w:r>
      <w:r w:rsidRPr="00B63AC1">
        <w:rPr>
          <w:rFonts w:eastAsiaTheme="minorEastAsia"/>
          <w:sz w:val="22"/>
          <w:szCs w:val="22"/>
        </w:rPr>
        <w:t>.</w:t>
      </w:r>
    </w:p>
    <w:p w14:paraId="6C2A2911" w14:textId="77777777" w:rsidR="00411F38" w:rsidRDefault="00411F38" w:rsidP="00411F38">
      <w:pPr>
        <w:spacing w:line="276" w:lineRule="auto"/>
        <w:jc w:val="both"/>
        <w:rPr>
          <w:rFonts w:eastAsiaTheme="minorEastAsia"/>
          <w:sz w:val="22"/>
          <w:szCs w:val="22"/>
        </w:rPr>
      </w:pPr>
    </w:p>
    <w:p w14:paraId="28765AE7" w14:textId="77777777" w:rsidR="00411F38" w:rsidRPr="00B63AC1" w:rsidRDefault="00411F38" w:rsidP="00411F38">
      <w:pPr>
        <w:spacing w:line="276" w:lineRule="auto"/>
        <w:jc w:val="both"/>
        <w:rPr>
          <w:rFonts w:eastAsiaTheme="minorEastAsia"/>
          <w:sz w:val="22"/>
          <w:szCs w:val="22"/>
        </w:rPr>
      </w:pPr>
      <w:r w:rsidRPr="00B63AC1">
        <w:rPr>
          <w:rFonts w:eastAsiaTheme="minorEastAsia"/>
          <w:sz w:val="22"/>
          <w:szCs w:val="22"/>
        </w:rPr>
        <w:t>Staining of the conduit (</w:t>
      </w:r>
      <w:proofErr w:type="spellStart"/>
      <w:r w:rsidRPr="00B63AC1">
        <w:rPr>
          <w:rFonts w:eastAsiaTheme="minorEastAsia"/>
          <w:sz w:val="22"/>
          <w:szCs w:val="22"/>
        </w:rPr>
        <w:t>perlecan</w:t>
      </w:r>
      <w:proofErr w:type="spellEnd"/>
      <w:r w:rsidRPr="00B63AC1">
        <w:rPr>
          <w:rFonts w:eastAsiaTheme="minorEastAsia"/>
          <w:sz w:val="22"/>
          <w:szCs w:val="22"/>
        </w:rPr>
        <w:t xml:space="preserve">, magenta), FRC network (PDPN, yellow), F-actin (phalloidin, cyan) and </w:t>
      </w:r>
      <w:proofErr w:type="spellStart"/>
      <w:r w:rsidRPr="00B63AC1">
        <w:rPr>
          <w:rFonts w:eastAsiaTheme="minorEastAsia"/>
          <w:sz w:val="22"/>
          <w:szCs w:val="22"/>
        </w:rPr>
        <w:t>pMLC</w:t>
      </w:r>
      <w:proofErr w:type="spellEnd"/>
      <w:r w:rsidRPr="00B63AC1">
        <w:rPr>
          <w:rFonts w:eastAsiaTheme="minorEastAsia"/>
          <w:sz w:val="22"/>
          <w:szCs w:val="22"/>
        </w:rPr>
        <w:t xml:space="preserve"> (red). PDPN and </w:t>
      </w:r>
      <w:proofErr w:type="spellStart"/>
      <w:r w:rsidRPr="00B63AC1">
        <w:rPr>
          <w:rFonts w:eastAsiaTheme="minorEastAsia"/>
          <w:sz w:val="22"/>
          <w:szCs w:val="22"/>
        </w:rPr>
        <w:t>perlecan</w:t>
      </w:r>
      <w:proofErr w:type="spellEnd"/>
      <w:r w:rsidRPr="00B63AC1">
        <w:rPr>
          <w:rFonts w:eastAsiaTheme="minorEastAsia"/>
          <w:sz w:val="22"/>
          <w:szCs w:val="22"/>
        </w:rPr>
        <w:t xml:space="preserve"> surface renders show the location of actomyosin in relation to these structures.</w:t>
      </w:r>
    </w:p>
    <w:p w14:paraId="5F8A0EC8" w14:textId="77777777" w:rsidR="00411F38" w:rsidRPr="00B63AC1" w:rsidRDefault="00411F38" w:rsidP="00411F38">
      <w:pPr>
        <w:spacing w:line="276" w:lineRule="auto"/>
        <w:jc w:val="both"/>
        <w:rPr>
          <w:rFonts w:eastAsiaTheme="minorEastAsia"/>
          <w:sz w:val="22"/>
          <w:szCs w:val="22"/>
        </w:rPr>
      </w:pPr>
    </w:p>
    <w:p w14:paraId="4E65F7B5" w14:textId="77777777" w:rsidR="00411F38" w:rsidRPr="00B63AC1" w:rsidRDefault="00411F38" w:rsidP="00411F38">
      <w:pPr>
        <w:spacing w:line="276" w:lineRule="auto"/>
        <w:jc w:val="both"/>
        <w:rPr>
          <w:rFonts w:eastAsiaTheme="minorEastAsia"/>
          <w:b/>
          <w:bCs/>
          <w:sz w:val="22"/>
          <w:szCs w:val="22"/>
        </w:rPr>
      </w:pPr>
      <w:r w:rsidRPr="00B63AC1">
        <w:rPr>
          <w:rFonts w:eastAsiaTheme="minorEastAsia"/>
          <w:b/>
          <w:bCs/>
          <w:sz w:val="22"/>
          <w:szCs w:val="22"/>
        </w:rPr>
        <w:t>S3A – Optical tweezers generate membrane tethers used to determine membrane tension</w:t>
      </w:r>
    </w:p>
    <w:p w14:paraId="38DCA78E" w14:textId="77777777" w:rsidR="00411F38" w:rsidRPr="00B63AC1" w:rsidRDefault="00411F38" w:rsidP="00411F38">
      <w:pPr>
        <w:spacing w:line="276" w:lineRule="auto"/>
        <w:jc w:val="both"/>
        <w:rPr>
          <w:rFonts w:eastAsiaTheme="minorEastAsia"/>
          <w:sz w:val="22"/>
          <w:szCs w:val="22"/>
        </w:rPr>
      </w:pPr>
    </w:p>
    <w:p w14:paraId="0414D366" w14:textId="77777777" w:rsidR="00411F38" w:rsidRDefault="00411F38" w:rsidP="00411F38">
      <w:pPr>
        <w:spacing w:line="276" w:lineRule="auto"/>
        <w:jc w:val="both"/>
        <w:rPr>
          <w:rFonts w:eastAsiaTheme="minorEastAsia"/>
          <w:b/>
          <w:bCs/>
          <w:sz w:val="22"/>
          <w:szCs w:val="22"/>
        </w:rPr>
      </w:pPr>
      <w:r w:rsidRPr="00B63AC1">
        <w:rPr>
          <w:rFonts w:eastAsiaTheme="minorEastAsia"/>
          <w:b/>
          <w:bCs/>
          <w:sz w:val="22"/>
          <w:szCs w:val="22"/>
        </w:rPr>
        <w:t>S4A</w:t>
      </w:r>
      <w:r>
        <w:rPr>
          <w:rFonts w:eastAsiaTheme="minorEastAsia"/>
          <w:b/>
          <w:bCs/>
          <w:sz w:val="22"/>
          <w:szCs w:val="22"/>
        </w:rPr>
        <w:t xml:space="preserve"> </w:t>
      </w:r>
      <w:r w:rsidRPr="00B63AC1">
        <w:rPr>
          <w:rFonts w:eastAsiaTheme="minorEastAsia"/>
          <w:b/>
          <w:bCs/>
          <w:sz w:val="22"/>
          <w:szCs w:val="22"/>
        </w:rPr>
        <w:t xml:space="preserve">– Osmotic swelling of </w:t>
      </w:r>
      <w:r>
        <w:rPr>
          <w:rFonts w:eastAsiaTheme="minorEastAsia"/>
          <w:b/>
          <w:bCs/>
          <w:sz w:val="22"/>
          <w:szCs w:val="22"/>
        </w:rPr>
        <w:t xml:space="preserve">PDPN CTRL </w:t>
      </w:r>
      <w:r w:rsidRPr="00B63AC1">
        <w:rPr>
          <w:rFonts w:eastAsiaTheme="minorEastAsia"/>
          <w:b/>
          <w:bCs/>
          <w:sz w:val="22"/>
          <w:szCs w:val="22"/>
        </w:rPr>
        <w:t>fibroblastic reticular cells</w:t>
      </w:r>
    </w:p>
    <w:p w14:paraId="2DFE973E" w14:textId="77777777" w:rsidR="00411F38" w:rsidRPr="00B63AC1" w:rsidRDefault="00411F38" w:rsidP="00411F38">
      <w:pPr>
        <w:spacing w:line="276" w:lineRule="auto"/>
        <w:jc w:val="both"/>
        <w:rPr>
          <w:rFonts w:eastAsiaTheme="minorEastAsia"/>
          <w:sz w:val="22"/>
          <w:szCs w:val="22"/>
        </w:rPr>
      </w:pPr>
      <w:r w:rsidRPr="00B63AC1">
        <w:rPr>
          <w:rFonts w:eastAsiaTheme="minorEastAsia"/>
          <w:sz w:val="22"/>
          <w:szCs w:val="22"/>
        </w:rPr>
        <w:t xml:space="preserve">PDPN CTRL + CLEC2 (left), PDPN CTRL – CLEC2 (middle), PDPN CTRL ISO control (right). </w:t>
      </w:r>
      <w:r>
        <w:rPr>
          <w:rFonts w:eastAsiaTheme="minorEastAsia"/>
          <w:sz w:val="22"/>
          <w:szCs w:val="22"/>
        </w:rPr>
        <w:t>C</w:t>
      </w:r>
      <w:r w:rsidRPr="00B63AC1">
        <w:rPr>
          <w:rFonts w:eastAsiaTheme="minorEastAsia"/>
          <w:sz w:val="22"/>
          <w:szCs w:val="22"/>
        </w:rPr>
        <w:t>aptured over 60 minutes with one frame every 30 seconds.</w:t>
      </w:r>
    </w:p>
    <w:p w14:paraId="1AFCFF4A" w14:textId="77777777" w:rsidR="00411F38" w:rsidRDefault="00411F38" w:rsidP="00411F38">
      <w:pPr>
        <w:spacing w:line="276" w:lineRule="auto"/>
        <w:jc w:val="both"/>
        <w:rPr>
          <w:rFonts w:eastAsiaTheme="minorEastAsia"/>
          <w:b/>
          <w:bCs/>
          <w:sz w:val="22"/>
          <w:szCs w:val="22"/>
        </w:rPr>
      </w:pPr>
    </w:p>
    <w:p w14:paraId="76DA8495" w14:textId="77777777" w:rsidR="00411F38" w:rsidRDefault="00411F38" w:rsidP="00411F38">
      <w:pPr>
        <w:spacing w:line="276" w:lineRule="auto"/>
        <w:jc w:val="both"/>
        <w:rPr>
          <w:rFonts w:eastAsiaTheme="minorEastAsia"/>
          <w:b/>
          <w:bCs/>
          <w:sz w:val="22"/>
          <w:szCs w:val="22"/>
        </w:rPr>
      </w:pPr>
      <w:r w:rsidRPr="00B63AC1">
        <w:rPr>
          <w:rFonts w:eastAsiaTheme="minorEastAsia"/>
          <w:b/>
          <w:bCs/>
          <w:sz w:val="22"/>
          <w:szCs w:val="22"/>
        </w:rPr>
        <w:t>S4</w:t>
      </w:r>
      <w:r>
        <w:rPr>
          <w:rFonts w:eastAsiaTheme="minorEastAsia"/>
          <w:b/>
          <w:bCs/>
          <w:sz w:val="22"/>
          <w:szCs w:val="22"/>
        </w:rPr>
        <w:t xml:space="preserve">B </w:t>
      </w:r>
      <w:r w:rsidRPr="00B63AC1">
        <w:rPr>
          <w:rFonts w:eastAsiaTheme="minorEastAsia"/>
          <w:b/>
          <w:bCs/>
          <w:sz w:val="22"/>
          <w:szCs w:val="22"/>
        </w:rPr>
        <w:t xml:space="preserve">– Osmotic swelling of </w:t>
      </w:r>
      <w:r>
        <w:rPr>
          <w:rFonts w:eastAsiaTheme="minorEastAsia"/>
          <w:b/>
          <w:bCs/>
          <w:sz w:val="22"/>
          <w:szCs w:val="22"/>
        </w:rPr>
        <w:t xml:space="preserve">PDPN CTRL </w:t>
      </w:r>
      <w:r w:rsidRPr="00B63AC1">
        <w:rPr>
          <w:rFonts w:eastAsiaTheme="minorEastAsia"/>
          <w:b/>
          <w:bCs/>
          <w:sz w:val="22"/>
          <w:szCs w:val="22"/>
        </w:rPr>
        <w:t>fibroblastic reticular cells</w:t>
      </w:r>
    </w:p>
    <w:p w14:paraId="381D4C01" w14:textId="77777777" w:rsidR="00411F38" w:rsidRPr="00B63AC1" w:rsidRDefault="00411F38" w:rsidP="00411F38">
      <w:pPr>
        <w:spacing w:line="276" w:lineRule="auto"/>
        <w:jc w:val="both"/>
        <w:rPr>
          <w:rFonts w:eastAsiaTheme="minorEastAsia"/>
          <w:sz w:val="22"/>
          <w:szCs w:val="22"/>
        </w:rPr>
      </w:pPr>
      <w:r w:rsidRPr="00B63AC1">
        <w:rPr>
          <w:rFonts w:eastAsiaTheme="minorEastAsia"/>
          <w:b/>
          <w:bCs/>
          <w:sz w:val="22"/>
          <w:szCs w:val="22"/>
        </w:rPr>
        <w:t>B)</w:t>
      </w:r>
      <w:r w:rsidRPr="00B63AC1">
        <w:rPr>
          <w:rFonts w:eastAsiaTheme="minorEastAsia"/>
          <w:sz w:val="22"/>
          <w:szCs w:val="22"/>
        </w:rPr>
        <w:t xml:space="preserve"> PDPN T34A + CLEC2 (left), PDPN T34A – CLEC2 (middle), PDPN T34A ISO control (right). </w:t>
      </w:r>
      <w:r>
        <w:rPr>
          <w:rFonts w:eastAsiaTheme="minorEastAsia"/>
          <w:sz w:val="22"/>
          <w:szCs w:val="22"/>
        </w:rPr>
        <w:t>C</w:t>
      </w:r>
      <w:r w:rsidRPr="00B63AC1">
        <w:rPr>
          <w:rFonts w:eastAsiaTheme="minorEastAsia"/>
          <w:sz w:val="22"/>
          <w:szCs w:val="22"/>
        </w:rPr>
        <w:t>aptured over 60 minutes with one frame every 30 seconds.</w:t>
      </w:r>
    </w:p>
    <w:p w14:paraId="56F99036" w14:textId="77777777" w:rsidR="00411F38" w:rsidRDefault="00411F38" w:rsidP="00411F38">
      <w:pPr>
        <w:spacing w:line="276" w:lineRule="auto"/>
        <w:jc w:val="both"/>
        <w:rPr>
          <w:rFonts w:eastAsiaTheme="minorEastAsia"/>
          <w:b/>
          <w:bCs/>
          <w:sz w:val="22"/>
          <w:szCs w:val="22"/>
        </w:rPr>
      </w:pPr>
    </w:p>
    <w:p w14:paraId="3F1E5D41" w14:textId="77777777" w:rsidR="00411F38" w:rsidRDefault="00411F38" w:rsidP="00411F38">
      <w:pPr>
        <w:spacing w:line="276" w:lineRule="auto"/>
        <w:jc w:val="both"/>
        <w:rPr>
          <w:rFonts w:eastAsiaTheme="minorEastAsia"/>
          <w:b/>
          <w:bCs/>
          <w:sz w:val="22"/>
          <w:szCs w:val="22"/>
        </w:rPr>
      </w:pPr>
      <w:r w:rsidRPr="00B63AC1">
        <w:rPr>
          <w:rFonts w:eastAsiaTheme="minorEastAsia"/>
          <w:b/>
          <w:bCs/>
          <w:sz w:val="22"/>
          <w:szCs w:val="22"/>
        </w:rPr>
        <w:lastRenderedPageBreak/>
        <w:t>S4</w:t>
      </w:r>
      <w:r>
        <w:rPr>
          <w:rFonts w:eastAsiaTheme="minorEastAsia"/>
          <w:b/>
          <w:bCs/>
          <w:sz w:val="22"/>
          <w:szCs w:val="22"/>
        </w:rPr>
        <w:t xml:space="preserve">C </w:t>
      </w:r>
      <w:r w:rsidRPr="00B63AC1">
        <w:rPr>
          <w:rFonts w:eastAsiaTheme="minorEastAsia"/>
          <w:b/>
          <w:bCs/>
          <w:sz w:val="22"/>
          <w:szCs w:val="22"/>
        </w:rPr>
        <w:t xml:space="preserve">– Osmotic swelling of </w:t>
      </w:r>
      <w:r>
        <w:rPr>
          <w:rFonts w:eastAsiaTheme="minorEastAsia"/>
          <w:b/>
          <w:bCs/>
          <w:sz w:val="22"/>
          <w:szCs w:val="22"/>
        </w:rPr>
        <w:t xml:space="preserve">PDPN CTRL </w:t>
      </w:r>
      <w:r w:rsidRPr="00B63AC1">
        <w:rPr>
          <w:rFonts w:eastAsiaTheme="minorEastAsia"/>
          <w:b/>
          <w:bCs/>
          <w:sz w:val="22"/>
          <w:szCs w:val="22"/>
        </w:rPr>
        <w:t>fibroblastic reticular cells</w:t>
      </w:r>
    </w:p>
    <w:p w14:paraId="0AEC6733" w14:textId="77777777" w:rsidR="00411F38" w:rsidRPr="00B63AC1" w:rsidRDefault="00411F38" w:rsidP="00411F38">
      <w:pPr>
        <w:spacing w:line="276" w:lineRule="auto"/>
        <w:jc w:val="both"/>
        <w:rPr>
          <w:rFonts w:eastAsiaTheme="minorEastAsia"/>
          <w:sz w:val="22"/>
          <w:szCs w:val="22"/>
        </w:rPr>
      </w:pPr>
      <w:r w:rsidRPr="00B63AC1">
        <w:rPr>
          <w:rFonts w:eastAsiaTheme="minorEastAsia"/>
          <w:b/>
          <w:bCs/>
          <w:sz w:val="22"/>
          <w:szCs w:val="22"/>
        </w:rPr>
        <w:t>C)</w:t>
      </w:r>
      <w:r w:rsidRPr="00B63AC1">
        <w:rPr>
          <w:rFonts w:eastAsiaTheme="minorEastAsia"/>
          <w:sz w:val="22"/>
          <w:szCs w:val="22"/>
        </w:rPr>
        <w:t xml:space="preserve"> CTRL + HYPO (left), PDPN KD + HYPO (middle), CTRL ISO control (right). </w:t>
      </w:r>
      <w:r>
        <w:rPr>
          <w:rFonts w:eastAsiaTheme="minorEastAsia"/>
          <w:sz w:val="22"/>
          <w:szCs w:val="22"/>
        </w:rPr>
        <w:t>C</w:t>
      </w:r>
      <w:r w:rsidRPr="00B63AC1">
        <w:rPr>
          <w:rFonts w:eastAsiaTheme="minorEastAsia"/>
          <w:sz w:val="22"/>
          <w:szCs w:val="22"/>
        </w:rPr>
        <w:t>aptured over 60 minutes with one frame every 30 seconds.</w:t>
      </w:r>
    </w:p>
    <w:p w14:paraId="2A3FC82D" w14:textId="77777777" w:rsidR="00411F38" w:rsidRDefault="00411F38" w:rsidP="00411F38">
      <w:pPr>
        <w:spacing w:line="276" w:lineRule="auto"/>
        <w:jc w:val="both"/>
        <w:rPr>
          <w:rFonts w:eastAsiaTheme="minorEastAsia"/>
          <w:b/>
          <w:bCs/>
          <w:sz w:val="22"/>
          <w:szCs w:val="22"/>
        </w:rPr>
      </w:pPr>
    </w:p>
    <w:p w14:paraId="6BEF261C" w14:textId="77777777" w:rsidR="00411F38" w:rsidRDefault="00411F38" w:rsidP="00411F38">
      <w:pPr>
        <w:spacing w:line="276" w:lineRule="auto"/>
        <w:jc w:val="both"/>
        <w:rPr>
          <w:rFonts w:eastAsiaTheme="minorEastAsia"/>
          <w:b/>
          <w:bCs/>
          <w:sz w:val="22"/>
          <w:szCs w:val="22"/>
        </w:rPr>
      </w:pPr>
      <w:r w:rsidRPr="00B63AC1">
        <w:rPr>
          <w:rFonts w:eastAsiaTheme="minorEastAsia"/>
          <w:b/>
          <w:bCs/>
          <w:sz w:val="22"/>
          <w:szCs w:val="22"/>
        </w:rPr>
        <w:t>S4</w:t>
      </w:r>
      <w:r>
        <w:rPr>
          <w:rFonts w:eastAsiaTheme="minorEastAsia"/>
          <w:b/>
          <w:bCs/>
          <w:sz w:val="22"/>
          <w:szCs w:val="22"/>
        </w:rPr>
        <w:t xml:space="preserve">D </w:t>
      </w:r>
      <w:r w:rsidRPr="00B63AC1">
        <w:rPr>
          <w:rFonts w:eastAsiaTheme="minorEastAsia"/>
          <w:b/>
          <w:bCs/>
          <w:sz w:val="22"/>
          <w:szCs w:val="22"/>
        </w:rPr>
        <w:t xml:space="preserve">– Osmotic swelling of </w:t>
      </w:r>
      <w:r>
        <w:rPr>
          <w:rFonts w:eastAsiaTheme="minorEastAsia"/>
          <w:b/>
          <w:bCs/>
          <w:sz w:val="22"/>
          <w:szCs w:val="22"/>
        </w:rPr>
        <w:t xml:space="preserve">PDPN CTRL </w:t>
      </w:r>
      <w:r w:rsidRPr="00B63AC1">
        <w:rPr>
          <w:rFonts w:eastAsiaTheme="minorEastAsia"/>
          <w:b/>
          <w:bCs/>
          <w:sz w:val="22"/>
          <w:szCs w:val="22"/>
        </w:rPr>
        <w:t>fibroblastic reticular cells</w:t>
      </w:r>
    </w:p>
    <w:p w14:paraId="5095F01D" w14:textId="77777777" w:rsidR="00411F38" w:rsidRPr="00B63AC1" w:rsidRDefault="00411F38" w:rsidP="00411F38">
      <w:pPr>
        <w:spacing w:line="276" w:lineRule="auto"/>
        <w:jc w:val="both"/>
        <w:rPr>
          <w:rFonts w:eastAsiaTheme="minorEastAsia"/>
          <w:sz w:val="22"/>
          <w:szCs w:val="22"/>
        </w:rPr>
      </w:pPr>
      <w:r w:rsidRPr="00B63AC1">
        <w:rPr>
          <w:rFonts w:eastAsiaTheme="minorEastAsia"/>
          <w:b/>
          <w:bCs/>
          <w:sz w:val="22"/>
          <w:szCs w:val="22"/>
        </w:rPr>
        <w:t>D)</w:t>
      </w:r>
      <w:r w:rsidRPr="00B63AC1">
        <w:rPr>
          <w:rFonts w:eastAsiaTheme="minorEastAsia"/>
          <w:sz w:val="22"/>
          <w:szCs w:val="22"/>
        </w:rPr>
        <w:t xml:space="preserve"> CTRL + H</w:t>
      </w:r>
      <w:r w:rsidRPr="00B63AC1">
        <w:rPr>
          <w:rFonts w:eastAsiaTheme="minorEastAsia"/>
          <w:sz w:val="22"/>
          <w:szCs w:val="22"/>
          <w:vertAlign w:val="subscript"/>
        </w:rPr>
        <w:t>2</w:t>
      </w:r>
      <w:r w:rsidRPr="00B63AC1">
        <w:rPr>
          <w:rFonts w:eastAsiaTheme="minorEastAsia"/>
          <w:sz w:val="22"/>
          <w:szCs w:val="22"/>
        </w:rPr>
        <w:t>0 (left), PDPN KD + H</w:t>
      </w:r>
      <w:r w:rsidRPr="00B63AC1">
        <w:rPr>
          <w:rFonts w:eastAsiaTheme="minorEastAsia"/>
          <w:sz w:val="22"/>
          <w:szCs w:val="22"/>
          <w:vertAlign w:val="subscript"/>
        </w:rPr>
        <w:t>2</w:t>
      </w:r>
      <w:r w:rsidRPr="00B63AC1">
        <w:rPr>
          <w:rFonts w:eastAsiaTheme="minorEastAsia"/>
          <w:sz w:val="22"/>
          <w:szCs w:val="22"/>
        </w:rPr>
        <w:t>0 (right)</w:t>
      </w:r>
      <w:r>
        <w:rPr>
          <w:rFonts w:eastAsiaTheme="minorEastAsia"/>
          <w:sz w:val="22"/>
          <w:szCs w:val="22"/>
        </w:rPr>
        <w:t>.</w:t>
      </w:r>
      <w:r w:rsidRPr="00916146">
        <w:rPr>
          <w:rFonts w:eastAsiaTheme="minorEastAsia"/>
          <w:sz w:val="22"/>
          <w:szCs w:val="22"/>
        </w:rPr>
        <w:t xml:space="preserve"> </w:t>
      </w:r>
      <w:r>
        <w:rPr>
          <w:rFonts w:eastAsiaTheme="minorEastAsia"/>
          <w:sz w:val="22"/>
          <w:szCs w:val="22"/>
        </w:rPr>
        <w:t>C</w:t>
      </w:r>
      <w:r w:rsidRPr="00B63AC1">
        <w:rPr>
          <w:rFonts w:eastAsiaTheme="minorEastAsia"/>
          <w:sz w:val="22"/>
          <w:szCs w:val="22"/>
        </w:rPr>
        <w:t>aptured over 60 minutes with one frame every 30 seconds.</w:t>
      </w:r>
    </w:p>
    <w:p w14:paraId="232970C3" w14:textId="77777777" w:rsidR="00411F38" w:rsidRPr="00B63AC1" w:rsidRDefault="00411F38" w:rsidP="00411F38">
      <w:pPr>
        <w:spacing w:line="360" w:lineRule="auto"/>
        <w:jc w:val="both"/>
        <w:rPr>
          <w:rFonts w:eastAsiaTheme="minorEastAsia"/>
          <w:sz w:val="22"/>
          <w:szCs w:val="22"/>
        </w:rPr>
      </w:pPr>
    </w:p>
    <w:p w14:paraId="07D7B5B8" w14:textId="77777777" w:rsidR="00411F38" w:rsidRPr="00AB6F6D" w:rsidRDefault="00411F38" w:rsidP="00411F38">
      <w:pPr>
        <w:rPr>
          <w:rFonts w:cstheme="minorHAnsi"/>
          <w:sz w:val="22"/>
          <w:szCs w:val="22"/>
        </w:rPr>
      </w:pPr>
    </w:p>
    <w:p w14:paraId="4EBD401C" w14:textId="77777777" w:rsidR="00D30727" w:rsidRDefault="00411F38"/>
    <w:sectPr w:rsidR="00D30727" w:rsidSect="00CF4BDC">
      <w:pgSz w:w="11900" w:h="16840"/>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1"/>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1F38"/>
    <w:rsid w:val="002A45E7"/>
    <w:rsid w:val="00411F38"/>
    <w:rsid w:val="00431FF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26DC5CE"/>
  <w15:chartTrackingRefBased/>
  <w15:docId w15:val="{E0F9BF0B-B94A-3E43-9E30-F007934778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11F3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1438</Words>
  <Characters>8197</Characters>
  <Application>Microsoft Office Word</Application>
  <DocSecurity>0</DocSecurity>
  <Lines>68</Lines>
  <Paragraphs>19</Paragraphs>
  <ScaleCrop>false</ScaleCrop>
  <Company/>
  <LinksUpToDate>false</LinksUpToDate>
  <CharactersWithSpaces>9616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Acton, Sophie</dc:creator>
  <cp:keywords/>
  <dc:description/>
  <cp:lastModifiedBy>Acton, Sophie</cp:lastModifiedBy>
  <cp:revision>1</cp:revision>
  <dcterms:created xsi:type="dcterms:W3CDTF">2021-07-30T15:38:00Z</dcterms:created>
  <dcterms:modified xsi:type="dcterms:W3CDTF">2021-07-30T15:42:00Z</dcterms:modified>
</cp:coreProperties>
</file>