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6472F">
      <w:pPr>
        <w:keepNext w:val="0"/>
        <w:keepLines w:val="0"/>
        <w:widowControl/>
        <w:suppressLineNumbers w:val="0"/>
        <w:jc w:val="left"/>
        <w:rPr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tr-TR" w:eastAsia="zh-CN" w:bidi="ar"/>
        </w:rPr>
      </w:pPr>
      <w:r>
        <w:rPr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tr-TR" w:eastAsia="zh-CN" w:bidi="ar"/>
        </w:rPr>
        <w:t>Supplements</w:t>
      </w:r>
    </w:p>
    <w:p w14:paraId="0F221A6B">
      <w:pPr>
        <w:keepNext w:val="0"/>
        <w:keepLines w:val="0"/>
        <w:widowControl/>
        <w:suppressLineNumbers w:val="0"/>
        <w:jc w:val="left"/>
        <w:rPr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tr-TR" w:eastAsia="zh-CN" w:bidi="ar"/>
        </w:rPr>
      </w:pPr>
    </w:p>
    <w:p w14:paraId="0F4C4093">
      <w:pPr>
        <w:keepNext w:val="0"/>
        <w:keepLines w:val="0"/>
        <w:widowControl/>
        <w:suppressLineNumbers w:val="0"/>
        <w:jc w:val="left"/>
        <w:rPr>
          <w:rFonts w:hint="default" w:ascii="Times New Roman Bold" w:hAnsi="Times New Roman Bold" w:cs="Times New Roman Bold"/>
          <w:i w:val="0"/>
          <w:iCs/>
          <w:sz w:val="20"/>
          <w:szCs w:val="20"/>
        </w:rPr>
      </w:pPr>
      <w:r>
        <w:rPr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tr-TR" w:eastAsia="zh-CN" w:bidi="ar"/>
        </w:rPr>
        <w:t xml:space="preserve">Supplement </w:t>
      </w:r>
      <w:r>
        <w:rPr>
          <w:rFonts w:hint="default" w:ascii="Times New Roman Bold" w:hAnsi="Times New Roman Bold" w:cs="Times New Roman Bold"/>
          <w:b/>
          <w:bCs/>
          <w:i w:val="0"/>
          <w:iCs/>
          <w:sz w:val="20"/>
          <w:szCs w:val="20"/>
          <w:lang w:val="tr-TR"/>
        </w:rPr>
        <w:t xml:space="preserve"> 1</w:t>
      </w:r>
      <w:r>
        <w:rPr>
          <w:rFonts w:hint="default" w:ascii="Times New Roman Bold" w:hAnsi="Times New Roman Bold" w:cs="Times New Roman Bold"/>
          <w:b/>
          <w:bCs/>
          <w:i w:val="0"/>
          <w:iCs/>
          <w:sz w:val="20"/>
          <w:szCs w:val="20"/>
        </w:rPr>
        <w:t>.</w:t>
      </w:r>
      <w:r>
        <w:rPr>
          <w:rFonts w:hint="default" w:ascii="Times New Roman Bold" w:hAnsi="Times New Roman Bold" w:cs="Times New Roman Bold"/>
          <w:b/>
          <w:i w:val="0"/>
          <w:iCs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</w:rPr>
        <w:t>Diagnostic Work-up</w:t>
      </w:r>
    </w:p>
    <w:tbl>
      <w:tblPr>
        <w:tblStyle w:val="3"/>
        <w:tblW w:w="4900" w:type="pct"/>
        <w:jc w:val="center"/>
        <w:tblBorders>
          <w:top w:val="none" w:color="auto" w:sz="0" w:space="0"/>
          <w:left w:val="none" w:color="auto" w:sz="0" w:space="0"/>
          <w:bottom w:val="single" w:color="92CDDC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1"/>
        <w:gridCol w:w="3961"/>
      </w:tblGrid>
      <w:tr w14:paraId="523ECD00">
        <w:trPr>
          <w:trHeight w:val="20" w:hRule="atLeast"/>
          <w:tblHeader/>
          <w:jc w:val="center"/>
        </w:trPr>
        <w:tc>
          <w:tcPr>
            <w:tcW w:w="2601" w:type="dxa"/>
            <w:shd w:val="clear" w:color="auto" w:fill="A5A5A5" w:themeFill="accent3"/>
            <w:vAlign w:val="center"/>
          </w:tcPr>
          <w:p w14:paraId="4D765DBF">
            <w:pPr>
              <w:pStyle w:val="4"/>
            </w:pPr>
            <w:r>
              <w:t>Parameters</w:t>
            </w:r>
          </w:p>
        </w:tc>
        <w:tc>
          <w:tcPr>
            <w:tcW w:w="2224" w:type="dxa"/>
            <w:shd w:val="clear" w:color="auto" w:fill="A5A5A5" w:themeFill="accent3"/>
            <w:vAlign w:val="center"/>
          </w:tcPr>
          <w:p w14:paraId="16E364C3">
            <w:pPr>
              <w:pStyle w:val="4"/>
            </w:pPr>
            <w:r>
              <w:t>Result</w:t>
            </w:r>
          </w:p>
        </w:tc>
      </w:tr>
      <w:tr w14:paraId="596A19A9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6BC12F99">
            <w:pPr>
              <w:pStyle w:val="5"/>
            </w:pPr>
            <w:r>
              <w:t>CD 59 flow cytometry of</w:t>
            </w:r>
            <w:r>
              <w:rPr>
                <w:rFonts w:hint="default"/>
                <w:lang w:val="tr-TR"/>
              </w:rPr>
              <w:t xml:space="preserve"> </w:t>
            </w:r>
            <w:r>
              <w:t>peripheral blood</w:t>
            </w:r>
          </w:p>
        </w:tc>
        <w:tc>
          <w:tcPr>
            <w:tcW w:w="2224" w:type="dxa"/>
            <w:vAlign w:val="center"/>
          </w:tcPr>
          <w:p w14:paraId="0B1E19D2">
            <w:pPr>
              <w:pStyle w:val="5"/>
            </w:pPr>
            <w:r>
              <w:t>negative</w:t>
            </w:r>
          </w:p>
        </w:tc>
      </w:tr>
      <w:tr w14:paraId="7B5D19CA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0AC1FCD1">
            <w:pPr>
              <w:pStyle w:val="8"/>
            </w:pPr>
            <w:r>
              <w:t>G6PD enzime activity</w:t>
            </w:r>
          </w:p>
        </w:tc>
        <w:tc>
          <w:tcPr>
            <w:tcW w:w="2224" w:type="dxa"/>
            <w:vAlign w:val="center"/>
          </w:tcPr>
          <w:p w14:paraId="0031A952">
            <w:pPr>
              <w:pStyle w:val="8"/>
            </w:pPr>
            <w:r>
              <w:t>high</w:t>
            </w:r>
          </w:p>
        </w:tc>
      </w:tr>
      <w:tr w14:paraId="67A34B3A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304C5B86">
            <w:pPr>
              <w:pStyle w:val="8"/>
            </w:pPr>
            <w:r>
              <w:t>ADAMTS-13 activity,%</w:t>
            </w:r>
          </w:p>
        </w:tc>
        <w:tc>
          <w:tcPr>
            <w:tcW w:w="2224" w:type="dxa"/>
            <w:vAlign w:val="center"/>
          </w:tcPr>
          <w:p w14:paraId="43CEA0E2">
            <w:pPr>
              <w:pStyle w:val="8"/>
            </w:pPr>
            <w:r>
              <w:t>69.39</w:t>
            </w:r>
          </w:p>
        </w:tc>
      </w:tr>
      <w:tr w14:paraId="0F37C197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161E4A27">
            <w:pPr>
              <w:pStyle w:val="8"/>
            </w:pPr>
            <w:r>
              <w:t>CD 59 flow cytometry ofperipheral blood</w:t>
            </w:r>
          </w:p>
        </w:tc>
        <w:tc>
          <w:tcPr>
            <w:tcW w:w="2224" w:type="dxa"/>
            <w:vAlign w:val="center"/>
          </w:tcPr>
          <w:p w14:paraId="49D097BA">
            <w:pPr>
              <w:pStyle w:val="8"/>
            </w:pPr>
            <w:r>
              <w:t>negative</w:t>
            </w:r>
          </w:p>
        </w:tc>
      </w:tr>
      <w:tr w14:paraId="2B410DDD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4BBF5A50">
            <w:pPr>
              <w:pStyle w:val="8"/>
            </w:pPr>
            <w:r>
              <w:t>G6PD enzime activity</w:t>
            </w:r>
          </w:p>
        </w:tc>
        <w:tc>
          <w:tcPr>
            <w:tcW w:w="2224" w:type="dxa"/>
            <w:vAlign w:val="center"/>
          </w:tcPr>
          <w:p w14:paraId="7C14C66E">
            <w:pPr>
              <w:pStyle w:val="8"/>
            </w:pPr>
            <w:r>
              <w:t>high</w:t>
            </w:r>
          </w:p>
        </w:tc>
      </w:tr>
      <w:tr w14:paraId="35C947B7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6A776AB6">
            <w:pPr>
              <w:pStyle w:val="8"/>
            </w:pPr>
            <w:r>
              <w:t>ADAMTS-13 activity,%</w:t>
            </w:r>
          </w:p>
        </w:tc>
        <w:tc>
          <w:tcPr>
            <w:tcW w:w="2224" w:type="dxa"/>
            <w:vAlign w:val="center"/>
          </w:tcPr>
          <w:p w14:paraId="4D7107B6">
            <w:pPr>
              <w:pStyle w:val="8"/>
            </w:pPr>
            <w:r>
              <w:t>69.39</w:t>
            </w:r>
          </w:p>
        </w:tc>
      </w:tr>
      <w:tr w14:paraId="36949A89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022151C0">
            <w:pPr>
              <w:pStyle w:val="8"/>
            </w:pPr>
            <w:r>
              <w:t>Parvovirus B 19 / CMV/ EBV DNA PCR</w:t>
            </w:r>
          </w:p>
        </w:tc>
        <w:tc>
          <w:tcPr>
            <w:tcW w:w="2224" w:type="dxa"/>
            <w:vAlign w:val="center"/>
          </w:tcPr>
          <w:p w14:paraId="16DDFBD0">
            <w:pPr>
              <w:pStyle w:val="8"/>
            </w:pPr>
            <w:r>
              <w:t>all negative</w:t>
            </w:r>
          </w:p>
        </w:tc>
      </w:tr>
      <w:tr w14:paraId="73AB6B19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41D95CC7">
            <w:pPr>
              <w:pStyle w:val="8"/>
            </w:pPr>
            <w:r>
              <w:t>IgG/IgA/IgM, g/L</w:t>
            </w:r>
          </w:p>
        </w:tc>
        <w:tc>
          <w:tcPr>
            <w:tcW w:w="2224" w:type="dxa"/>
            <w:vAlign w:val="center"/>
          </w:tcPr>
          <w:p w14:paraId="153FDFFC">
            <w:pPr>
              <w:pStyle w:val="8"/>
            </w:pPr>
            <w:r>
              <w:t>18.5/ 11.5/2.38</w:t>
            </w:r>
          </w:p>
        </w:tc>
      </w:tr>
      <w:tr w14:paraId="167D5BCB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17942FBC">
            <w:pPr>
              <w:pStyle w:val="8"/>
            </w:pPr>
            <w:r>
              <w:t>serum free kappa/lambda ratio</w:t>
            </w:r>
          </w:p>
        </w:tc>
        <w:tc>
          <w:tcPr>
            <w:tcW w:w="2224" w:type="dxa"/>
            <w:vAlign w:val="center"/>
          </w:tcPr>
          <w:p w14:paraId="070FBF8D">
            <w:pPr>
              <w:pStyle w:val="8"/>
            </w:pPr>
            <w:r>
              <w:t>1.14</w:t>
            </w:r>
          </w:p>
        </w:tc>
      </w:tr>
      <w:tr w14:paraId="0F0BE566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2775EC41">
            <w:pPr>
              <w:pStyle w:val="8"/>
            </w:pPr>
            <w:r>
              <w:t>beta-2 microglobulin mg/L</w:t>
            </w:r>
          </w:p>
        </w:tc>
        <w:tc>
          <w:tcPr>
            <w:tcW w:w="2224" w:type="dxa"/>
            <w:vAlign w:val="center"/>
          </w:tcPr>
          <w:p w14:paraId="25D449FF">
            <w:pPr>
              <w:pStyle w:val="8"/>
            </w:pPr>
            <w:r>
              <w:t>1.66</w:t>
            </w:r>
          </w:p>
        </w:tc>
      </w:tr>
      <w:tr w14:paraId="28CE5CB7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6D655E08">
            <w:pPr>
              <w:pStyle w:val="8"/>
            </w:pPr>
            <w:r>
              <w:t>c3 / c4, g/L</w:t>
            </w:r>
          </w:p>
        </w:tc>
        <w:tc>
          <w:tcPr>
            <w:tcW w:w="2224" w:type="dxa"/>
            <w:vAlign w:val="center"/>
          </w:tcPr>
          <w:p w14:paraId="49C3B8A4">
            <w:pPr>
              <w:pStyle w:val="8"/>
            </w:pPr>
            <w:r>
              <w:t>0.55 / 0.058</w:t>
            </w:r>
          </w:p>
        </w:tc>
      </w:tr>
      <w:tr w14:paraId="78FBA213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08BC37DF">
            <w:pPr>
              <w:pStyle w:val="8"/>
            </w:pPr>
            <w:r>
              <w:t>ANA/ANCA (IIF)</w:t>
            </w:r>
          </w:p>
        </w:tc>
        <w:tc>
          <w:tcPr>
            <w:tcW w:w="2224" w:type="dxa"/>
            <w:vAlign w:val="center"/>
          </w:tcPr>
          <w:p w14:paraId="1557334D">
            <w:pPr>
              <w:pStyle w:val="8"/>
            </w:pPr>
            <w:r>
              <w:t>all negative</w:t>
            </w:r>
          </w:p>
        </w:tc>
      </w:tr>
      <w:tr w14:paraId="21DD838D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6732AA4D">
            <w:pPr>
              <w:pStyle w:val="8"/>
            </w:pPr>
            <w:r>
              <w:t>Cryoglobulin</w:t>
            </w:r>
          </w:p>
        </w:tc>
        <w:tc>
          <w:tcPr>
            <w:tcW w:w="2224" w:type="dxa"/>
            <w:vAlign w:val="center"/>
          </w:tcPr>
          <w:p w14:paraId="3A8D54D8">
            <w:pPr>
              <w:pStyle w:val="8"/>
            </w:pPr>
            <w:r>
              <w:t>negative</w:t>
            </w:r>
          </w:p>
        </w:tc>
      </w:tr>
      <w:tr w14:paraId="1B7EBA18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47CF2711">
            <w:pPr>
              <w:pStyle w:val="8"/>
            </w:pPr>
            <w:r>
              <w:t>Broad viral serology (including viral hepatit serology, TORCH-S)</w:t>
            </w:r>
          </w:p>
        </w:tc>
        <w:tc>
          <w:tcPr>
            <w:tcW w:w="2224" w:type="dxa"/>
            <w:vAlign w:val="center"/>
          </w:tcPr>
          <w:p w14:paraId="0644F5A3">
            <w:pPr>
              <w:pStyle w:val="8"/>
            </w:pPr>
            <w:r>
              <w:t>all negative</w:t>
            </w:r>
          </w:p>
        </w:tc>
      </w:tr>
      <w:tr w14:paraId="195C29BC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141360FD">
            <w:pPr>
              <w:pStyle w:val="8"/>
            </w:pPr>
            <w:r>
              <w:t>alfo-fetoprotein, g/L</w:t>
            </w:r>
          </w:p>
        </w:tc>
        <w:tc>
          <w:tcPr>
            <w:tcW w:w="2224" w:type="dxa"/>
            <w:vAlign w:val="center"/>
          </w:tcPr>
          <w:p w14:paraId="1CCFF98C">
            <w:pPr>
              <w:pStyle w:val="8"/>
            </w:pPr>
            <w:r>
              <w:t>10,60</w:t>
            </w:r>
          </w:p>
        </w:tc>
      </w:tr>
      <w:tr w14:paraId="49B731B8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50584285">
            <w:pPr>
              <w:pStyle w:val="8"/>
            </w:pPr>
            <w:r>
              <w:t>Antiphospholipid Antibodies, U/ml</w:t>
            </w:r>
          </w:p>
        </w:tc>
        <w:tc>
          <w:tcPr>
            <w:tcW w:w="2224" w:type="dxa"/>
            <w:vAlign w:val="center"/>
          </w:tcPr>
          <w:p w14:paraId="2AEB67C4">
            <w:pPr>
              <w:pStyle w:val="8"/>
            </w:pPr>
            <w:r>
              <w:t>anticardiolipin IgG 5.41</w:t>
            </w:r>
          </w:p>
          <w:p w14:paraId="553077BD">
            <w:pPr>
              <w:pStyle w:val="8"/>
            </w:pPr>
            <w:r>
              <w:t>anticardiolipinIgM 5.75</w:t>
            </w:r>
          </w:p>
          <w:p w14:paraId="139083A6">
            <w:pPr>
              <w:pStyle w:val="8"/>
            </w:pPr>
            <w:r>
              <w:t>anti-beta2 glycoprotein IgG 6.93</w:t>
            </w:r>
          </w:p>
          <w:p w14:paraId="4DD41BF3">
            <w:pPr>
              <w:pStyle w:val="8"/>
            </w:pPr>
            <w:r>
              <w:t>anti-beta2 glycoprotein IgM 9.10</w:t>
            </w:r>
          </w:p>
          <w:p w14:paraId="17785DBA">
            <w:pPr>
              <w:pStyle w:val="8"/>
            </w:pPr>
            <w:r>
              <w:t>Lupus anticougulant 0.67 R</w:t>
            </w:r>
          </w:p>
        </w:tc>
      </w:tr>
      <w:tr w14:paraId="1A8AC8A0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07A26610">
            <w:pPr>
              <w:pStyle w:val="8"/>
            </w:pPr>
            <w:r>
              <w:t>Anti-DsDNA, IU/AntiDNA crithida luciliae)</w:t>
            </w:r>
          </w:p>
        </w:tc>
        <w:tc>
          <w:tcPr>
            <w:tcW w:w="2224" w:type="dxa"/>
            <w:vAlign w:val="center"/>
          </w:tcPr>
          <w:p w14:paraId="27708061">
            <w:pPr>
              <w:pStyle w:val="8"/>
            </w:pPr>
            <w:r>
              <w:t>7.28 /negative</w:t>
            </w:r>
          </w:p>
        </w:tc>
      </w:tr>
      <w:tr w14:paraId="023E65FD">
        <w:trPr>
          <w:trHeight w:val="20" w:hRule="atLeast"/>
          <w:jc w:val="center"/>
        </w:trPr>
        <w:tc>
          <w:tcPr>
            <w:tcW w:w="2601" w:type="dxa"/>
            <w:vAlign w:val="center"/>
          </w:tcPr>
          <w:p w14:paraId="4DD2AF8D">
            <w:pPr>
              <w:pStyle w:val="10"/>
            </w:pPr>
            <w:r>
              <w:t>Factor V Leiden mutation/Protorombin gene mutation/ /MTHFR gene mutation</w:t>
            </w:r>
          </w:p>
        </w:tc>
        <w:tc>
          <w:tcPr>
            <w:tcW w:w="2224" w:type="dxa"/>
            <w:vAlign w:val="center"/>
          </w:tcPr>
          <w:p w14:paraId="6A7B9A74">
            <w:pPr>
              <w:pStyle w:val="10"/>
            </w:pPr>
            <w:r>
              <w:t>negative/negative/heterozigot pozitive</w:t>
            </w:r>
          </w:p>
        </w:tc>
      </w:tr>
    </w:tbl>
    <w:p w14:paraId="46F81EFE">
      <w:pPr>
        <w:pStyle w:val="11"/>
      </w:pPr>
      <w:r>
        <w:t>Abbreviations: G6PD: Glucose-6-phosphate dehydrogenase, ADAMTS-13:a Distntegrin and Metalloproteinase with a Thrombospondin Type 1 motif, member 13, Ig G/A/M:immunoglobulin G/A/M, ANA:antinuclear antibodies, ANCA: antineutrophilic cytoplasmic antibody, CMV: cytomegalyvirus, EBV:Epstein–Barr Vırus, TORC-s: Toxoplazma, Rubella, Cytomegalovirus, Herpes Simplex Virus (HSV) Tip II and syphilis MTHFR:methylenetetrahydrofolate reductase</w:t>
      </w:r>
    </w:p>
    <w:p w14:paraId="34C241D7">
      <w:pPr>
        <w:pStyle w:val="12"/>
        <w:widowControl w:val="0"/>
        <w:numPr>
          <w:ilvl w:val="0"/>
          <w:numId w:val="0"/>
        </w:numPr>
        <w:adjustRightInd w:val="0"/>
        <w:snapToGrid w:val="0"/>
        <w:spacing w:after="160" w:line="264" w:lineRule="auto"/>
        <w:jc w:val="both"/>
        <w:rPr>
          <w:rFonts w:hint="default" w:ascii="Times New Roman Bold" w:hAnsi="Times New Roman Bold" w:eastAsia="Helvetica Neue" w:cs="Times New Roman Bold"/>
          <w:b/>
          <w:bCs/>
          <w:color w:val="auto"/>
          <w:sz w:val="24"/>
          <w:szCs w:val="24"/>
          <w:lang w:val="tr-TR"/>
        </w:rPr>
      </w:pPr>
    </w:p>
    <w:p w14:paraId="6A8AC7C1">
      <w:pPr>
        <w:pStyle w:val="12"/>
        <w:widowControl w:val="0"/>
        <w:numPr>
          <w:ilvl w:val="0"/>
          <w:numId w:val="0"/>
        </w:numPr>
        <w:adjustRightInd w:val="0"/>
        <w:snapToGrid w:val="0"/>
        <w:spacing w:after="160" w:line="264" w:lineRule="auto"/>
        <w:jc w:val="both"/>
        <w:rPr>
          <w:rFonts w:hint="default" w:ascii="Times New Roman Bold" w:hAnsi="Times New Roman Bold" w:eastAsia="Helvetica Neue" w:cs="Times New Roman Bold"/>
          <w:b/>
          <w:bCs/>
          <w:color w:val="auto"/>
          <w:sz w:val="24"/>
          <w:szCs w:val="24"/>
          <w:lang w:val="tr-TR"/>
        </w:rPr>
      </w:pPr>
    </w:p>
    <w:p w14:paraId="34EA4F9A">
      <w:pPr>
        <w:pStyle w:val="12"/>
        <w:widowControl w:val="0"/>
        <w:numPr>
          <w:ilvl w:val="0"/>
          <w:numId w:val="0"/>
        </w:numPr>
        <w:adjustRightInd w:val="0"/>
        <w:snapToGrid w:val="0"/>
        <w:spacing w:after="160" w:line="264" w:lineRule="auto"/>
        <w:jc w:val="both"/>
        <w:rPr>
          <w:rFonts w:hint="default" w:ascii="Times New Roman Bold" w:hAnsi="Times New Roman Bold" w:eastAsia="Helvetica Neue" w:cs="Times New Roman Bold"/>
          <w:b/>
          <w:bCs/>
          <w:color w:val="auto"/>
          <w:sz w:val="24"/>
          <w:szCs w:val="24"/>
          <w:lang w:val="tr-TR"/>
        </w:rPr>
      </w:pPr>
    </w:p>
    <w:p w14:paraId="259528E6">
      <w:pPr>
        <w:pStyle w:val="12"/>
        <w:widowControl w:val="0"/>
        <w:numPr>
          <w:ilvl w:val="0"/>
          <w:numId w:val="0"/>
        </w:numPr>
        <w:adjustRightInd w:val="0"/>
        <w:snapToGrid w:val="0"/>
        <w:spacing w:after="160" w:line="264" w:lineRule="auto"/>
        <w:jc w:val="both"/>
        <w:rPr>
          <w:rFonts w:hint="default" w:ascii="Times New Roman Bold" w:hAnsi="Times New Roman Bold" w:eastAsia="Helvetica Neue" w:cs="Times New Roman Bold"/>
          <w:b/>
          <w:bCs/>
          <w:color w:val="auto"/>
          <w:sz w:val="24"/>
          <w:szCs w:val="24"/>
          <w:lang w:val="tr-TR"/>
        </w:rPr>
      </w:pPr>
    </w:p>
    <w:p w14:paraId="3119A8DB">
      <w:pPr>
        <w:pStyle w:val="12"/>
        <w:widowControl w:val="0"/>
        <w:numPr>
          <w:ilvl w:val="0"/>
          <w:numId w:val="0"/>
        </w:numPr>
        <w:adjustRightInd w:val="0"/>
        <w:snapToGrid w:val="0"/>
        <w:spacing w:after="160" w:line="264" w:lineRule="auto"/>
        <w:jc w:val="both"/>
        <w:rPr>
          <w:rFonts w:hint="default" w:ascii="Times New Roman Bold" w:hAnsi="Times New Roman Bold" w:eastAsia="Helvetica Neue" w:cs="Times New Roman Bold"/>
          <w:b/>
          <w:bCs/>
          <w:color w:val="auto"/>
          <w:sz w:val="24"/>
          <w:szCs w:val="24"/>
          <w:lang w:val="tr-TR"/>
        </w:rPr>
      </w:pPr>
    </w:p>
    <w:p w14:paraId="2A110C68">
      <w:pPr>
        <w:pStyle w:val="12"/>
        <w:widowControl w:val="0"/>
        <w:numPr>
          <w:ilvl w:val="0"/>
          <w:numId w:val="0"/>
        </w:numPr>
        <w:adjustRightInd w:val="0"/>
        <w:snapToGrid w:val="0"/>
        <w:spacing w:after="160" w:line="264" w:lineRule="auto"/>
        <w:jc w:val="both"/>
        <w:rPr>
          <w:rFonts w:hint="default" w:ascii="Times New Roman Bold" w:hAnsi="Times New Roman Bold" w:eastAsia="Helvetica Neue" w:cs="Times New Roman Bold"/>
          <w:b/>
          <w:bCs/>
          <w:color w:val="auto"/>
          <w:sz w:val="24"/>
          <w:szCs w:val="24"/>
          <w:lang w:val="tr-TR"/>
        </w:rPr>
      </w:pPr>
    </w:p>
    <w:p w14:paraId="71E8C873">
      <w:pPr>
        <w:keepNext w:val="0"/>
        <w:keepLines w:val="0"/>
        <w:widowControl/>
        <w:suppressLineNumbers w:val="0"/>
        <w:jc w:val="left"/>
        <w:rPr>
          <w:i w:val="0"/>
          <w:iCs/>
          <w:sz w:val="20"/>
          <w:szCs w:val="20"/>
        </w:rPr>
      </w:pPr>
      <w:r>
        <w:rPr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tr-TR" w:eastAsia="zh-CN" w:bidi="ar"/>
        </w:rPr>
        <w:t xml:space="preserve">Supplement  </w:t>
      </w:r>
      <w:r>
        <w:rPr>
          <w:rFonts w:hint="default" w:ascii="Times New Roman Bold" w:hAnsi="Times New Roman Bold" w:cs="Times New Roman Bold"/>
          <w:b/>
          <w:bCs/>
          <w:i w:val="0"/>
          <w:iCs/>
          <w:sz w:val="20"/>
          <w:szCs w:val="20"/>
          <w:lang w:val="tr-TR"/>
        </w:rPr>
        <w:t xml:space="preserve">2. </w:t>
      </w:r>
      <w:r>
        <w:rPr>
          <w:i w:val="0"/>
          <w:iCs/>
          <w:sz w:val="20"/>
          <w:szCs w:val="20"/>
        </w:rPr>
        <w:t>Lyme Ser ology and Western Blot Results</w:t>
      </w:r>
    </w:p>
    <w:tbl>
      <w:tblPr>
        <w:tblStyle w:val="3"/>
        <w:tblW w:w="4900" w:type="pct"/>
        <w:jc w:val="center"/>
        <w:tblBorders>
          <w:top w:val="none" w:color="auto" w:sz="0" w:space="0"/>
          <w:left w:val="none" w:color="auto" w:sz="0" w:space="0"/>
          <w:bottom w:val="single" w:color="92CDDC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837"/>
        <w:gridCol w:w="1837"/>
        <w:gridCol w:w="1838"/>
      </w:tblGrid>
      <w:tr w14:paraId="61C78D97">
        <w:trPr>
          <w:trHeight w:val="20" w:hRule="atLeast"/>
          <w:jc w:val="center"/>
        </w:trPr>
        <w:tc>
          <w:tcPr>
            <w:tcW w:w="3402" w:type="dxa"/>
            <w:shd w:val="clear" w:color="auto" w:fill="A5A5A5" w:themeFill="accent3"/>
            <w:vAlign w:val="center"/>
          </w:tcPr>
          <w:p w14:paraId="78F67B73">
            <w:pPr>
              <w:pStyle w:val="4"/>
            </w:pPr>
          </w:p>
        </w:tc>
        <w:tc>
          <w:tcPr>
            <w:tcW w:w="2199" w:type="dxa"/>
            <w:shd w:val="clear" w:color="auto" w:fill="A5A5A5" w:themeFill="accent3"/>
            <w:vAlign w:val="center"/>
          </w:tcPr>
          <w:p w14:paraId="01B22023">
            <w:pPr>
              <w:pStyle w:val="4"/>
            </w:pPr>
            <w:r>
              <w:t>At the Diagnosis of Lyme Disease</w:t>
            </w:r>
          </w:p>
        </w:tc>
        <w:tc>
          <w:tcPr>
            <w:tcW w:w="2199" w:type="dxa"/>
            <w:shd w:val="clear" w:color="auto" w:fill="A5A5A5" w:themeFill="accent3"/>
            <w:vAlign w:val="center"/>
          </w:tcPr>
          <w:p w14:paraId="027CC3AE">
            <w:pPr>
              <w:pStyle w:val="4"/>
            </w:pPr>
            <w:r>
              <w:t>At the Diagnosis of the Neuroborreliosis</w:t>
            </w:r>
          </w:p>
        </w:tc>
        <w:tc>
          <w:tcPr>
            <w:tcW w:w="2200" w:type="dxa"/>
            <w:shd w:val="clear" w:color="auto" w:fill="A5A5A5" w:themeFill="accent3"/>
            <w:vAlign w:val="center"/>
          </w:tcPr>
          <w:p w14:paraId="39E61141">
            <w:pPr>
              <w:pStyle w:val="4"/>
            </w:pPr>
            <w:r>
              <w:t>At the 3 rd weak of dual antibiotherapy</w:t>
            </w:r>
          </w:p>
        </w:tc>
      </w:tr>
      <w:tr w14:paraId="09D9DE09">
        <w:trPr>
          <w:trHeight w:val="20" w:hRule="atLeast"/>
          <w:jc w:val="center"/>
        </w:trPr>
        <w:tc>
          <w:tcPr>
            <w:tcW w:w="3402" w:type="dxa"/>
            <w:vAlign w:val="center"/>
          </w:tcPr>
          <w:p w14:paraId="3CB48F4B">
            <w:pPr>
              <w:pStyle w:val="5"/>
            </w:pPr>
            <w:r>
              <w:t>Serum B. burgdorferi IgG serology, U/ml</w:t>
            </w:r>
          </w:p>
        </w:tc>
        <w:tc>
          <w:tcPr>
            <w:tcW w:w="2199" w:type="dxa"/>
            <w:vAlign w:val="center"/>
          </w:tcPr>
          <w:p w14:paraId="18F8E5E0">
            <w:pPr>
              <w:pStyle w:val="5"/>
            </w:pPr>
            <w:r>
              <w:t>8.3</w:t>
            </w:r>
          </w:p>
        </w:tc>
        <w:tc>
          <w:tcPr>
            <w:tcW w:w="2199" w:type="dxa"/>
            <w:vAlign w:val="center"/>
          </w:tcPr>
          <w:p w14:paraId="58B1ED5A">
            <w:pPr>
              <w:pStyle w:val="5"/>
            </w:pPr>
            <w:r>
              <w:t>NA</w:t>
            </w:r>
          </w:p>
        </w:tc>
        <w:tc>
          <w:tcPr>
            <w:tcW w:w="2200" w:type="dxa"/>
            <w:vAlign w:val="center"/>
          </w:tcPr>
          <w:p w14:paraId="457CCFFC">
            <w:pPr>
              <w:pStyle w:val="5"/>
            </w:pPr>
            <w:r>
              <w:t>NA</w:t>
            </w:r>
          </w:p>
        </w:tc>
      </w:tr>
      <w:tr w14:paraId="38A4158F">
        <w:trPr>
          <w:trHeight w:val="20" w:hRule="atLeast"/>
          <w:jc w:val="center"/>
        </w:trPr>
        <w:tc>
          <w:tcPr>
            <w:tcW w:w="3402" w:type="dxa"/>
            <w:vAlign w:val="center"/>
          </w:tcPr>
          <w:p w14:paraId="2569C827">
            <w:pPr>
              <w:pStyle w:val="8"/>
            </w:pPr>
            <w:r>
              <w:t>Serum B. burgdorferi IgM serology, U/ml</w:t>
            </w:r>
          </w:p>
        </w:tc>
        <w:tc>
          <w:tcPr>
            <w:tcW w:w="2199" w:type="dxa"/>
            <w:vAlign w:val="center"/>
          </w:tcPr>
          <w:p w14:paraId="2468ADA1">
            <w:pPr>
              <w:pStyle w:val="8"/>
            </w:pPr>
            <w:r>
              <w:t>33.3</w:t>
            </w:r>
          </w:p>
        </w:tc>
        <w:tc>
          <w:tcPr>
            <w:tcW w:w="2199" w:type="dxa"/>
            <w:vAlign w:val="center"/>
          </w:tcPr>
          <w:p w14:paraId="32E9E6DA">
            <w:pPr>
              <w:pStyle w:val="8"/>
            </w:pPr>
            <w:r>
              <w:t>NA</w:t>
            </w:r>
          </w:p>
        </w:tc>
        <w:tc>
          <w:tcPr>
            <w:tcW w:w="2200" w:type="dxa"/>
            <w:vAlign w:val="center"/>
          </w:tcPr>
          <w:p w14:paraId="567E2B5F">
            <w:pPr>
              <w:pStyle w:val="8"/>
            </w:pPr>
            <w:r>
              <w:t>NA</w:t>
            </w:r>
          </w:p>
        </w:tc>
      </w:tr>
      <w:tr w14:paraId="58F8BF8A">
        <w:trPr>
          <w:trHeight w:val="20" w:hRule="atLeast"/>
          <w:jc w:val="center"/>
        </w:trPr>
        <w:tc>
          <w:tcPr>
            <w:tcW w:w="3402" w:type="dxa"/>
            <w:vAlign w:val="center"/>
          </w:tcPr>
          <w:p w14:paraId="00CEF614">
            <w:pPr>
              <w:pStyle w:val="8"/>
            </w:pPr>
            <w:r>
              <w:t>Serum B. burgdorferi IgG Western Blot</w:t>
            </w:r>
          </w:p>
        </w:tc>
        <w:tc>
          <w:tcPr>
            <w:tcW w:w="2199" w:type="dxa"/>
            <w:vAlign w:val="center"/>
          </w:tcPr>
          <w:p w14:paraId="0D311F40">
            <w:pPr>
              <w:pStyle w:val="8"/>
            </w:pPr>
            <w:r>
              <w:t>-</w:t>
            </w:r>
          </w:p>
        </w:tc>
        <w:tc>
          <w:tcPr>
            <w:tcW w:w="2199" w:type="dxa"/>
            <w:vAlign w:val="center"/>
          </w:tcPr>
          <w:p w14:paraId="144592D0">
            <w:pPr>
              <w:pStyle w:val="8"/>
            </w:pPr>
            <w:r>
              <w:t>NA</w:t>
            </w:r>
          </w:p>
        </w:tc>
        <w:tc>
          <w:tcPr>
            <w:tcW w:w="2200" w:type="dxa"/>
            <w:vAlign w:val="center"/>
          </w:tcPr>
          <w:p w14:paraId="00C88A1B">
            <w:pPr>
              <w:pStyle w:val="8"/>
            </w:pPr>
            <w:r>
              <w:t>+</w:t>
            </w:r>
          </w:p>
        </w:tc>
      </w:tr>
      <w:tr w14:paraId="0A586C9F">
        <w:trPr>
          <w:trHeight w:val="20" w:hRule="atLeast"/>
          <w:jc w:val="center"/>
        </w:trPr>
        <w:tc>
          <w:tcPr>
            <w:tcW w:w="3402" w:type="dxa"/>
            <w:vAlign w:val="center"/>
          </w:tcPr>
          <w:p w14:paraId="760AB968">
            <w:pPr>
              <w:pStyle w:val="10"/>
            </w:pPr>
            <w:r>
              <w:t>Serum B. burgdorferi IgM Western Blot</w:t>
            </w:r>
          </w:p>
        </w:tc>
        <w:tc>
          <w:tcPr>
            <w:tcW w:w="2199" w:type="dxa"/>
            <w:vAlign w:val="center"/>
          </w:tcPr>
          <w:p w14:paraId="5682A499">
            <w:pPr>
              <w:pStyle w:val="10"/>
            </w:pPr>
            <w:r>
              <w:t>+</w:t>
            </w:r>
          </w:p>
        </w:tc>
        <w:tc>
          <w:tcPr>
            <w:tcW w:w="2199" w:type="dxa"/>
            <w:vAlign w:val="center"/>
          </w:tcPr>
          <w:p w14:paraId="4D0FD562">
            <w:pPr>
              <w:pStyle w:val="10"/>
            </w:pPr>
            <w:r>
              <w:t>NA</w:t>
            </w:r>
          </w:p>
        </w:tc>
        <w:tc>
          <w:tcPr>
            <w:tcW w:w="2200" w:type="dxa"/>
            <w:vAlign w:val="center"/>
          </w:tcPr>
          <w:p w14:paraId="0A4BF1C5">
            <w:pPr>
              <w:pStyle w:val="10"/>
            </w:pPr>
            <w:r>
              <w:t>_</w:t>
            </w:r>
          </w:p>
        </w:tc>
      </w:tr>
    </w:tbl>
    <w:p w14:paraId="76B0FF7A">
      <w:pPr>
        <w:pStyle w:val="11"/>
      </w:pPr>
      <w:r>
        <w:t>Abbreviations: +: positive, -: negative, NA: non-avaliable</w:t>
      </w:r>
    </w:p>
    <w:p w14:paraId="3D0E417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F16CB"/>
    <w:multiLevelType w:val="multilevel"/>
    <w:tmpl w:val="003F16CB"/>
    <w:lvl w:ilvl="0" w:tentative="0">
      <w:start w:val="1"/>
      <w:numFmt w:val="decimal"/>
      <w:pStyle w:val="12"/>
      <w:lvlText w:val="[%1]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4AE2F6"/>
    <w:rsid w:val="F74AE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9_TableHead"/>
    <w:basedOn w:val="1"/>
    <w:qFormat/>
    <w:uiPriority w:val="0"/>
    <w:pPr>
      <w:tabs>
        <w:tab w:val="left" w:pos="4680"/>
      </w:tabs>
      <w:adjustRightInd w:val="0"/>
      <w:snapToGrid w:val="0"/>
      <w:spacing w:before="120" w:after="160" w:line="264" w:lineRule="auto"/>
      <w:jc w:val="left"/>
    </w:pPr>
    <w:rPr>
      <w:rFonts w:ascii="Times New Roman" w:hAnsi="Times New Roman" w:eastAsia="Times New Roman"/>
      <w:b/>
      <w:sz w:val="18"/>
    </w:rPr>
  </w:style>
  <w:style w:type="paragraph" w:customStyle="1" w:styleId="5">
    <w:name w:val="20_TableBody_Front"/>
    <w:basedOn w:val="6"/>
    <w:qFormat/>
    <w:uiPriority w:val="0"/>
    <w:pPr>
      <w:spacing w:before="120" w:after="60"/>
      <w:ind w:firstLineChars="0"/>
    </w:pPr>
    <w:rPr>
      <w:rFonts w:eastAsia="SimSun"/>
      <w:snapToGrid w:val="0"/>
      <w:sz w:val="18"/>
    </w:rPr>
  </w:style>
  <w:style w:type="paragraph" w:customStyle="1" w:styleId="6">
    <w:name w:val="01_ArticleType"/>
    <w:basedOn w:val="7"/>
    <w:qFormat/>
    <w:uiPriority w:val="0"/>
    <w:pPr>
      <w:spacing w:before="320" w:after="40"/>
      <w:ind w:firstLine="0"/>
    </w:pPr>
  </w:style>
  <w:style w:type="paragraph" w:customStyle="1" w:styleId="7">
    <w:name w:val="04_Affiliation"/>
    <w:basedOn w:val="1"/>
    <w:qFormat/>
    <w:uiPriority w:val="0"/>
    <w:pPr>
      <w:suppressAutoHyphens/>
      <w:adjustRightInd w:val="0"/>
      <w:snapToGrid w:val="0"/>
      <w:spacing w:before="60" w:after="60" w:line="264" w:lineRule="auto"/>
      <w:ind w:hanging="62" w:hangingChars="30"/>
      <w:jc w:val="left"/>
    </w:pPr>
    <w:rPr>
      <w:rFonts w:ascii="Times New Roman" w:hAnsi="Times New Roman" w:eastAsia="Times New Roman"/>
      <w:szCs w:val="18"/>
      <w:lang w:val="en-GB"/>
    </w:rPr>
  </w:style>
  <w:style w:type="paragraph" w:customStyle="1" w:styleId="8">
    <w:name w:val="21_TableBody_Middle"/>
    <w:basedOn w:val="9"/>
    <w:qFormat/>
    <w:uiPriority w:val="0"/>
    <w:pPr>
      <w:spacing w:before="60" w:after="60"/>
      <w:ind w:firstLine="0" w:firstLineChars="0"/>
      <w:jc w:val="left"/>
    </w:pPr>
    <w:rPr>
      <w:sz w:val="18"/>
      <w:szCs w:val="18"/>
      <w:lang w:val="en-GB"/>
    </w:rPr>
  </w:style>
  <w:style w:type="paragraph" w:customStyle="1" w:styleId="9">
    <w:name w:val="13_Text"/>
    <w:basedOn w:val="1"/>
    <w:qFormat/>
    <w:uiPriority w:val="0"/>
    <w:pPr>
      <w:adjustRightInd w:val="0"/>
      <w:snapToGrid w:val="0"/>
      <w:spacing w:line="264" w:lineRule="auto"/>
      <w:ind w:firstLine="100" w:firstLineChars="100"/>
    </w:pPr>
    <w:rPr>
      <w:rFonts w:ascii="Times New Roman" w:hAnsi="Times New Roman" w:eastAsia="Times New Roman"/>
      <w:sz w:val="20"/>
      <w:szCs w:val="20"/>
    </w:rPr>
  </w:style>
  <w:style w:type="paragraph" w:customStyle="1" w:styleId="10">
    <w:name w:val="22_TableBody_Back"/>
    <w:basedOn w:val="8"/>
    <w:qFormat/>
    <w:uiPriority w:val="0"/>
    <w:pPr>
      <w:spacing w:after="160"/>
    </w:pPr>
    <w:rPr>
      <w:snapToGrid w:val="0"/>
    </w:rPr>
  </w:style>
  <w:style w:type="paragraph" w:customStyle="1" w:styleId="11">
    <w:name w:val="23_TableFigureFooter"/>
    <w:basedOn w:val="1"/>
    <w:qFormat/>
    <w:uiPriority w:val="0"/>
    <w:pPr>
      <w:tabs>
        <w:tab w:val="left" w:pos="4680"/>
      </w:tabs>
      <w:adjustRightInd w:val="0"/>
      <w:snapToGrid w:val="0"/>
      <w:spacing w:before="200" w:after="400" w:line="264" w:lineRule="auto"/>
    </w:pPr>
    <w:rPr>
      <w:rFonts w:ascii="Times New Roman" w:hAnsi="Times New Roman" w:eastAsia="Times New Roman"/>
      <w:sz w:val="18"/>
      <w:szCs w:val="16"/>
    </w:rPr>
  </w:style>
  <w:style w:type="paragraph" w:customStyle="1" w:styleId="12">
    <w:name w:val="29_References"/>
    <w:basedOn w:val="1"/>
    <w:qFormat/>
    <w:uiPriority w:val="0"/>
    <w:pPr>
      <w:numPr>
        <w:ilvl w:val="0"/>
        <w:numId w:val="1"/>
      </w:numPr>
      <w:tabs>
        <w:tab w:val="left" w:pos="525"/>
        <w:tab w:val="clear" w:pos="420"/>
      </w:tabs>
      <w:adjustRightInd w:val="0"/>
      <w:snapToGrid w:val="0"/>
      <w:spacing w:after="160" w:line="264" w:lineRule="auto"/>
      <w:ind w:hanging="230" w:hangingChars="230"/>
    </w:pPr>
    <w:rPr>
      <w:rFonts w:ascii="Times New Roman" w:hAnsi="Times New Roman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Office_12.1.22533.22533_F1E327BC-269C-435d-A152-05C5408002CA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2025-09-18T10:57:00Z</dcterms:created>
  <dc:creator>Arzu Kulu</dc:creator>
  <cp:lastModifiedBy>Arzu Kulu</cp:lastModifiedBy>
  <dcterms:modified xsi:type="dcterms:W3CDTF">2025-09-18T10:57:54Z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91942FBC8418785E76BBCB685F3F6DF1_41</vt:lpwstr>
  </property>
</Properties>
</file>