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Questionnaire on the Care Needs of Primary Caregiver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of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Premature Infants at Home</w:t>
      </w:r>
    </w:p>
    <w:p>
      <w:pPr>
        <w:jc w:val="center"/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Final version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）</w:t>
      </w:r>
    </w:p>
    <w:tbl>
      <w:tblPr>
        <w:tblStyle w:val="3"/>
        <w:tblW w:w="1150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2"/>
        <w:gridCol w:w="1145"/>
        <w:gridCol w:w="1102"/>
        <w:gridCol w:w="906"/>
        <w:gridCol w:w="1178"/>
        <w:gridCol w:w="13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vMerge w:val="restart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Care Needs Items for Primary Caregivers of 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  <w:t>Premature Infants at Home</w:t>
            </w:r>
          </w:p>
        </w:tc>
        <w:tc>
          <w:tcPr>
            <w:tcW w:w="5632" w:type="dxa"/>
            <w:gridSpan w:val="5"/>
            <w:tcBorders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  <w:t>Attribute Surve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vMerge w:val="continue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  <w:t>Satisfied</w:t>
            </w:r>
            <w:bookmarkStart w:id="0" w:name="_GoBack"/>
            <w:bookmarkEnd w:id="0"/>
          </w:p>
        </w:tc>
        <w:tc>
          <w:tcPr>
            <w:tcW w:w="1102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  <w:t>It should be that way</w:t>
            </w:r>
          </w:p>
        </w:tc>
        <w:tc>
          <w:tcPr>
            <w:tcW w:w="906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  <w:t>Neutral</w:t>
            </w:r>
          </w:p>
        </w:tc>
        <w:tc>
          <w:tcPr>
            <w:tcW w:w="1178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  <w:t>Acceptable</w:t>
            </w:r>
          </w:p>
        </w:tc>
        <w:tc>
          <w:tcPr>
            <w:tcW w:w="1301" w:type="dxa"/>
            <w:tcBorders>
              <w:top w:val="single" w:color="auto" w:sz="8" w:space="0"/>
              <w:bottom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/>
              </w:rPr>
              <w:t>Dissatisfied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informed about the timing and methods for transitioning between milk types (specialized formula, standard formula, breast milk),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informed about the timing and methods for transitioning between milk types (specialized formula, standard formula, breast milk), how do you feel?</w:t>
            </w:r>
          </w:p>
        </w:tc>
        <w:tc>
          <w:tcPr>
            <w:tcW w:w="1145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color="auto" w:sz="8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instructed on medication usage methods and related precautions,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instructed on medication usage methods and related precautions,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3a.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informed about knowledge related to growth and development patterns,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3b.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informed about knowledge related to growth and development patterns,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4a.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informed about knowledge regarding normal bowel movements and urination,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4b.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informed about knowledge regarding normal bowel movements and urination,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5a.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assessing feeding timing and amount,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5b.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assessing feeding timing and amount,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6a.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intellectual and nursing training for preterm infants (e.g., visual/auditory multi-sensory training, passive exercise),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6b.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intellectual and nursing training for preterm infants (e.g., visual/auditory multi-sensory training, passive exercise),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7a.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techniques to promote gas relief,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7b.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techniques to promote gas relief,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8a.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the care for infants discharged with oxygen tubes or other tubes,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8b.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the care for infants discharged with oxygen tubes or other tubes,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9a.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identifying abdominal distension,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9b.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identifying abdominal distension,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10a.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identifying and managing abnormal bowel movements (diarrhea, constipation),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10b.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identifying and managing abnormal bowel movements (diarrhea, constipation),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11a.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identifying abnormal jaundice,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11b.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identifying abnormal jaundice,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12a.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managing vomiting and choking during feeding,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12b.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managing vomiting and choking during feeding,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13a.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first aid for accidental falls from bed,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13b.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first aid for accidental falls from bed,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14a.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first aid for choking/asphyxiation,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14b.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first aid for choking/asphyxiation,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15a.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infant massage techniques,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15b.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infant massage techniques,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16a.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guided on eye contact and vocal interaction techniques,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16b.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guided on eye contact and vocal interaction techniques,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17a.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the hospital provides diverse consultation methods (online consultation, offline accompaniment, special appointments, etc.),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17b.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the hospital does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provide diverse consultation methods (online consultation, offline accompaniment, special appointments, etc.),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18a.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the hospital provides information on preterm infant diseases through various channels (lectures, public accounts, internet, etc.),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18b.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the hospital does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provide information on preterm infant diseases through various channels (lectures, public accounts, internet, etc.),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19a.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the hospital conducts follow-ups for the preterm infant through various methods (outpatient follow-up, home visits, phone calls, etc.),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19b.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the hospital does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conduct follow-ups for the preterm infant through various methods (outpatient follow-up, home visits, phone calls, etc.),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20a.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relevant institutions provide financial assistance and information on how to access it,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20b.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relevant institutions do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provide financial assistance and information on how to access it,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21a.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able to obtain peer support (help from other caregivers of preterm infants),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21b.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able to obtain peer support (help from other caregivers of preterm infants),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22a.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able to obtain help from family members,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22b.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able to obtain help from family members,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23a.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able to make care decisions for the preterm infant jointly with family members,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23b.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able to make care decisions for the preterm infant jointly with family members,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24a.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able to maintain your own emotional stability during caregiving,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24b.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able to maintain your own emotional stability during caregiving,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25a.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able to care for the preterm infant independently,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25b.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able to care for the preterm infant independently,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26a.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able to participate in training classes to continuously improve preterm infant care skills,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26b.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able to participate in training classes to continuously improve preterm infant care skills,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87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0" w:afterAutospacing="0" w:line="336" w:lineRule="atLeast"/>
              <w:ind w:right="528" w:right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27a.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 provided with a platform for emotional and experience sharing, how do you feel?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27b.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If </w:t>
            </w:r>
            <w:r>
              <w:rPr>
                <w:rStyle w:val="5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not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 provided with a platform for emotional and experience sharing, how do you feel?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7A16260C"/>
    <w:rsid w:val="72AC037E"/>
    <w:rsid w:val="7A16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2025-09-24T07:11:00Z</dcterms:created>
  <dc:creator>霍朝华</dc:creator>
  <cp:lastModifiedBy>霍朝华</cp:lastModifiedBy>
  <dcterms:modified xsi:type="dcterms:W3CDTF">2025-09-24T07:28:42Z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BC66EC7F52E746D1A8C60EAC8E465373</vt:lpwstr>
  </property>
</Properties>
</file>