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1CA5B" w14:textId="77777777" w:rsidR="00BA4E54" w:rsidRDefault="00BA4E54" w:rsidP="00133200">
      <w:pPr>
        <w:tabs>
          <w:tab w:val="left" w:pos="7725"/>
        </w:tabs>
        <w:spacing w:after="0" w:line="360" w:lineRule="auto"/>
        <w:jc w:val="center"/>
        <w:rPr>
          <w:b/>
          <w:bCs/>
        </w:rPr>
      </w:pPr>
      <w:r w:rsidRPr="00BD1110">
        <w:rPr>
          <w:b/>
          <w:bCs/>
        </w:rPr>
        <w:t xml:space="preserve">Using distribution and movement of invasive channel catfish </w:t>
      </w:r>
      <w:r w:rsidRPr="00BD1110">
        <w:rPr>
          <w:b/>
          <w:bCs/>
          <w:i/>
          <w:iCs/>
        </w:rPr>
        <w:t>Ictalurus punctatus</w:t>
      </w:r>
      <w:r w:rsidRPr="00BD1110">
        <w:rPr>
          <w:b/>
          <w:bCs/>
        </w:rPr>
        <w:t xml:space="preserve"> in the San Juan River to inform removal efforts</w:t>
      </w:r>
    </w:p>
    <w:p w14:paraId="59145F96" w14:textId="77777777" w:rsidR="00BA4E54" w:rsidRDefault="00BA4E54" w:rsidP="00133200">
      <w:pPr>
        <w:tabs>
          <w:tab w:val="left" w:pos="7725"/>
        </w:tabs>
        <w:spacing w:after="0" w:line="360" w:lineRule="auto"/>
        <w:jc w:val="center"/>
        <w:rPr>
          <w:b/>
          <w:bCs/>
        </w:rPr>
      </w:pPr>
    </w:p>
    <w:p w14:paraId="14DB8346" w14:textId="673D3075" w:rsidR="00BA4E54" w:rsidRPr="00BA4E54" w:rsidRDefault="00BA4E54" w:rsidP="00133200">
      <w:pPr>
        <w:tabs>
          <w:tab w:val="left" w:pos="7725"/>
        </w:tabs>
        <w:spacing w:after="0" w:line="360" w:lineRule="auto"/>
        <w:jc w:val="center"/>
      </w:pPr>
      <w:r w:rsidRPr="00BA4E54">
        <w:t>Biological Invasions</w:t>
      </w:r>
    </w:p>
    <w:p w14:paraId="0D1CED23" w14:textId="77777777" w:rsidR="00BA4E54" w:rsidRDefault="00BA4E54" w:rsidP="00133200">
      <w:pPr>
        <w:spacing w:after="0" w:line="360" w:lineRule="auto"/>
      </w:pPr>
    </w:p>
    <w:p w14:paraId="29C216A8" w14:textId="77777777" w:rsidR="00BA4E54" w:rsidRPr="008C4AF9" w:rsidRDefault="00BA4E54" w:rsidP="00133200">
      <w:pPr>
        <w:spacing w:after="0" w:line="360" w:lineRule="auto"/>
      </w:pPr>
      <w:r w:rsidRPr="008C4AF9">
        <w:t>Keegan C. Epping</w:t>
      </w:r>
      <w:r w:rsidRPr="008C4AF9">
        <w:rPr>
          <w:vertAlign w:val="superscript"/>
        </w:rPr>
        <w:t xml:space="preserve">1* </w:t>
      </w:r>
      <w:r w:rsidRPr="008C4AF9">
        <w:t>(</w:t>
      </w:r>
      <w:hyperlink r:id="rId5" w:history="1">
        <w:r w:rsidRPr="008C4AF9">
          <w:rPr>
            <w:rStyle w:val="Hyperlink"/>
            <w:color w:val="auto"/>
          </w:rPr>
          <w:t>0009-0003-3522-8451</w:t>
        </w:r>
      </w:hyperlink>
      <w:r w:rsidRPr="008C4AF9">
        <w:t>), Keith Gido</w:t>
      </w:r>
      <w:r w:rsidRPr="008C4AF9">
        <w:rPr>
          <w:vertAlign w:val="superscript"/>
        </w:rPr>
        <w:t xml:space="preserve">1 </w:t>
      </w:r>
      <w:r w:rsidRPr="008C4AF9">
        <w:t>(</w:t>
      </w:r>
      <w:hyperlink r:id="rId6" w:history="1">
        <w:r w:rsidRPr="008C4AF9">
          <w:rPr>
            <w:rStyle w:val="Hyperlink"/>
            <w:color w:val="auto"/>
          </w:rPr>
          <w:t>0000-0002-4342-161X</w:t>
        </w:r>
      </w:hyperlink>
      <w:r w:rsidRPr="008C4AF9">
        <w:t>), Rachel E. Grey</w:t>
      </w:r>
      <w:r w:rsidRPr="008C4AF9">
        <w:rPr>
          <w:vertAlign w:val="superscript"/>
        </w:rPr>
        <w:t>2</w:t>
      </w:r>
      <w:r w:rsidRPr="008C4AF9">
        <w:t>, Stephani L. Clark Barkalow</w:t>
      </w:r>
      <w:r w:rsidRPr="008C4AF9">
        <w:rPr>
          <w:vertAlign w:val="superscript"/>
        </w:rPr>
        <w:t xml:space="preserve">3,4 </w:t>
      </w:r>
      <w:r w:rsidRPr="008C4AF9">
        <w:t>(</w:t>
      </w:r>
      <w:hyperlink r:id="rId7" w:history="1">
        <w:r w:rsidRPr="008C4AF9">
          <w:rPr>
            <w:rStyle w:val="Hyperlink"/>
            <w:color w:val="auto"/>
          </w:rPr>
          <w:t>0000-0002-1456-3563</w:t>
        </w:r>
      </w:hyperlink>
      <w:r w:rsidRPr="008C4AF9">
        <w:t>), Sophia M. Bonjour</w:t>
      </w:r>
      <w:r w:rsidRPr="008C4AF9">
        <w:rPr>
          <w:vertAlign w:val="superscript"/>
        </w:rPr>
        <w:t>1,5</w:t>
      </w:r>
      <w:r w:rsidRPr="008C4AF9">
        <w:t xml:space="preserve"> (</w:t>
      </w:r>
      <w:hyperlink r:id="rId8" w:history="1">
        <w:r w:rsidRPr="008C4AF9">
          <w:rPr>
            <w:rStyle w:val="Hyperlink"/>
            <w:color w:val="auto"/>
          </w:rPr>
          <w:t>0000-0003-3614-7023</w:t>
        </w:r>
      </w:hyperlink>
      <w:r w:rsidRPr="008C4AF9">
        <w:t>), John Cleveland</w:t>
      </w:r>
      <w:r w:rsidRPr="008C4AF9">
        <w:rPr>
          <w:vertAlign w:val="superscript"/>
        </w:rPr>
        <w:t>1,6</w:t>
      </w:r>
      <w:r w:rsidRPr="008C4AF9">
        <w:t>(</w:t>
      </w:r>
      <w:hyperlink r:id="rId9" w:history="1">
        <w:r w:rsidRPr="008C4AF9">
          <w:rPr>
            <w:rStyle w:val="Hyperlink"/>
            <w:color w:val="auto"/>
          </w:rPr>
          <w:t>0009-0005-0742-5508</w:t>
        </w:r>
      </w:hyperlink>
      <w:r w:rsidRPr="008C4AF9">
        <w:t>), Justin Furby</w:t>
      </w:r>
      <w:r w:rsidRPr="008C4AF9">
        <w:rPr>
          <w:vertAlign w:val="superscript"/>
        </w:rPr>
        <w:t>7</w:t>
      </w:r>
      <w:r w:rsidRPr="008C4AF9">
        <w:t>, Casey A. Pennock</w:t>
      </w:r>
      <w:r w:rsidRPr="008C4AF9">
        <w:rPr>
          <w:vertAlign w:val="superscript"/>
        </w:rPr>
        <w:t>7</w:t>
      </w:r>
      <w:r w:rsidRPr="008C4AF9">
        <w:t>(</w:t>
      </w:r>
      <w:hyperlink r:id="rId10" w:history="1">
        <w:r w:rsidRPr="008C4AF9">
          <w:rPr>
            <w:rStyle w:val="Hyperlink"/>
            <w:color w:val="auto"/>
          </w:rPr>
          <w:t>0000-0002-3547-6477</w:t>
        </w:r>
      </w:hyperlink>
      <w:r w:rsidRPr="008C4AF9">
        <w:t>), Matthew Bogaard</w:t>
      </w:r>
      <w:r>
        <w:rPr>
          <w:vertAlign w:val="superscript"/>
        </w:rPr>
        <w:t>1,8</w:t>
      </w:r>
      <w:r w:rsidRPr="008C4AF9">
        <w:rPr>
          <w:vertAlign w:val="superscript"/>
        </w:rPr>
        <w:t xml:space="preserve"> </w:t>
      </w:r>
      <w:r w:rsidRPr="008C4AF9">
        <w:t>(</w:t>
      </w:r>
      <w:hyperlink r:id="rId11" w:history="1">
        <w:r w:rsidRPr="008C4AF9">
          <w:rPr>
            <w:rStyle w:val="Hyperlink"/>
            <w:color w:val="auto"/>
          </w:rPr>
          <w:t>0000-0002-3054-5314</w:t>
        </w:r>
      </w:hyperlink>
      <w:r w:rsidRPr="008C4AF9">
        <w:t>), Tracy A. Diver</w:t>
      </w:r>
      <w:r w:rsidRPr="008C4AF9">
        <w:rPr>
          <w:vertAlign w:val="superscript"/>
        </w:rPr>
        <w:t xml:space="preserve">2,9 </w:t>
      </w:r>
      <w:r w:rsidRPr="008C4AF9">
        <w:t>(</w:t>
      </w:r>
      <w:hyperlink r:id="rId12" w:history="1">
        <w:r w:rsidRPr="008C4AF9">
          <w:rPr>
            <w:rStyle w:val="Hyperlink"/>
            <w:color w:val="auto"/>
          </w:rPr>
          <w:t>0000-0001-9730-223X</w:t>
        </w:r>
      </w:hyperlink>
      <w:r w:rsidRPr="008C4AF9">
        <w:t>)</w:t>
      </w:r>
    </w:p>
    <w:p w14:paraId="15EBF4B0" w14:textId="77777777" w:rsidR="00BA4E54" w:rsidRDefault="00BA4E54" w:rsidP="00133200">
      <w:pPr>
        <w:spacing w:after="0" w:line="360" w:lineRule="auto"/>
      </w:pPr>
    </w:p>
    <w:p w14:paraId="1816CC9F" w14:textId="77777777" w:rsidR="00BA4E54" w:rsidRDefault="00BA4E54" w:rsidP="00133200">
      <w:pPr>
        <w:spacing w:after="0" w:line="360" w:lineRule="auto"/>
      </w:pPr>
      <w:r>
        <w:rPr>
          <w:vertAlign w:val="superscript"/>
        </w:rPr>
        <w:t>1</w:t>
      </w:r>
      <w:r>
        <w:t>Kansas State University, Division of Biology, 116 Ackert Hall, 1717 Claflin Rd, Manhattan, KS 66506, United States</w:t>
      </w:r>
    </w:p>
    <w:p w14:paraId="3DB4AA95" w14:textId="77777777" w:rsidR="00BA4E54" w:rsidRDefault="00BA4E54" w:rsidP="00133200">
      <w:pPr>
        <w:spacing w:after="0" w:line="360" w:lineRule="auto"/>
      </w:pPr>
    </w:p>
    <w:p w14:paraId="5700E028" w14:textId="77777777" w:rsidR="00BA4E54" w:rsidRDefault="00BA4E54" w:rsidP="00133200">
      <w:pPr>
        <w:spacing w:after="0" w:line="360" w:lineRule="auto"/>
      </w:pPr>
      <w:r>
        <w:rPr>
          <w:vertAlign w:val="superscript"/>
        </w:rPr>
        <w:t>2</w:t>
      </w:r>
      <w:r>
        <w:t>U.S. Fish and Wildlife Service, New Mexico Fish and Wildlife Conservation Office, 3800 Commons Ave, NE, Albuquerque, NM 87109, United States</w:t>
      </w:r>
    </w:p>
    <w:p w14:paraId="57A44A0D" w14:textId="77777777" w:rsidR="00BA4E54" w:rsidRDefault="00BA4E54" w:rsidP="00133200">
      <w:pPr>
        <w:spacing w:after="0" w:line="360" w:lineRule="auto"/>
      </w:pPr>
    </w:p>
    <w:p w14:paraId="54B9C7A9" w14:textId="77777777" w:rsidR="00BA4E54" w:rsidRDefault="00BA4E54" w:rsidP="00133200">
      <w:pPr>
        <w:spacing w:after="0" w:line="360" w:lineRule="auto"/>
      </w:pPr>
      <w:r w:rsidRPr="004A197E">
        <w:rPr>
          <w:vertAlign w:val="superscript"/>
        </w:rPr>
        <w:t>3</w:t>
      </w:r>
      <w:r w:rsidRPr="00A1285C">
        <w:t>American Southwest Ichthyological Researchers</w:t>
      </w:r>
      <w:r>
        <w:t xml:space="preserve">, </w:t>
      </w:r>
      <w:r w:rsidRPr="00A1285C">
        <w:t>800 Encino Pl NE</w:t>
      </w:r>
      <w:r>
        <w:t xml:space="preserve">, </w:t>
      </w:r>
      <w:r w:rsidRPr="00A1285C">
        <w:t>Albuquerque, NM 87102</w:t>
      </w:r>
      <w:r>
        <w:t>, United States</w:t>
      </w:r>
    </w:p>
    <w:p w14:paraId="762D90A8" w14:textId="77777777" w:rsidR="00BA4E54" w:rsidRDefault="00BA4E54" w:rsidP="00133200">
      <w:pPr>
        <w:spacing w:after="0" w:line="360" w:lineRule="auto"/>
      </w:pPr>
    </w:p>
    <w:p w14:paraId="4D137D4F" w14:textId="77777777" w:rsidR="00BA4E54" w:rsidRDefault="00BA4E54" w:rsidP="00133200">
      <w:pPr>
        <w:spacing w:after="0" w:line="360" w:lineRule="auto"/>
      </w:pPr>
      <w:r>
        <w:rPr>
          <w:vertAlign w:val="superscript"/>
        </w:rPr>
        <w:t>4</w:t>
      </w:r>
      <w:r>
        <w:t xml:space="preserve">U.S. Fish and Wildlife Service, </w:t>
      </w:r>
      <w:r w:rsidRPr="00535AF5">
        <w:t>San Juan River Basin Recovery Implementation Program</w:t>
      </w:r>
      <w:r>
        <w:t xml:space="preserve">, </w:t>
      </w:r>
      <w:r w:rsidRPr="00535AF5">
        <w:t>2105 Osuna Road NE</w:t>
      </w:r>
      <w:r>
        <w:t xml:space="preserve">, </w:t>
      </w:r>
      <w:r w:rsidRPr="00167A05">
        <w:t>Albuquerque, NM 87113</w:t>
      </w:r>
      <w:r>
        <w:t>, United States</w:t>
      </w:r>
    </w:p>
    <w:p w14:paraId="7FBB1856" w14:textId="77777777" w:rsidR="00BA4E54" w:rsidRDefault="00BA4E54" w:rsidP="00133200">
      <w:pPr>
        <w:spacing w:after="0" w:line="360" w:lineRule="auto"/>
      </w:pPr>
    </w:p>
    <w:p w14:paraId="47A196E0" w14:textId="77777777" w:rsidR="00BA4E54" w:rsidRDefault="00BA4E54" w:rsidP="00133200">
      <w:pPr>
        <w:spacing w:after="0" w:line="360" w:lineRule="auto"/>
      </w:pPr>
      <w:r>
        <w:rPr>
          <w:vertAlign w:val="superscript"/>
        </w:rPr>
        <w:t>5</w:t>
      </w:r>
      <w:r w:rsidRPr="00600EDE">
        <w:t>U.S. Geological Survey</w:t>
      </w:r>
      <w:r>
        <w:t xml:space="preserve">, </w:t>
      </w:r>
      <w:r w:rsidRPr="00600EDE">
        <w:t>Columbia Environmental Research Center</w:t>
      </w:r>
      <w:r>
        <w:t xml:space="preserve">, </w:t>
      </w:r>
      <w:r w:rsidRPr="00600EDE">
        <w:t>4200 New Haven Rd</w:t>
      </w:r>
      <w:r>
        <w:t xml:space="preserve">, </w:t>
      </w:r>
      <w:r w:rsidRPr="00600EDE">
        <w:t>Columbia, MO 65201</w:t>
      </w:r>
      <w:r>
        <w:t>, United States</w:t>
      </w:r>
    </w:p>
    <w:p w14:paraId="1D25DE21" w14:textId="77777777" w:rsidR="00BA4E54" w:rsidRDefault="00BA4E54" w:rsidP="00133200">
      <w:pPr>
        <w:spacing w:after="0" w:line="360" w:lineRule="auto"/>
      </w:pPr>
    </w:p>
    <w:p w14:paraId="50C747CB" w14:textId="77777777" w:rsidR="00BA4E54" w:rsidRDefault="00BA4E54" w:rsidP="00133200">
      <w:pPr>
        <w:spacing w:after="0" w:line="360" w:lineRule="auto"/>
      </w:pPr>
      <w:r w:rsidRPr="00B60351">
        <w:rPr>
          <w:vertAlign w:val="superscript"/>
        </w:rPr>
        <w:t>6</w:t>
      </w:r>
      <w:r w:rsidRPr="00B60351">
        <w:t>Maryland Department of Natural Resources</w:t>
      </w:r>
      <w:r>
        <w:t xml:space="preserve">, </w:t>
      </w:r>
      <w:r w:rsidRPr="00B60351">
        <w:t>301 Marine Academy Drive</w:t>
      </w:r>
      <w:r>
        <w:t xml:space="preserve">, </w:t>
      </w:r>
      <w:r w:rsidRPr="00B60351">
        <w:t>Stevensville, Maryland 21666</w:t>
      </w:r>
      <w:r>
        <w:t>, United States</w:t>
      </w:r>
    </w:p>
    <w:p w14:paraId="081A0C3E" w14:textId="77777777" w:rsidR="00BA4E54" w:rsidRDefault="00BA4E54" w:rsidP="00133200">
      <w:pPr>
        <w:spacing w:after="0" w:line="360" w:lineRule="auto"/>
      </w:pPr>
    </w:p>
    <w:p w14:paraId="6A5463AA" w14:textId="77777777" w:rsidR="00BA4E54" w:rsidRDefault="00BA4E54" w:rsidP="00133200">
      <w:pPr>
        <w:spacing w:after="0" w:line="360" w:lineRule="auto"/>
      </w:pPr>
      <w:r>
        <w:rPr>
          <w:vertAlign w:val="superscript"/>
        </w:rPr>
        <w:lastRenderedPageBreak/>
        <w:t>7</w:t>
      </w:r>
      <w:r>
        <w:t xml:space="preserve">The </w:t>
      </w:r>
      <w:r w:rsidRPr="00D32BA0">
        <w:t>Ohio</w:t>
      </w:r>
      <w:r>
        <w:t xml:space="preserve"> State University, Department of Evolution, Ecology, and Organismal Biology and Aquatic Ecology Laboratory, </w:t>
      </w:r>
      <w:r w:rsidRPr="005408EB">
        <w:t>1314 Kinnear Road</w:t>
      </w:r>
      <w:r>
        <w:t xml:space="preserve">, </w:t>
      </w:r>
      <w:r w:rsidRPr="005408EB">
        <w:t>Columbus, OH 43212</w:t>
      </w:r>
      <w:r>
        <w:t>, United States</w:t>
      </w:r>
    </w:p>
    <w:p w14:paraId="428052FD" w14:textId="77777777" w:rsidR="00BA4E54" w:rsidRDefault="00BA4E54" w:rsidP="00133200">
      <w:pPr>
        <w:spacing w:after="0" w:line="360" w:lineRule="auto"/>
      </w:pPr>
    </w:p>
    <w:p w14:paraId="4FFC92C5" w14:textId="77777777" w:rsidR="00BA4E54" w:rsidRPr="00482384" w:rsidRDefault="00BA4E54" w:rsidP="00133200">
      <w:pPr>
        <w:spacing w:after="0" w:line="360" w:lineRule="auto"/>
      </w:pPr>
      <w:r>
        <w:rPr>
          <w:vertAlign w:val="superscript"/>
        </w:rPr>
        <w:t>8</w:t>
      </w:r>
      <w:r>
        <w:t>Washington Department of Fish and Wildlife, Intergovernmental Salmon Management Unit, 1111 Washington St SE, Olympia, WA, 98502, United States</w:t>
      </w:r>
    </w:p>
    <w:p w14:paraId="279767C2" w14:textId="77777777" w:rsidR="00BA4E54" w:rsidRDefault="00BA4E54" w:rsidP="00133200">
      <w:pPr>
        <w:spacing w:after="0" w:line="360" w:lineRule="auto"/>
      </w:pPr>
    </w:p>
    <w:p w14:paraId="76744F4C" w14:textId="77777777" w:rsidR="00BA4E54" w:rsidRDefault="00BA4E54" w:rsidP="00133200">
      <w:pPr>
        <w:spacing w:after="0" w:line="360" w:lineRule="auto"/>
      </w:pPr>
      <w:r>
        <w:rPr>
          <w:vertAlign w:val="superscript"/>
        </w:rPr>
        <w:t>9</w:t>
      </w:r>
      <w:r w:rsidRPr="0030355C">
        <w:t>U.S. Fish and Wildlife Service</w:t>
      </w:r>
      <w:r>
        <w:t xml:space="preserve">, </w:t>
      </w:r>
      <w:r w:rsidRPr="0030355C">
        <w:t>Southwestern Native Aquatic Resources and Recovery Center</w:t>
      </w:r>
      <w:r>
        <w:t xml:space="preserve">, </w:t>
      </w:r>
      <w:r w:rsidRPr="0030355C">
        <w:t>7116 Hatchery Rd</w:t>
      </w:r>
      <w:r>
        <w:t xml:space="preserve">, </w:t>
      </w:r>
      <w:r w:rsidRPr="0030355C">
        <w:t>Dexter, New Mexico 88230</w:t>
      </w:r>
      <w:r>
        <w:t>, United States</w:t>
      </w:r>
    </w:p>
    <w:p w14:paraId="6712FDEF" w14:textId="77777777" w:rsidR="00BA4E54" w:rsidRDefault="00BA4E54" w:rsidP="00133200">
      <w:pPr>
        <w:spacing w:after="0" w:line="360" w:lineRule="auto"/>
      </w:pPr>
    </w:p>
    <w:p w14:paraId="5EA4A63E" w14:textId="77777777" w:rsidR="00BA4E54" w:rsidRDefault="00BA4E54" w:rsidP="00133200">
      <w:pPr>
        <w:spacing w:after="0" w:line="360" w:lineRule="auto"/>
      </w:pPr>
      <w:r>
        <w:t xml:space="preserve">Corresponding author email: </w:t>
      </w:r>
      <w:hyperlink r:id="rId13" w:history="1">
        <w:r w:rsidRPr="008D30F1">
          <w:rPr>
            <w:rStyle w:val="Hyperlink"/>
          </w:rPr>
          <w:t>keegan.epping@gmail.com</w:t>
        </w:r>
      </w:hyperlink>
    </w:p>
    <w:p w14:paraId="532B9F21" w14:textId="77777777" w:rsidR="00BA4E54" w:rsidRDefault="00BA4E54" w:rsidP="00133200">
      <w:pPr>
        <w:spacing w:after="0" w:line="360" w:lineRule="auto"/>
      </w:pPr>
    </w:p>
    <w:p w14:paraId="37E6A6FF" w14:textId="77777777" w:rsidR="00BA4E54" w:rsidRDefault="00BA4E54" w:rsidP="00133200">
      <w:pPr>
        <w:spacing w:after="0" w:line="360" w:lineRule="auto"/>
      </w:pPr>
    </w:p>
    <w:p w14:paraId="19336EAA" w14:textId="77777777" w:rsidR="00BA4E54" w:rsidRDefault="00BA4E54" w:rsidP="00133200">
      <w:pPr>
        <w:spacing w:after="0" w:line="360" w:lineRule="auto"/>
      </w:pPr>
    </w:p>
    <w:p w14:paraId="79A35F27" w14:textId="77777777" w:rsidR="00BA4E54" w:rsidRDefault="00BA4E54" w:rsidP="00133200">
      <w:pPr>
        <w:spacing w:after="0" w:line="360" w:lineRule="auto"/>
      </w:pPr>
    </w:p>
    <w:p w14:paraId="3895097D" w14:textId="77777777" w:rsidR="00BA4E54" w:rsidRDefault="00BA4E54" w:rsidP="00133200">
      <w:pPr>
        <w:spacing w:after="0" w:line="360" w:lineRule="auto"/>
      </w:pPr>
    </w:p>
    <w:p w14:paraId="50CF8100" w14:textId="77777777" w:rsidR="00BA4E54" w:rsidRDefault="00BA4E54" w:rsidP="00133200">
      <w:pPr>
        <w:spacing w:after="0" w:line="360" w:lineRule="auto"/>
      </w:pPr>
    </w:p>
    <w:p w14:paraId="3B6DC552" w14:textId="77777777" w:rsidR="00BA4E54" w:rsidRDefault="00BA4E54" w:rsidP="00133200">
      <w:pPr>
        <w:spacing w:after="0" w:line="360" w:lineRule="auto"/>
      </w:pPr>
    </w:p>
    <w:p w14:paraId="5CCBB9A7" w14:textId="77777777" w:rsidR="00BA4E54" w:rsidRDefault="00BA4E54" w:rsidP="00133200">
      <w:pPr>
        <w:spacing w:after="0" w:line="360" w:lineRule="auto"/>
      </w:pPr>
    </w:p>
    <w:p w14:paraId="610AF524" w14:textId="77777777" w:rsidR="00BA4E54" w:rsidRDefault="00BA4E54" w:rsidP="00133200">
      <w:pPr>
        <w:spacing w:after="0" w:line="360" w:lineRule="auto"/>
      </w:pPr>
    </w:p>
    <w:p w14:paraId="3985ABC9" w14:textId="77777777" w:rsidR="00BA4E54" w:rsidRDefault="00BA4E54" w:rsidP="00133200">
      <w:pPr>
        <w:spacing w:after="0" w:line="360" w:lineRule="auto"/>
      </w:pPr>
    </w:p>
    <w:p w14:paraId="477EB398" w14:textId="77777777" w:rsidR="00BA4E54" w:rsidRDefault="00BA4E54" w:rsidP="00133200">
      <w:pPr>
        <w:spacing w:after="0" w:line="360" w:lineRule="auto"/>
      </w:pPr>
    </w:p>
    <w:p w14:paraId="7D1D3B5F" w14:textId="77777777" w:rsidR="00BA4E54" w:rsidRDefault="00BA4E54" w:rsidP="00133200">
      <w:pPr>
        <w:spacing w:after="0" w:line="360" w:lineRule="auto"/>
      </w:pPr>
    </w:p>
    <w:p w14:paraId="56154A9A" w14:textId="77777777" w:rsidR="00BA4E54" w:rsidRDefault="00BA4E54" w:rsidP="00133200">
      <w:pPr>
        <w:spacing w:after="0" w:line="360" w:lineRule="auto"/>
      </w:pPr>
    </w:p>
    <w:p w14:paraId="54C71543" w14:textId="77777777" w:rsidR="00BA4E54" w:rsidRDefault="00BA4E54" w:rsidP="00133200">
      <w:pPr>
        <w:spacing w:after="0" w:line="360" w:lineRule="auto"/>
      </w:pPr>
    </w:p>
    <w:p w14:paraId="107CCB53" w14:textId="77777777" w:rsidR="00BA4E54" w:rsidRDefault="00BA4E54" w:rsidP="00133200">
      <w:pPr>
        <w:spacing w:after="0" w:line="360" w:lineRule="auto"/>
      </w:pPr>
    </w:p>
    <w:p w14:paraId="02841753" w14:textId="77777777" w:rsidR="00133200" w:rsidRDefault="00133200" w:rsidP="00133200">
      <w:pPr>
        <w:spacing w:after="0" w:line="360" w:lineRule="auto"/>
      </w:pPr>
    </w:p>
    <w:p w14:paraId="12F5E110" w14:textId="77777777" w:rsidR="00133200" w:rsidRDefault="00133200" w:rsidP="00133200">
      <w:pPr>
        <w:spacing w:after="0" w:line="360" w:lineRule="auto"/>
      </w:pPr>
    </w:p>
    <w:p w14:paraId="357BA15F" w14:textId="77777777" w:rsidR="00BA4E54" w:rsidRDefault="00BA4E54" w:rsidP="00133200">
      <w:pPr>
        <w:spacing w:after="0" w:line="360" w:lineRule="auto"/>
      </w:pPr>
    </w:p>
    <w:p w14:paraId="7AC78557" w14:textId="77777777" w:rsidR="005B43EC" w:rsidRDefault="005B43EC" w:rsidP="00133200">
      <w:pPr>
        <w:spacing w:after="0" w:line="360" w:lineRule="auto"/>
      </w:pPr>
    </w:p>
    <w:p w14:paraId="6FDABFBF" w14:textId="38C28EB1" w:rsidR="00A5478C" w:rsidRPr="00DE4632" w:rsidRDefault="005B43E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54713" wp14:editId="1AE8E608">
                <wp:simplePos x="0" y="0"/>
                <wp:positionH relativeFrom="margin">
                  <wp:align>right</wp:align>
                </wp:positionH>
                <wp:positionV relativeFrom="paragraph">
                  <wp:posOffset>4989195</wp:posOffset>
                </wp:positionV>
                <wp:extent cx="5943600" cy="635"/>
                <wp:effectExtent l="0" t="0" r="0" b="0"/>
                <wp:wrapNone/>
                <wp:docPr id="19120543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F78C0" w14:textId="171BFE26" w:rsidR="00DE4632" w:rsidRPr="00644E07" w:rsidRDefault="00DE4632" w:rsidP="00DE4632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 xml:space="preserve">Online Resource </w:t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fldChar w:fldCharType="begin"/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instrText xml:space="preserve"> SEQ Online_Resource \* ARABIC </w:instrText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fldChar w:fldCharType="separate"/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</w:rPr>
                              <w:t>1</w:t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fldChar w:fldCharType="end"/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Flow chart used to filter all telemetry detections</w:t>
                            </w:r>
                            <w:r w:rsidR="00C54A89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from channel catfish </w:t>
                            </w:r>
                            <w:r w:rsidR="004F329D">
                              <w:rPr>
                                <w:rFonts w:ascii="Times New Roman" w:hAnsi="Times New Roman" w:cs="Times New Roman"/>
                              </w:rPr>
                              <w:t xml:space="preserve">Ictalurus punctatus </w:t>
                            </w:r>
                            <w:r w:rsidR="004F329D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from the San Juan River. All detections were filtered to</w:t>
                            </w:r>
                            <w:r w:rsidRPr="00644E0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 xml:space="preserve"> remove observations suspected to be associated with shed tags. Filtering of detections consisted of 1) removing detections that occurred following field confirmation of a shed tag, 2) creating a “questionable” dataset of the detections obtained since the last occurrence of upstream movement (as we assumed upstream movement to indicate a live-tagged fish), and 3) removing detections from the “questionable” dataset using average inactivity readings obtained from radio transmitters. Inactivity readings obtained from all detections of a transmitter are registered as a 0, 1, or 2 (0: active within 4 hours; 1: no activity from previous 4 hours; 2: no activity from previous 8 hours). A threshold of 0.25 was used to remove suspected shed tags based on comparisons between average activity reading and transmitters with a known fate.</w:t>
                            </w:r>
                          </w:p>
                          <w:p w14:paraId="502DA492" w14:textId="24182C94" w:rsidR="00DE4632" w:rsidRPr="005936FD" w:rsidRDefault="00DE4632" w:rsidP="00DE4632">
                            <w:pPr>
                              <w:pStyle w:val="Caption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B54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6.8pt;margin-top:392.85pt;width:468pt;height:.0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I//FgIAADgEAAAOAAAAZHJzL2Uyb0RvYy54bWysU8Fu2zAMvQ/YPwi6L07aNViNOEWWIsOA&#10;oi2QDj0rshwLkEWNUmJnXz9KtpOt22nYRaZF6lF872lx1zWGHRV6Dbbgs8mUM2UllNruC/7tZfPh&#10;E2c+CFsKA1YV/KQ8v1u+f7doXa6uoAZTKmQEYn3euoLXIbg8y7ysVSP8BJyylKwAGxHoF/dZiaIl&#10;9MZkV9PpPGsBS4cglfe0e98n+TLhV5WS4amqvArMFJzuFtKKad3FNVsuRL5H4Woth2uIf7hFI7Sl&#10;pmeoexEEO6D+A6rREsFDFSYSmgyqSkuVZqBpZtM302xr4VSahcjx7kyT/3+w8vG4dc/IQvcZOhIw&#10;EtI6n3vajPN0FTbxSzdllCcKT2faVBeYpM2b24/X8ymlJOXm1zcRI7scdejDFwUNi0HBkTRJVInj&#10;gw996VgSO3kwutxoY+JPTKwNsqMg/dpaBzWA/1ZlbKy1EE/1gHEnu8wRo9DtumG4HZQnmhmht4N3&#10;cqOp0YPw4Vkg6U+zkKfDEy2VgbbgMESc1YA//rYf60kWynLWkp8K7r8fBCrOzFdLgkXzjQGOwW4M&#10;7KFZA404o9fiZArpAAYzhhVC80pWX8UulBJWUq+ChzFch97V9FSkWq1SEVnMifBgt05G6JHQl+5V&#10;oBvkCKTiI4xOE/kbVfrapItbHQJRnCSLhPYsDjyTPZPow1OK/v/1P1VdHvzyJwAAAP//AwBQSwME&#10;FAAGAAgAAAAhAG17kzHfAAAACAEAAA8AAABkcnMvZG93bnJldi54bWxMj8FOwzAQRO9I/IO1SFwQ&#10;daAlDSFOVVVwgEtF6IWbG2/jQLyOYqcNf8/CBY47M5p9U6wm14kjDqH1pOBmloBAqr1pqVGwe3u6&#10;zkCEqMnozhMq+MIAq/L8rNC58Sd6xWMVG8ElFHKtwMbY51KG2qLTYeZ7JPYOfnA68jk00gz6xOWu&#10;k7dJkkqnW+IPVve4sVh/VqNTsF28b+3VeHh8WS/mw/Nu3KQfTaXU5cW0fgARcYp/YfjBZ3QomWnv&#10;RzJBdAp4SFSwzO6WINi+n6es7H+VDGRZyP8Dym8AAAD//wMAUEsBAi0AFAAGAAgAAAAhALaDOJL+&#10;AAAA4QEAABMAAAAAAAAAAAAAAAAAAAAAAFtDb250ZW50X1R5cGVzXS54bWxQSwECLQAUAAYACAAA&#10;ACEAOP0h/9YAAACUAQAACwAAAAAAAAAAAAAAAAAvAQAAX3JlbHMvLnJlbHNQSwECLQAUAAYACAAA&#10;ACEAVJyP/xYCAAA4BAAADgAAAAAAAAAAAAAAAAAuAgAAZHJzL2Uyb0RvYy54bWxQSwECLQAUAAYA&#10;CAAAACEAbXuTMd8AAAAIAQAADwAAAAAAAAAAAAAAAABwBAAAZHJzL2Rvd25yZXYueG1sUEsFBgAA&#10;AAAEAAQA8wAAAHwFAAAAAA==&#10;" stroked="f">
                <v:textbox style="mso-fit-shape-to-text:t" inset="0,0,0,0">
                  <w:txbxContent>
                    <w:p w14:paraId="1D8F78C0" w14:textId="171BFE26" w:rsidR="00DE4632" w:rsidRPr="00644E07" w:rsidRDefault="00DE4632" w:rsidP="00DE4632">
                      <w:pPr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 xml:space="preserve">Online Resource </w:t>
                      </w: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fldChar w:fldCharType="begin"/>
                      </w: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instrText xml:space="preserve"> SEQ Online_Resource \* ARABIC </w:instrText>
                      </w: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fldChar w:fldCharType="separate"/>
                      </w: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</w:rPr>
                        <w:t>1</w:t>
                      </w: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fldChar w:fldCharType="end"/>
                      </w:r>
                      <w:r w:rsidRPr="00644E07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</w:rPr>
                        <w:t>.</w:t>
                      </w:r>
                      <w:r w:rsidRPr="00644E07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Flow chart used to filter all telemetry detections</w:t>
                      </w:r>
                      <w:r w:rsidR="00C54A89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from channel catfish </w:t>
                      </w:r>
                      <w:r w:rsidR="004F329D">
                        <w:rPr>
                          <w:rFonts w:ascii="Times New Roman" w:hAnsi="Times New Roman" w:cs="Times New Roman"/>
                        </w:rPr>
                        <w:t xml:space="preserve">Ictalurus punctatus </w:t>
                      </w:r>
                      <w:r w:rsidR="004F329D">
                        <w:rPr>
                          <w:rFonts w:ascii="Times New Roman" w:hAnsi="Times New Roman" w:cs="Times New Roman"/>
                          <w:i/>
                          <w:iCs/>
                        </w:rPr>
                        <w:t>from the San Juan River. All detections were filtered to</w:t>
                      </w:r>
                      <w:r w:rsidRPr="00644E07">
                        <w:rPr>
                          <w:rFonts w:ascii="Times New Roman" w:hAnsi="Times New Roman" w:cs="Times New Roman"/>
                          <w:i/>
                          <w:iCs/>
                        </w:rPr>
                        <w:t xml:space="preserve"> remove observations suspected to be associated with shed tags. Filtering of detections consisted of 1) removing detections that occurred following field confirmation of a shed tag, 2) creating a “questionable” dataset of the detections obtained since the last occurrence of upstream movement (as we assumed upstream movement to indicate a live-tagged fish), and 3) removing detections from the “questionable” dataset using average inactivity readings obtained from radio transmitters. Inactivity readings obtained from all detections of a transmitter are registered as a 0, 1, or 2 (0: active within 4 hours; 1: no activity from previous 4 hours; 2: no activity from previous 8 hours). A threshold of 0.25 was used to remove suspected shed tags based on comparisons between average activity reading and transmitters with a known fate.</w:t>
                      </w:r>
                    </w:p>
                    <w:p w14:paraId="502DA492" w14:textId="24182C94" w:rsidR="00DE4632" w:rsidRPr="005936FD" w:rsidRDefault="00DE4632" w:rsidP="00DE4632">
                      <w:pPr>
                        <w:pStyle w:val="Caption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78C" w:rsidRPr="00A5478C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1787767C" wp14:editId="0FC98BEC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943600" cy="4869815"/>
            <wp:effectExtent l="0" t="0" r="0" b="6985"/>
            <wp:wrapNone/>
            <wp:docPr id="139924435" name="Picture 19" descr="A diagram of a telemetry syste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24435" name="Picture 19" descr="A diagram of a telemetry system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6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5478C" w:rsidRPr="00DE4632" w:rsidSect="006F233C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28"/>
    <w:rsid w:val="000767CA"/>
    <w:rsid w:val="000A7309"/>
    <w:rsid w:val="00133200"/>
    <w:rsid w:val="00246488"/>
    <w:rsid w:val="002C4AB9"/>
    <w:rsid w:val="003F6515"/>
    <w:rsid w:val="0042314F"/>
    <w:rsid w:val="00430828"/>
    <w:rsid w:val="00457EA7"/>
    <w:rsid w:val="004C3B5A"/>
    <w:rsid w:val="004F329D"/>
    <w:rsid w:val="005B43EC"/>
    <w:rsid w:val="00610484"/>
    <w:rsid w:val="00644E07"/>
    <w:rsid w:val="006F233C"/>
    <w:rsid w:val="00714D17"/>
    <w:rsid w:val="008E3F13"/>
    <w:rsid w:val="00A5478C"/>
    <w:rsid w:val="00BA4E54"/>
    <w:rsid w:val="00C1707E"/>
    <w:rsid w:val="00C54A89"/>
    <w:rsid w:val="00DD470F"/>
    <w:rsid w:val="00D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BD6FB"/>
  <w15:chartTrackingRefBased/>
  <w15:docId w15:val="{78C2F619-9E9A-4148-BC93-FCC58EC6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0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0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0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0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0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0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08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E3F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F13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F233C"/>
  </w:style>
  <w:style w:type="paragraph" w:styleId="Caption">
    <w:name w:val="caption"/>
    <w:basedOn w:val="Normal"/>
    <w:next w:val="Normal"/>
    <w:uiPriority w:val="35"/>
    <w:unhideWhenUsed/>
    <w:qFormat/>
    <w:rsid w:val="00DE4632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.docs.live.net/05595b49ad5cf9b8/Desktop/ksu/ccproj/Manuscripts/Biological_Invasions_2024/authors_comments/0000-0003-3614-7023" TargetMode="External"/><Relationship Id="rId13" Type="http://schemas.openxmlformats.org/officeDocument/2006/relationships/hyperlink" Target="mailto:keegan.eppin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.docs.live.net/05595b49ad5cf9b8/Desktop/ksu/ccproj/Manuscripts/Biological_Invasions_2024/authors_comments/0000-0002-1456-3563" TargetMode="External"/><Relationship Id="rId12" Type="http://schemas.openxmlformats.org/officeDocument/2006/relationships/hyperlink" Target="https://orcid.org/0000-0001-9730-223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4342-161X" TargetMode="External"/><Relationship Id="rId11" Type="http://schemas.openxmlformats.org/officeDocument/2006/relationships/hyperlink" Target="https://d.docs.live.net/05595b49ad5cf9b8/Desktop/ksu/ccproj/Manuscripts/Biological_Invasions_2024/authors_comments/0000-0002-3054-5314" TargetMode="External"/><Relationship Id="rId5" Type="http://schemas.openxmlformats.org/officeDocument/2006/relationships/hyperlink" Target="https://orcid.org/0009-0003-3522-845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.docs.live.net/05595b49ad5cf9b8/Desktop/ksu/ccproj/Manuscripts/Biological_Invasions_2024/authors_comments/0000-0002-3547-64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.docs.live.net/05595b49ad5cf9b8/Desktop/ksu/ccproj/Manuscripts/Biological_Invasions_2024/authors_comments/0009-0005-0742-5508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0A13-EA9F-4C62-BD86-C70DC90A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411</Words>
  <Characters>2347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Keegan Epping</dc:creator>
  <cp:keywords/>
  <dc:description/>
  <cp:lastModifiedBy>Keegan Epping</cp:lastModifiedBy>
  <cp:revision>2</cp:revision>
  <dcterms:created xsi:type="dcterms:W3CDTF">2025-09-01T21:02:00Z</dcterms:created>
  <dcterms:modified xsi:type="dcterms:W3CDTF">2025-09-01T21:02:00Z</dcterms:modified>
</cp:coreProperties>
</file>