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F0A03" w14:textId="77777777" w:rsidR="00AD6031" w:rsidRDefault="00AD6031" w:rsidP="00711FF1">
      <w:pPr>
        <w:pStyle w:val="Heading1"/>
        <w:rPr>
          <w:color w:val="auto"/>
          <w:spacing w:val="-10"/>
          <w:kern w:val="28"/>
          <w:sz w:val="56"/>
          <w:szCs w:val="56"/>
        </w:rPr>
      </w:pPr>
      <w:r w:rsidRPr="00AD6031">
        <w:rPr>
          <w:color w:val="auto"/>
          <w:spacing w:val="-10"/>
          <w:kern w:val="28"/>
          <w:sz w:val="56"/>
          <w:szCs w:val="56"/>
        </w:rPr>
        <w:t>Complexity of Resting Cortical Activity Predicts Neurophysiological Responses to Theta-Burst Stimulation but Fails to Generalize: A Rigorous Machine-Learning Approach.</w:t>
      </w:r>
    </w:p>
    <w:p w14:paraId="4500166B" w14:textId="77777777" w:rsidR="0080370B" w:rsidRDefault="000810FD" w:rsidP="00711FF1">
      <w:pPr>
        <w:pStyle w:val="Heading1"/>
      </w:pPr>
      <w:r>
        <w:t>Supplementary Methods &amp; Materials</w:t>
      </w:r>
    </w:p>
    <w:p w14:paraId="2F68CE21" w14:textId="77777777" w:rsidR="00CB253A" w:rsidRDefault="00CB253A" w:rsidP="00CB253A">
      <w:pPr>
        <w:pStyle w:val="Heading2"/>
      </w:pPr>
      <w:r>
        <w:t>Methods</w:t>
      </w:r>
    </w:p>
    <w:p w14:paraId="62B897DC" w14:textId="77777777" w:rsidR="00070D26" w:rsidRDefault="00070D26" w:rsidP="00070D26">
      <w:pPr>
        <w:pStyle w:val="Heading3"/>
      </w:pPr>
      <w:r>
        <w:t>MRI Scans</w:t>
      </w:r>
    </w:p>
    <w:p w14:paraId="5EA6C4E3" w14:textId="3AA81E37" w:rsidR="00070D26" w:rsidRDefault="00070D26">
      <w:r>
        <w:t>Before the TMS sessions, T1-weighted anatomical MRI scans for neuronavigation during the TMS sessions were taken from participants. The full details of the experimental design for the Cohort 1 can be found in</w:t>
      </w:r>
      <w:r w:rsidR="005024D4">
        <w:t xml:space="preserve"> </w:t>
      </w:r>
      <w:r w:rsidR="005024D4">
        <w:fldChar w:fldCharType="begin"/>
      </w:r>
      <w:r w:rsidR="005024D4">
        <w:instrText xml:space="preserve"> ADDIN ZOTERO_ITEM CSL_CITATION {"citationID":"gwhPQGmd","properties":{"formattedCitation":"[1]","plainCitation":"[1]","noteIndex":0},"citationItems":[{"id":285,"uris":["http://zotero.org/users/local/o47scW52/items/MYS4A8WK"],"uri":["http://zotero.org/users/local/o47scW52/items/MYS4A8WK"],"itemData":{"id":285,"type":"article-journal","title":"Reproducibility of cortical response modulation induced by intermittent and continuous theta-burst stimulation of the human motor cortex","container-title":"Brain Stimulation","page":"949-964","volume":"14","issue":"4","source":"PubMed","abstract":"BACKGROUND: Over the past decade, the number of experimental and clinical studies using theta-burst-stimulation (TBS) protocols of transcranial magnetic stimulation (TMS) to modulate brain activity has risen substantially. The use of TBS is motivated by the assumption that these protocols can reliably and lastingly modulate cortical excitability despite their short duration and low number of stimuli. However, this assumption, and thus the experimental validity of studies using TBS, is challenged by recent work showing large inter- and intra-subject variability in response to TBS protocols.\nOBJECTIVES: To date, the reproducibility of TBS effects in humans has been exclusively assessed with motor evoked potentials (MEPs), which provide an indirect and limited measure of cortical excitability. Here we combined TMS with electroencephalography (TMS-EEG) and report the first comprehensive investigation of (1) direct TMS-evoked cortical responses to intermittent (iTBS) and continuous TBS (cTBS) of the human motor cortex, and (2) reproducibility of both iTBS- and cTBS-induced cortical response modulation against a robust sham control across repeat visits with commonly used cortical responsivity metrics.\nRESULTS: We show that although single pulse TMS generates stable and reproducible cortical responses across visits, the modulatory effects of TBS vary substantially both between and within individuals. Overall, at the group level, most measures of the iTBS and cTBS-induced effects were not significantly different from sham-TBS. Most importantly, none of the significant TBS-induced effects observed in visit-1 were reproduced in visit-2.\nCONCLUSIONS: Our findings suggest that the generally accepted mechanisms of TBS-induced neuromodulation, i.e. through changes in cortical excitability, may not be accurate. Future research is needed to determine the mechanisms underlying the established therapeutic effects of TBS in neuropsychiatry and examine reproducibility of TBS-induced neuromodulation through oscillatory response dynamics.","DOI":"10.1016/j.brs.2021.05.013","ISSN":"1876-4754","note":"PMID: 34126233\nPMCID: PMC8565400","journalAbbreviation":"Brain Stimul","language":"eng","author":[{"family":"Ozdemir","given":"Recep A."},{"family":"Boucher","given":"Pierre"},{"family":"Fried","given":"Peter J."},{"family":"Momi","given":"Davide"},{"family":"Jannati","given":"Ali"},{"family":"Pascual-Leone","given":"Alvaro"},{"family":"Santarnecchi","given":"Emiliano"},{"family":"Shafi","given":"Mouhsin M."}],"issued":{"date-parts":[["2021"]]}}}],"schema":"https://github.com/citation-style-language/schema/raw/master/csl-citation.json"} </w:instrText>
      </w:r>
      <w:r w:rsidR="005024D4">
        <w:fldChar w:fldCharType="separate"/>
      </w:r>
      <w:r w:rsidR="005024D4" w:rsidRPr="005024D4">
        <w:rPr>
          <w:rFonts w:ascii="Calibri" w:hAnsi="Calibri" w:cs="Calibri"/>
        </w:rPr>
        <w:t>[1]</w:t>
      </w:r>
      <w:r w:rsidR="005024D4">
        <w:fldChar w:fldCharType="end"/>
      </w:r>
      <w:bookmarkStart w:id="0" w:name="_GoBack"/>
      <w:bookmarkEnd w:id="0"/>
      <w:r>
        <w:t>.</w:t>
      </w:r>
    </w:p>
    <w:p w14:paraId="3EDC1CDF" w14:textId="77777777" w:rsidR="007A62A8" w:rsidRDefault="007A62A8" w:rsidP="007A62A8">
      <w:pPr>
        <w:pStyle w:val="Heading3"/>
      </w:pPr>
      <w:r>
        <w:t>Motor Hotspot</w:t>
      </w:r>
    </w:p>
    <w:p w14:paraId="1D4C59C6" w14:textId="7EB24F55" w:rsidR="000810FD" w:rsidRDefault="00BE6FF5" w:rsidP="00C9658A">
      <w:r>
        <w:t>The following text is copied from</w:t>
      </w:r>
      <w:r w:rsidR="005024D4">
        <w:t xml:space="preserve"> </w:t>
      </w:r>
      <w:r w:rsidR="005024D4">
        <w:fldChar w:fldCharType="begin"/>
      </w:r>
      <w:r w:rsidR="005024D4">
        <w:instrText xml:space="preserve"> ADDIN ZOTERO_ITEM CSL_CITATION {"citationID":"vOLlJFOJ","properties":{"formattedCitation":"[1]","plainCitation":"[1]","noteIndex":0},"citationItems":[{"id":285,"uris":["http://zotero.org/users/local/o47scW52/items/MYS4A8WK"],"uri":["http://zotero.org/users/local/o47scW52/items/MYS4A8WK"],"itemData":{"id":285,"type":"article-journal","title":"Reproducibility of cortical response modulation induced by intermittent and continuous theta-burst stimulation of the human motor cortex","container-title":"Brain Stimulation","page":"949-964","volume":"14","issue":"4","source":"PubMed","abstract":"BACKGROUND: Over the past decade, the number of experimental and clinical studies using theta-burst-stimulation (TBS) protocols of transcranial magnetic stimulation (TMS) to modulate brain activity has risen substantially. The use of TBS is motivated by the assumption that these protocols can reliably and lastingly modulate cortical excitability despite their short duration and low number of stimuli. However, this assumption, and thus the experimental validity of studies using TBS, is challenged by recent work showing large inter- and intra-subject variability in response to TBS protocols.\nOBJECTIVES: To date, the reproducibility of TBS effects in humans has been exclusively assessed with motor evoked potentials (MEPs), which provide an indirect and limited measure of cortical excitability. Here we combined TMS with electroencephalography (TMS-EEG) and report the first comprehensive investigation of (1) direct TMS-evoked cortical responses to intermittent (iTBS) and continuous TBS (cTBS) of the human motor cortex, and (2) reproducibility of both iTBS- and cTBS-induced cortical response modulation against a robust sham control across repeat visits with commonly used cortical responsivity metrics.\nRESULTS: We show that although single pulse TMS generates stable and reproducible cortical responses across visits, the modulatory effects of TBS vary substantially both between and within individuals. Overall, at the group level, most measures of the iTBS and cTBS-induced effects were not significantly different from sham-TBS. Most importantly, none of the significant TBS-induced effects observed in visit-1 were reproduced in visit-2.\nCONCLUSIONS: Our findings suggest that the generally accepted mechanisms of TBS-induced neuromodulation, i.e. through changes in cortical excitability, may not be accurate. Future research is needed to determine the mechanisms underlying the established therapeutic effects of TBS in neuropsychiatry and examine reproducibility of TBS-induced neuromodulation through oscillatory response dynamics.","DOI":"10.1016/j.brs.2021.05.013","ISSN":"1876-4754","note":"PMID: 34126233\nPMCID: PMC8565400","journalAbbreviation":"Brain Stimul","language":"eng","author":[{"family":"Ozdemir","given":"Recep A."},{"family":"Boucher","given":"Pierre"},{"family":"Fried","given":"Peter J."},{"family":"Momi","given":"Davide"},{"family":"Jannati","given":"Ali"},{"family":"Pascual-Leone","given":"Alvaro"},{"family":"Santarnecchi","given":"Emiliano"},{"family":"Shafi","given":"Mouhsin M."}],"issued":{"date-parts":[["2021"]]}}}],"schema":"https://github.com/citation-style-language/schema/raw/master/csl-citation.json"} </w:instrText>
      </w:r>
      <w:r w:rsidR="005024D4">
        <w:fldChar w:fldCharType="separate"/>
      </w:r>
      <w:r w:rsidR="005024D4" w:rsidRPr="005024D4">
        <w:rPr>
          <w:rFonts w:ascii="Calibri" w:hAnsi="Calibri" w:cs="Calibri"/>
        </w:rPr>
        <w:t>[1]</w:t>
      </w:r>
      <w:r w:rsidR="005024D4">
        <w:fldChar w:fldCharType="end"/>
      </w:r>
      <w:r>
        <w:t>.</w:t>
      </w:r>
      <w:r w:rsidR="000810FD">
        <w:t xml:space="preserve"> </w:t>
      </w:r>
      <w:r w:rsidR="00FF72DE">
        <w:t>“</w:t>
      </w:r>
      <w:r w:rsidR="000810FD">
        <w:t xml:space="preserve">At the beginning of each session, the motor hotspot was determined over the hand region of the left motor cortex for eliciting motor-evoked potentials in the right FDI muscle. </w:t>
      </w:r>
      <w:r w:rsidR="00323B07">
        <w:t>The hotspot was defined as the region where single-pulse TMS elicited consistent MEPs in the FDI muscle. Following International Federation of Clinical Neurophysiology (IFCN) guidelines, resting motor threshold (RMT) was determined on the FDI hotspot as the minimum stimulation intensity eliciting at least five MEPs (</w:t>
      </w:r>
      <w:r w:rsidR="00C9658A">
        <w:rPr>
          <w:rFonts w:cstheme="minorHAnsi"/>
        </w:rPr>
        <w:t>≥</w:t>
      </w:r>
      <w:r w:rsidR="00323B07">
        <w:t>50 mV) out of ten pulses in the relaxed FDI using monophasic (posterior-anterior in the brain) current waveforms. In compliance with the IFCN safety recommendations, participants were asked to wear earplugs during hotspot and RMT trials to protect their hearing, and to</w:t>
      </w:r>
      <w:r w:rsidR="00FF72DE">
        <w:t xml:space="preserve"> minimize external noise</w:t>
      </w:r>
      <w:r w:rsidR="00323B07">
        <w:t>. Active motor threshold was determined by again asking participants to flex their right index finger to engage the FDI muscle to approximately 20% of maximum voluntary contraction (MVC) and determined at the lowes</w:t>
      </w:r>
      <w:r w:rsidR="00FF72DE">
        <w:t xml:space="preserve">t intensity to produce MEPs of </w:t>
      </w:r>
      <w:r w:rsidR="00C9658A">
        <w:rPr>
          <w:rFonts w:cstheme="minorHAnsi"/>
        </w:rPr>
        <w:t>≥</w:t>
      </w:r>
      <w:r w:rsidR="00323B07">
        <w:t>200mv at least 5/10 times.</w:t>
      </w:r>
      <w:r w:rsidR="00C9658A">
        <w:t xml:space="preserve"> TMS was administered with a thin layer of foam placed under the coil to minimize somatosensory contributions to TEPs. To minimize auditory evoked potentials related to the TMS coil click, auditory white noise masking was used throughout the TMS stimulation.</w:t>
      </w:r>
      <w:r w:rsidR="00FF72DE">
        <w:t>”</w:t>
      </w:r>
    </w:p>
    <w:p w14:paraId="151CD4B4" w14:textId="77777777" w:rsidR="00152733" w:rsidRDefault="00152733" w:rsidP="00152733">
      <w:pPr>
        <w:pStyle w:val="Heading3"/>
      </w:pPr>
      <w:r>
        <w:t>TBS Procedures</w:t>
      </w:r>
    </w:p>
    <w:p w14:paraId="0E18B3B8" w14:textId="6366940E" w:rsidR="00152733" w:rsidRDefault="00152733" w:rsidP="00152733">
      <w:r>
        <w:t>The following text is copied from</w:t>
      </w:r>
      <w:r w:rsidR="005024D4">
        <w:t xml:space="preserve"> </w:t>
      </w:r>
      <w:r w:rsidR="005024D4">
        <w:fldChar w:fldCharType="begin"/>
      </w:r>
      <w:r w:rsidR="005024D4">
        <w:instrText xml:space="preserve"> ADDIN ZOTERO_ITEM CSL_CITATION {"citationID":"Nc1h5Z0o","properties":{"formattedCitation":"[1]","plainCitation":"[1]","noteIndex":0},"citationItems":[{"id":285,"uris":["http://zotero.org/users/local/o47scW52/items/MYS4A8WK"],"uri":["http://zotero.org/users/local/o47scW52/items/MYS4A8WK"],"itemData":{"id":285,"type":"article-journal","title":"Reproducibility of cortical response modulation induced by intermittent and continuous theta-burst stimulation of the human motor cortex","container-title":"Brain Stimulation","page":"949-964","volume":"14","issue":"4","source":"PubMed","abstract":"BACKGROUND: Over the past decade, the number of experimental and clinical studies using theta-burst-stimulation (TBS) protocols of transcranial magnetic stimulation (TMS) to modulate brain activity has risen substantially. The use of TBS is motivated by the assumption that these protocols can reliably and lastingly modulate cortical excitability despite their short duration and low number of stimuli. However, this assumption, and thus the experimental validity of studies using TBS, is challenged by recent work showing large inter- and intra-subject variability in response to TBS protocols.\nOBJECTIVES: To date, the reproducibility of TBS effects in humans has been exclusively assessed with motor evoked potentials (MEPs), which provide an indirect and limited measure of cortical excitability. Here we combined TMS with electroencephalography (TMS-EEG) and report the first comprehensive investigation of (1) direct TMS-evoked cortical responses to intermittent (iTBS) and continuous TBS (cTBS) of the human motor cortex, and (2) reproducibility of both iTBS- and cTBS-induced cortical response modulation against a robust sham control across repeat visits with commonly used cortical responsivity metrics.\nRESULTS: We show that although single pulse TMS generates stable and reproducible cortical responses across visits, the modulatory effects of TBS vary substantially both between and within individuals. Overall, at the group level, most measures of the iTBS and cTBS-induced effects were not significantly different from sham-TBS. Most importantly, none of the significant TBS-induced effects observed in visit-1 were reproduced in visit-2.\nCONCLUSIONS: Our findings suggest that the generally accepted mechanisms of TBS-induced neuromodulation, i.e. through changes in cortical excitability, may not be accurate. Future research is needed to determine the mechanisms underlying the established therapeutic effects of TBS in neuropsychiatry and examine reproducibility of TBS-induced neuromodulation through oscillatory response dynamics.","DOI":"10.1016/j.brs.2021.05.013","ISSN":"1876-4754","note":"PMID: 34126233\nPMCID: PMC8565400","journalAbbreviation":"Brain Stimul","language":"eng","author":[{"family":"Ozdemir","given":"Recep A."},{"family":"Boucher","given":"Pierre"},{"family":"Fried","given":"Peter J."},{"family":"Momi","given":"Davide"},{"family":"Jannati","given":"Ali"},{"family":"Pascual-Leone","given":"Alvaro"},{"family":"Santarnecchi","given":"Emiliano"},{"family":"Shafi","given":"Mouhsin M."}],"issued":{"date-parts":[["2021"]]}}}],"schema":"https://github.com/citation-style-language/schema/raw/master/csl-citation.json"} </w:instrText>
      </w:r>
      <w:r w:rsidR="005024D4">
        <w:fldChar w:fldCharType="separate"/>
      </w:r>
      <w:r w:rsidR="005024D4" w:rsidRPr="005024D4">
        <w:rPr>
          <w:rFonts w:ascii="Calibri" w:hAnsi="Calibri" w:cs="Calibri"/>
        </w:rPr>
        <w:t>[1]</w:t>
      </w:r>
      <w:r w:rsidR="005024D4">
        <w:fldChar w:fldCharType="end"/>
      </w:r>
      <w:r>
        <w:t>.</w:t>
      </w:r>
      <w:r w:rsidR="00E52E65">
        <w:t xml:space="preserve"> “</w:t>
      </w:r>
      <w:r>
        <w:t xml:space="preserve">Participants were randomly assigned to receive either sham using either the </w:t>
      </w:r>
      <w:proofErr w:type="spellStart"/>
      <w:r>
        <w:t>cTBS</w:t>
      </w:r>
      <w:proofErr w:type="spellEnd"/>
      <w:r>
        <w:t xml:space="preserve"> or iTBS pattern, which was maintained across both sham visits. Sham </w:t>
      </w:r>
      <w:proofErr w:type="spellStart"/>
      <w:r>
        <w:t>cTBS</w:t>
      </w:r>
      <w:proofErr w:type="spellEnd"/>
      <w:r>
        <w:t xml:space="preserve"> and iTBS protocols were administered on the motor hot spot from the placebo side of the Cool-B65 A/P coil with a 3D printed 3 cm spacer additionally attached to the placebo side (MagVenture A/S, Farum, Denmark). Both active and sham-TBS protocols also included delivery of weak current pulses (between 2 and 4 mA and proportional to the intensity of actual TMS pulse) via surface electrodes (</w:t>
      </w:r>
      <w:proofErr w:type="spellStart"/>
      <w:r>
        <w:t>Ambu</w:t>
      </w:r>
      <w:proofErr w:type="spellEnd"/>
      <w:r>
        <w:t xml:space="preserve"> </w:t>
      </w:r>
      <w:proofErr w:type="spellStart"/>
      <w:r>
        <w:t>Neuroline</w:t>
      </w:r>
      <w:proofErr w:type="spellEnd"/>
      <w:r>
        <w:t xml:space="preserve"> 715 </w:t>
      </w:r>
      <w:r>
        <w:lastRenderedPageBreak/>
        <w:t>12/Pouch) placed approximately 1 cm below the inion bump and synchronized with the TBS trains to produce scalp sensations during both active and sham TBS conditions. This was done with the intention of blinding participants as to what kind of stimulation they were receiving when the direct somatosensory sensations of active TBS were not present during the sham stimulation.</w:t>
      </w:r>
      <w:r w:rsidR="00E52E65">
        <w:t>”</w:t>
      </w:r>
    </w:p>
    <w:p w14:paraId="64B34167" w14:textId="77777777" w:rsidR="00BE2A7E" w:rsidRDefault="00BE2A7E" w:rsidP="00BE2A7E">
      <w:pPr>
        <w:pStyle w:val="Heading3"/>
      </w:pPr>
      <w:proofErr w:type="spellStart"/>
      <w:r>
        <w:t>rsEEG</w:t>
      </w:r>
      <w:proofErr w:type="spellEnd"/>
      <w:r>
        <w:t xml:space="preserve"> Preprocessing</w:t>
      </w:r>
    </w:p>
    <w:p w14:paraId="4BE10906" w14:textId="77777777" w:rsidR="00BE2A7E" w:rsidRDefault="00BE2A7E" w:rsidP="00BE2A7E">
      <w:r>
        <w:t>I</w:t>
      </w:r>
      <w:r w:rsidRPr="00A667DD">
        <w:t xml:space="preserve">n both data sets, </w:t>
      </w:r>
      <w:proofErr w:type="spellStart"/>
      <w:r>
        <w:t>rs</w:t>
      </w:r>
      <w:r w:rsidRPr="00A667DD">
        <w:t>EEG</w:t>
      </w:r>
      <w:proofErr w:type="spellEnd"/>
      <w:r w:rsidRPr="00A667DD">
        <w:t xml:space="preserve"> </w:t>
      </w:r>
      <w:r>
        <w:t>were first down-sampled to 25</w:t>
      </w:r>
      <w:r w:rsidRPr="00A667DD">
        <w:t>0 Hz. In order, notch (band stop frequency 57-63 Hz, 4th total orde</w:t>
      </w:r>
      <w:r>
        <w:t>r forward-backward Butterworth) and</w:t>
      </w:r>
      <w:r w:rsidRPr="00A667DD">
        <w:t xml:space="preserve"> high-pass (1 Hz high pass frequency, 4th total order forward-backward Butterworth) filters were applied. EEG channels contaminated by artifacts were manually identified and removed (Number of rejected channels reported a</w:t>
      </w:r>
      <w:r>
        <w:t>s average ± SD. Cohort 1: 0.16 ± 0.44, Cohort 2: 0.64 ± 0.90</w:t>
      </w:r>
      <w:r w:rsidRPr="00A667DD">
        <w:t>. Number of remaining channels repor</w:t>
      </w:r>
      <w:r>
        <w:t xml:space="preserve">ted as average ± SD. Cohort 1: 58.84 ± 0.44, Cohort 2: 58.36 ± 0.90). A copy of continuous </w:t>
      </w:r>
      <w:proofErr w:type="spellStart"/>
      <w:r>
        <w:t>rsEEG</w:t>
      </w:r>
      <w:proofErr w:type="spellEnd"/>
      <w:r>
        <w:t xml:space="preserve"> at this step (after channel rejection but before epoch rejection) was saved for later. Then, continuous </w:t>
      </w:r>
      <w:proofErr w:type="spellStart"/>
      <w:r>
        <w:t>rsEEG</w:t>
      </w:r>
      <w:proofErr w:type="spellEnd"/>
      <w:r>
        <w:t xml:space="preserve"> was divided into 10</w:t>
      </w:r>
      <w:r w:rsidRPr="00A667DD">
        <w:t xml:space="preserve">-second epochs, visually inspected and bad epochs were manually </w:t>
      </w:r>
      <w:r>
        <w:t xml:space="preserve">recorded and </w:t>
      </w:r>
      <w:r w:rsidRPr="00A667DD">
        <w:t>removed. Number of rejected epochs are repo</w:t>
      </w:r>
      <w:r>
        <w:t>rted as average ± SD. Cohort 1: 1.70 ± 2.41, Cohort 2: 3.71 ± 2.61</w:t>
      </w:r>
      <w:r w:rsidRPr="00A667DD">
        <w:t>. Number of remaining epochs are repor</w:t>
      </w:r>
      <w:r>
        <w:t>ted as average ± SD. Cohort 1: 13.41 ± 2.60, Cohort 2: 12.77</w:t>
      </w:r>
      <w:r w:rsidRPr="00A667DD">
        <w:t xml:space="preserve"> ± </w:t>
      </w:r>
      <w:r>
        <w:t>3.26. After that, EEG epochs</w:t>
      </w:r>
      <w:r w:rsidRPr="00A667DD">
        <w:t xml:space="preserve"> were re-referenced to common average reference. Fast independent component analysis (fICA v2.5, http://research.ics.aalto.fi/ica/fastica/) EEGLAB plugin was used to compute independent components (ICs). Non-brain ICs that represented blink/eye movement, electromyographic activity, single electrode noise, or cardiac beats artifacts were manually identified based on their power spectrum, amplitude, scalp topography, and time course using TMS-EEG Signal </w:t>
      </w:r>
      <w:proofErr w:type="spellStart"/>
      <w:r w:rsidRPr="00A667DD">
        <w:t>Analyser</w:t>
      </w:r>
      <w:proofErr w:type="spellEnd"/>
      <w:r w:rsidRPr="00A667DD">
        <w:t xml:space="preserve"> (TESA v1.1.1, http://nigelrogasch.github</w:t>
      </w:r>
      <w:r>
        <w:t>.io/TESA)</w:t>
      </w:r>
      <w:r w:rsidRPr="00A667DD">
        <w:t xml:space="preserve"> EEGLAB toolbox (</w:t>
      </w:r>
      <w:r>
        <w:t>Cohort 1</w:t>
      </w:r>
      <w:r w:rsidRPr="00A667DD">
        <w:t xml:space="preserve">: Total </w:t>
      </w:r>
      <w:r>
        <w:t>number of analyzed ICs – 59</w:t>
      </w:r>
      <w:r w:rsidRPr="00A667DD">
        <w:t>, average ±SD rejecte</w:t>
      </w:r>
      <w:r>
        <w:t>d ICs = 28.38 ± 5.92</w:t>
      </w:r>
      <w:r w:rsidRPr="00A667DD">
        <w:t xml:space="preserve">; total </w:t>
      </w:r>
      <w:r>
        <w:t>average ± SD remaining ICs = 29.73 ± 6.56</w:t>
      </w:r>
      <w:r w:rsidRPr="00A667DD">
        <w:t xml:space="preserve">. </w:t>
      </w:r>
      <w:r>
        <w:t>Cohort 2</w:t>
      </w:r>
      <w:r w:rsidRPr="00A667DD">
        <w:t>: T</w:t>
      </w:r>
      <w:r>
        <w:t>otal number of analyzed ICs – 59, average ± SD rejected ICs = 28.71 ± 5.11</w:t>
      </w:r>
      <w:r w:rsidRPr="00A667DD">
        <w:t xml:space="preserve">; total </w:t>
      </w:r>
      <w:r>
        <w:t>average ± SD remaining ICs = 28.67 ± 4.96</w:t>
      </w:r>
      <w:r w:rsidRPr="00A667DD">
        <w:t xml:space="preserve">). </w:t>
      </w:r>
      <w:r>
        <w:t xml:space="preserve">The ICA weights obtained were then applied to continuous </w:t>
      </w:r>
      <w:proofErr w:type="spellStart"/>
      <w:r>
        <w:t>rsEEG</w:t>
      </w:r>
      <w:proofErr w:type="spellEnd"/>
      <w:r>
        <w:t xml:space="preserve"> saved before. </w:t>
      </w:r>
      <w:r w:rsidRPr="00A667DD">
        <w:t xml:space="preserve">Channels rejected during the previous steps were interpolated using spherical interpolation. </w:t>
      </w:r>
      <w:r>
        <w:t xml:space="preserve">Next, continuous </w:t>
      </w:r>
      <w:proofErr w:type="spellStart"/>
      <w:r>
        <w:t>rsEEG</w:t>
      </w:r>
      <w:proofErr w:type="spellEnd"/>
      <w:r>
        <w:t xml:space="preserve"> was band-pass filtered with [1, 40] Hz as the passband edge frequencies (4</w:t>
      </w:r>
      <w:r w:rsidRPr="005B5594">
        <w:rPr>
          <w:vertAlign w:val="superscript"/>
        </w:rPr>
        <w:t>th</w:t>
      </w:r>
      <w:r>
        <w:t xml:space="preserve"> total order forward-backward Butterworth). Finally, the continuous </w:t>
      </w:r>
      <w:proofErr w:type="spellStart"/>
      <w:r>
        <w:t>rsEEG</w:t>
      </w:r>
      <w:proofErr w:type="spellEnd"/>
      <w:r>
        <w:t xml:space="preserve"> was divided into 10-second epochs and epochs rejected in previous step were also rejected in this step.</w:t>
      </w:r>
    </w:p>
    <w:p w14:paraId="132407A5" w14:textId="77777777" w:rsidR="00BE2A7E" w:rsidRDefault="00BE2A7E" w:rsidP="00BE2A7E">
      <w:pPr>
        <w:pStyle w:val="Heading3"/>
      </w:pPr>
      <w:r>
        <w:t>MEP Preprocessing</w:t>
      </w:r>
    </w:p>
    <w:p w14:paraId="6845FDF6" w14:textId="77777777" w:rsidR="00BE2A7E" w:rsidRDefault="00BE2A7E" w:rsidP="00BE2A7E">
      <w:r>
        <w:t>For both studies, monopolar EMG data from the belly and tendon of the right hand’s first dorsal interosseous (FDI) muscle was acquired with surface electrode pairs (made of Ag-AgCl) with the ground electrode located on the right ulnar styloid. These EMG data was digitized at a sampling rate of 5 kHz by the amplifier system (</w:t>
      </w:r>
      <w:proofErr w:type="spellStart"/>
      <w:r>
        <w:t>BrainVision</w:t>
      </w:r>
      <w:proofErr w:type="spellEnd"/>
      <w:r>
        <w:t xml:space="preserve"> </w:t>
      </w:r>
      <w:proofErr w:type="spellStart"/>
      <w:r>
        <w:t>actiCHamp</w:t>
      </w:r>
      <w:proofErr w:type="spellEnd"/>
      <w:r>
        <w:t xml:space="preserve"> system, Brain Products GmbH) and </w:t>
      </w:r>
      <w:proofErr w:type="spellStart"/>
      <w:r>
        <w:t>BrainVision</w:t>
      </w:r>
      <w:proofErr w:type="spellEnd"/>
      <w:r>
        <w:t xml:space="preserve"> Recorder software (Software Version 1.20.0601, Brain Products GmbH). Epochs were extracted with a 150ms window extending 50ms before and 100ms after the spTMS.</w:t>
      </w:r>
    </w:p>
    <w:p w14:paraId="602CA8F9" w14:textId="77777777" w:rsidR="00BE2A7E" w:rsidRDefault="00BE2A7E" w:rsidP="00BE2A7E">
      <w:r>
        <w:t>EMG data was preprocessed offline using custom MATLAB script (MATLAB R2022b, Math-Works Inc., USA). EMG data was first band-pass filtered (10-2000 Hz). Then, for each epoch, baseline correction was applied (by subtracting the mean of -50 to -5 ms window relative to spTMS from the entire EMG epoch). Next, root mean square (RMS) of EMG signal was computed using -20 to 13 ms window relative to spTMS (excluding -2 to 2 ms period to exclude any TMS artifacts). Epochs with RMS 2.5 standard deviation above the mean RMS of the entire block were excluded from further analysis. The peak-to-peak amplitude of MEP was computed for the remaining epochs using the 18 to 50 ms window.</w:t>
      </w:r>
    </w:p>
    <w:p w14:paraId="2C5B33CC" w14:textId="77777777" w:rsidR="00BE2A7E" w:rsidRDefault="00BE2A7E" w:rsidP="00BE2A7E">
      <w:pPr>
        <w:pStyle w:val="Heading3"/>
      </w:pPr>
      <w:r>
        <w:lastRenderedPageBreak/>
        <w:t>TMS-EEG Preprocessing</w:t>
      </w:r>
    </w:p>
    <w:p w14:paraId="41DEDCB2" w14:textId="292A8CCE" w:rsidR="00DD3873" w:rsidRPr="00873EDA" w:rsidRDefault="00BE2A7E" w:rsidP="00DD3873">
      <w:r w:rsidRPr="00873EDA">
        <w:t xml:space="preserve">Users can refer to </w:t>
      </w:r>
      <w:r w:rsidR="00873EDA" w:rsidRPr="00873EDA">
        <w:fldChar w:fldCharType="begin"/>
      </w:r>
      <w:r w:rsidR="00873EDA" w:rsidRPr="00873EDA">
        <w:instrText xml:space="preserve"> ADDIN ZOTERO_ITEM CSL_CITATION {"citationID":"Es9MxlBR","properties":{"formattedCitation":"[1]","plainCitation":"[1]","noteIndex":0},"citationItems":[{"id":285,"uris":["http://zotero.org/users/local/o47scW52/items/MYS4A8WK"],"uri":["http://zotero.org/users/local/o47scW52/items/MYS4A8WK"],"itemData":{"id":285,"type":"article-journal","title":"Reproducibility of cortical response modulation induced by intermittent and continuous theta-burst stimulation of the human motor cortex","container-title":"Brain Stimulation","page":"949-964","volume":"14","issue":"4","source":"PubMed","abstract":"BACKGROUND: Over the past decade, the number of experimental and clinical studies using theta-burst-stimulation (TBS) protocols of transcranial magnetic stimulation (TMS) to modulate brain activity has risen substantially. The use of TBS is motivated by the assumption that these protocols can reliably and lastingly modulate cortical excitability despite their short duration and low number of stimuli. However, this assumption, and thus the experimental validity of studies using TBS, is challenged by recent work showing large inter- and intra-subject variability in response to TBS protocols.\nOBJECTIVES: To date, the reproducibility of TBS effects in humans has been exclusively assessed with motor evoked potentials (MEPs), which provide an indirect and limited measure of cortical excitability. Here we combined TMS with electroencephalography (TMS-EEG) and report the first comprehensive investigation of (1) direct TMS-evoked cortical responses to intermittent (iTBS) and continuous TBS (cTBS) of the human motor cortex, and (2) reproducibility of both iTBS- and cTBS-induced cortical response modulation against a robust sham control across repeat visits with commonly used cortical responsivity metrics.\nRESULTS: We show that although single pulse TMS generates stable and reproducible cortical responses across visits, the modulatory effects of TBS vary substantially both between and within individuals. Overall, at the group level, most measures of the iTBS and cTBS-induced effects were not significantly different from sham-TBS. Most importantly, none of the significant TBS-induced effects observed in visit-1 were reproduced in visit-2.\nCONCLUSIONS: Our findings suggest that the generally accepted mechanisms of TBS-induced neuromodulation, i.e. through changes in cortical excitability, may not be accurate. Future research is needed to determine the mechanisms underlying the established therapeutic effects of TBS in neuropsychiatry and examine reproducibility of TBS-induced neuromodulation through oscillatory response dynamics.","DOI":"10.1016/j.brs.2021.05.013","ISSN":"1876-4754","note":"PMID: 34126233\nPMCID: PMC8565400","journalAbbreviation":"Brain Stimul","language":"eng","author":[{"family":"Ozdemir","given":"Recep A."},{"family":"Boucher","given":"Pierre"},{"family":"Fried","given":"Peter J."},{"family":"Momi","given":"Davide"},{"family":"Jannati","given":"Ali"},{"family":"Pascual-Leone","given":"Alvaro"},{"family":"Santarnecchi","given":"Emiliano"},{"family":"Shafi","given":"Mouhsin M."}],"issued":{"date-parts":[["2021"]]}}}],"schema":"https://github.com/citation-style-language/schema/raw/master/csl-citation.json"} </w:instrText>
      </w:r>
      <w:r w:rsidR="00873EDA" w:rsidRPr="00873EDA">
        <w:fldChar w:fldCharType="separate"/>
      </w:r>
      <w:r w:rsidR="00873EDA" w:rsidRPr="00873EDA">
        <w:rPr>
          <w:rFonts w:ascii="Calibri" w:hAnsi="Calibri" w:cs="Calibri"/>
        </w:rPr>
        <w:t>[1]</w:t>
      </w:r>
      <w:r w:rsidR="00873EDA" w:rsidRPr="00873EDA">
        <w:fldChar w:fldCharType="end"/>
      </w:r>
      <w:r w:rsidRPr="00873EDA">
        <w:t xml:space="preserve"> for the full details of TMS-EEG preprocessing. TMS-EEG data was preprocessed offline using custom MATLAB script (MATLAB R2017b and MATLAB R2021a, Math-Works Inc., USA). All trials were segmented into 3000 ms epochs, extending 1000 ms before and 2000 ms after spTMS. Baseline correction was applied as followed: the mean of the -900 to -100 ms window (relative to spTMS) was subtracted from the entire epoch in each channel. Next, epochs were visually inspected and noisy channels identified and removed</w:t>
      </w:r>
      <w:r w:rsidR="00554DFA" w:rsidRPr="00873EDA">
        <w:t xml:space="preserve"> (number of rejected channels reported as average ± SD. Cohort 1: 2.5 ± 1.5</w:t>
      </w:r>
      <w:r w:rsidR="005C4470" w:rsidRPr="00873EDA">
        <w:t>, range 0-4 out of 63</w:t>
      </w:r>
      <w:r w:rsidR="00554DFA" w:rsidRPr="00873EDA">
        <w:t>, Cohort 2:</w:t>
      </w:r>
      <w:r w:rsidR="001706F5" w:rsidRPr="00873EDA">
        <w:t xml:space="preserve"> 3.9</w:t>
      </w:r>
      <w:r w:rsidR="00554DFA" w:rsidRPr="00873EDA">
        <w:t xml:space="preserve"> ±</w:t>
      </w:r>
      <w:r w:rsidR="001706F5" w:rsidRPr="00873EDA">
        <w:t xml:space="preserve"> 3.3</w:t>
      </w:r>
      <w:r w:rsidR="00026EAD" w:rsidRPr="00873EDA">
        <w:t xml:space="preserve">, range </w:t>
      </w:r>
      <w:r w:rsidR="001706F5" w:rsidRPr="00873EDA">
        <w:t>0-14</w:t>
      </w:r>
      <w:r w:rsidR="00026EAD" w:rsidRPr="00873EDA">
        <w:t xml:space="preserve"> out of </w:t>
      </w:r>
      <w:r w:rsidR="001706F5" w:rsidRPr="00873EDA">
        <w:t>63</w:t>
      </w:r>
      <w:r w:rsidR="00554DFA" w:rsidRPr="00873EDA">
        <w:t>)</w:t>
      </w:r>
      <w:r w:rsidRPr="00873EDA">
        <w:t>. Zero-padding was applied to the -2 to 14 ms window to remove early TMS pulse artifact. Thereafter, voltage statistics including amplitude (</w:t>
      </w:r>
      <w:r w:rsidRPr="00873EDA">
        <w:rPr>
          <w:rFonts w:cstheme="minorHAnsi"/>
        </w:rPr>
        <w:t>≥</w:t>
      </w:r>
      <w:r w:rsidRPr="00873EDA">
        <w:t xml:space="preserve">100 </w:t>
      </w:r>
      <w:r w:rsidRPr="00873EDA">
        <w:rPr>
          <w:rFonts w:cstheme="minorHAnsi"/>
        </w:rPr>
        <w:t>μ</w:t>
      </w:r>
      <w:r w:rsidRPr="00873EDA">
        <w:t>V), kurtosis (</w:t>
      </w:r>
      <w:r w:rsidRPr="00873EDA">
        <w:rPr>
          <w:rFonts w:cstheme="minorHAnsi"/>
        </w:rPr>
        <w:t>≥</w:t>
      </w:r>
      <w:r w:rsidRPr="00873EDA">
        <w:t xml:space="preserve">3) and joint probability (single-channel-based threshold </w:t>
      </w:r>
      <w:r w:rsidRPr="00873EDA">
        <w:rPr>
          <w:rFonts w:cstheme="minorHAnsi"/>
        </w:rPr>
        <w:t>≥</w:t>
      </w:r>
      <w:r w:rsidRPr="00873EDA">
        <w:t xml:space="preserve"> 3.5 SD; all-channel-based threshold </w:t>
      </w:r>
      <w:r w:rsidRPr="00873EDA">
        <w:rPr>
          <w:rFonts w:cstheme="minorHAnsi"/>
        </w:rPr>
        <w:t>≥</w:t>
      </w:r>
      <w:r w:rsidRPr="00873EDA">
        <w:t xml:space="preserve"> 5 SD) were computed to automatically identify noisy epochs before a manual review for removing noisy epochs. </w:t>
      </w:r>
      <w:r w:rsidR="005C4470" w:rsidRPr="00873EDA">
        <w:t>(Number of rejected epochs are reported as average ± SD. Cohort 1: 18 ± 6</w:t>
      </w:r>
      <w:r w:rsidR="00026EAD" w:rsidRPr="00873EDA">
        <w:t>, range 2-39 out of 120</w:t>
      </w:r>
      <w:r w:rsidR="005C4470" w:rsidRPr="00873EDA">
        <w:t xml:space="preserve">, Cohort 2: </w:t>
      </w:r>
      <w:r w:rsidR="001706F5" w:rsidRPr="00873EDA">
        <w:t>22.7</w:t>
      </w:r>
      <w:r w:rsidR="005C4470" w:rsidRPr="00873EDA">
        <w:t xml:space="preserve"> ± </w:t>
      </w:r>
      <w:r w:rsidR="001706F5" w:rsidRPr="00873EDA">
        <w:t>16.8</w:t>
      </w:r>
      <w:r w:rsidR="00026EAD" w:rsidRPr="00873EDA">
        <w:t xml:space="preserve">, range </w:t>
      </w:r>
      <w:r w:rsidR="001706F5" w:rsidRPr="00873EDA">
        <w:t>0-75</w:t>
      </w:r>
      <w:r w:rsidR="00026EAD" w:rsidRPr="00873EDA">
        <w:t xml:space="preserve"> out of </w:t>
      </w:r>
      <w:r w:rsidR="001F6629" w:rsidRPr="00873EDA">
        <w:t>150</w:t>
      </w:r>
      <w:r w:rsidR="005C4470" w:rsidRPr="00873EDA">
        <w:t xml:space="preserve">). </w:t>
      </w:r>
      <w:r w:rsidRPr="00873EDA">
        <w:t>An initial round of fast independent component analysis (fICA) was performed for blind-source segregation of TMS-EEG into components. Components were visually reviewed and identified for early TMS evoked high amplitude electrode and EMG artifacts</w:t>
      </w:r>
      <w:r w:rsidR="00026EAD" w:rsidRPr="00873EDA">
        <w:t xml:space="preserve"> (</w:t>
      </w:r>
      <w:r w:rsidR="00773B59" w:rsidRPr="00873EDA">
        <w:t xml:space="preserve">Number of components rejected are reported as average ± SD. </w:t>
      </w:r>
      <w:r w:rsidR="00026EAD" w:rsidRPr="00873EDA">
        <w:t xml:space="preserve">Cohort 1: 1 ± 1, range 0-3 out of 63, Cohort 2: </w:t>
      </w:r>
      <w:r w:rsidR="001706F5" w:rsidRPr="00873EDA">
        <w:t>1</w:t>
      </w:r>
      <w:r w:rsidR="00026EAD" w:rsidRPr="00873EDA">
        <w:t xml:space="preserve"> ±</w:t>
      </w:r>
      <w:r w:rsidR="001706F5" w:rsidRPr="00873EDA">
        <w:t xml:space="preserve"> 0.4</w:t>
      </w:r>
      <w:r w:rsidR="00026EAD" w:rsidRPr="00873EDA">
        <w:t xml:space="preserve">, range </w:t>
      </w:r>
      <w:r w:rsidR="001706F5" w:rsidRPr="00873EDA">
        <w:t>0-2</w:t>
      </w:r>
      <w:r w:rsidR="00026EAD" w:rsidRPr="00873EDA">
        <w:t xml:space="preserve"> out of </w:t>
      </w:r>
      <w:r w:rsidR="001706F5" w:rsidRPr="00873EDA">
        <w:t>63</w:t>
      </w:r>
      <w:r w:rsidR="00026EAD" w:rsidRPr="00873EDA">
        <w:t>)</w:t>
      </w:r>
      <w:r w:rsidRPr="00873EDA">
        <w:t>. The remaining components were mapped back to sensor space, its zero-padded time window linearly interpolated (-2 to 14 ms). In order, the band pass filter (forward-backward 4</w:t>
      </w:r>
      <w:r w:rsidRPr="00873EDA">
        <w:rPr>
          <w:vertAlign w:val="superscript"/>
        </w:rPr>
        <w:t>th</w:t>
      </w:r>
      <w:r w:rsidRPr="00873EDA">
        <w:t xml:space="preserve"> total order Butterworth filter from 1 to 100 Hz) and notch filter (forward-backward 4</w:t>
      </w:r>
      <w:r w:rsidRPr="00873EDA">
        <w:rPr>
          <w:vertAlign w:val="superscript"/>
        </w:rPr>
        <w:t>th</w:t>
      </w:r>
      <w:r w:rsidRPr="00873EDA">
        <w:t xml:space="preserve"> total order Butterworth filter between 57 and 63 Hz) were applied. TMS-EEG were referenced to common-average reference. 2</w:t>
      </w:r>
      <w:r w:rsidRPr="00873EDA">
        <w:rPr>
          <w:vertAlign w:val="superscript"/>
        </w:rPr>
        <w:t>nd</w:t>
      </w:r>
      <w:r w:rsidRPr="00873EDA">
        <w:t xml:space="preserve"> round of fICA was run to manually identify and remove noisy components that include eye movements and blinking, muscle artifact (EMG), single electrode noise, TMS evoked muscle and cardiac beats (EKG). </w:t>
      </w:r>
      <w:r w:rsidR="00773B59" w:rsidRPr="00873EDA">
        <w:t xml:space="preserve">(Number of components rejected are reported as average ± SD. Cohort 1: 1 ± 1, range 0-3 out of 63, Cohort 2: </w:t>
      </w:r>
      <w:r w:rsidR="001706F5" w:rsidRPr="00873EDA">
        <w:t>25.7</w:t>
      </w:r>
      <w:r w:rsidR="00773B59" w:rsidRPr="00873EDA">
        <w:t xml:space="preserve"> ± </w:t>
      </w:r>
      <w:r w:rsidR="001706F5" w:rsidRPr="00873EDA">
        <w:t>4.9</w:t>
      </w:r>
      <w:r w:rsidR="00773B59" w:rsidRPr="00873EDA">
        <w:t xml:space="preserve">, range </w:t>
      </w:r>
      <w:r w:rsidR="001706F5" w:rsidRPr="00873EDA">
        <w:t>13-3</w:t>
      </w:r>
      <w:r w:rsidR="00773B59" w:rsidRPr="00873EDA">
        <w:t xml:space="preserve"> out of </w:t>
      </w:r>
      <w:r w:rsidR="001706F5" w:rsidRPr="00873EDA">
        <w:t>63</w:t>
      </w:r>
      <w:r w:rsidR="00773B59" w:rsidRPr="00873EDA">
        <w:t xml:space="preserve">). </w:t>
      </w:r>
      <w:r w:rsidRPr="00873EDA">
        <w:t>For Cohort 1, auditory evoked potential was removed whereas for Cohort 2, auditory evoked potential was left intact. Spherical interpolation was applied to the remaining missing channels before low pass filter (4</w:t>
      </w:r>
      <w:r w:rsidRPr="00873EDA">
        <w:rPr>
          <w:vertAlign w:val="superscript"/>
        </w:rPr>
        <w:t>th</w:t>
      </w:r>
      <w:r w:rsidRPr="00873EDA">
        <w:t xml:space="preserve"> total order forward-backward Butterworth filter at 50 Hz) was applied. Trials were further segmented to 500 ms before and 1000 ms after spTMS.</w:t>
      </w:r>
    </w:p>
    <w:p w14:paraId="1DC56C5D" w14:textId="77777777" w:rsidR="00DD3873" w:rsidRPr="00DD3873" w:rsidRDefault="00DD3873" w:rsidP="00DD3873">
      <w:pPr>
        <w:pStyle w:val="Heading2"/>
      </w:pPr>
      <w:r>
        <w:t>Tables</w:t>
      </w:r>
    </w:p>
    <w:p w14:paraId="39DADB24" w14:textId="77777777" w:rsidR="00531C85" w:rsidRDefault="000A6C56" w:rsidP="000810FD">
      <w:r>
        <w:t>Supplementary Table S1</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003"/>
      </w:tblGrid>
      <w:tr w:rsidR="000A6C56" w:rsidRPr="000A6C56" w14:paraId="68B3B4C1" w14:textId="77777777" w:rsidTr="000A6C56">
        <w:trPr>
          <w:trHeight w:val="290"/>
        </w:trPr>
        <w:tc>
          <w:tcPr>
            <w:tcW w:w="1003" w:type="dxa"/>
          </w:tcPr>
          <w:p w14:paraId="1C15C621"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Starting</w:t>
            </w:r>
          </w:p>
        </w:tc>
        <w:tc>
          <w:tcPr>
            <w:tcW w:w="1003" w:type="dxa"/>
          </w:tcPr>
          <w:p w14:paraId="0A5E8F7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End</w:t>
            </w:r>
          </w:p>
        </w:tc>
      </w:tr>
      <w:tr w:rsidR="000A6C56" w:rsidRPr="000A6C56" w14:paraId="17F2FD4C" w14:textId="77777777" w:rsidTr="000A6C56">
        <w:trPr>
          <w:trHeight w:val="290"/>
        </w:trPr>
        <w:tc>
          <w:tcPr>
            <w:tcW w:w="1003" w:type="dxa"/>
          </w:tcPr>
          <w:p w14:paraId="512A441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15</w:t>
            </w:r>
          </w:p>
        </w:tc>
        <w:tc>
          <w:tcPr>
            <w:tcW w:w="1003" w:type="dxa"/>
          </w:tcPr>
          <w:p w14:paraId="5D837A2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45</w:t>
            </w:r>
          </w:p>
        </w:tc>
      </w:tr>
      <w:tr w:rsidR="000A6C56" w:rsidRPr="000A6C56" w14:paraId="2375323F" w14:textId="77777777" w:rsidTr="000A6C56">
        <w:trPr>
          <w:trHeight w:val="290"/>
        </w:trPr>
        <w:tc>
          <w:tcPr>
            <w:tcW w:w="1003" w:type="dxa"/>
          </w:tcPr>
          <w:p w14:paraId="5FEC0421"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25</w:t>
            </w:r>
          </w:p>
        </w:tc>
        <w:tc>
          <w:tcPr>
            <w:tcW w:w="1003" w:type="dxa"/>
          </w:tcPr>
          <w:p w14:paraId="7C6756A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55</w:t>
            </w:r>
          </w:p>
        </w:tc>
      </w:tr>
      <w:tr w:rsidR="000A6C56" w:rsidRPr="000A6C56" w14:paraId="53B4B836" w14:textId="77777777" w:rsidTr="000A6C56">
        <w:trPr>
          <w:trHeight w:val="290"/>
        </w:trPr>
        <w:tc>
          <w:tcPr>
            <w:tcW w:w="1003" w:type="dxa"/>
          </w:tcPr>
          <w:p w14:paraId="6215570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35</w:t>
            </w:r>
          </w:p>
        </w:tc>
        <w:tc>
          <w:tcPr>
            <w:tcW w:w="1003" w:type="dxa"/>
          </w:tcPr>
          <w:p w14:paraId="67B98874"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65</w:t>
            </w:r>
          </w:p>
        </w:tc>
      </w:tr>
      <w:tr w:rsidR="000A6C56" w:rsidRPr="000A6C56" w14:paraId="7F2E1E3F" w14:textId="77777777" w:rsidTr="000A6C56">
        <w:trPr>
          <w:trHeight w:val="290"/>
        </w:trPr>
        <w:tc>
          <w:tcPr>
            <w:tcW w:w="1003" w:type="dxa"/>
          </w:tcPr>
          <w:p w14:paraId="570BC2F0"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45</w:t>
            </w:r>
          </w:p>
        </w:tc>
        <w:tc>
          <w:tcPr>
            <w:tcW w:w="1003" w:type="dxa"/>
          </w:tcPr>
          <w:p w14:paraId="79424A6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75</w:t>
            </w:r>
          </w:p>
        </w:tc>
      </w:tr>
      <w:tr w:rsidR="000A6C56" w:rsidRPr="000A6C56" w14:paraId="7F8C591C" w14:textId="77777777" w:rsidTr="000A6C56">
        <w:trPr>
          <w:trHeight w:val="290"/>
        </w:trPr>
        <w:tc>
          <w:tcPr>
            <w:tcW w:w="1003" w:type="dxa"/>
          </w:tcPr>
          <w:p w14:paraId="274B5165"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55</w:t>
            </w:r>
          </w:p>
        </w:tc>
        <w:tc>
          <w:tcPr>
            <w:tcW w:w="1003" w:type="dxa"/>
          </w:tcPr>
          <w:p w14:paraId="0F7E68E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85</w:t>
            </w:r>
          </w:p>
        </w:tc>
      </w:tr>
      <w:tr w:rsidR="000A6C56" w:rsidRPr="000A6C56" w14:paraId="22FA53A6" w14:textId="77777777" w:rsidTr="000A6C56">
        <w:trPr>
          <w:trHeight w:val="290"/>
        </w:trPr>
        <w:tc>
          <w:tcPr>
            <w:tcW w:w="1003" w:type="dxa"/>
          </w:tcPr>
          <w:p w14:paraId="4643818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65</w:t>
            </w:r>
          </w:p>
        </w:tc>
        <w:tc>
          <w:tcPr>
            <w:tcW w:w="1003" w:type="dxa"/>
          </w:tcPr>
          <w:p w14:paraId="26CD09B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95</w:t>
            </w:r>
          </w:p>
        </w:tc>
      </w:tr>
      <w:tr w:rsidR="000A6C56" w:rsidRPr="000A6C56" w14:paraId="5C033DB2" w14:textId="77777777" w:rsidTr="000A6C56">
        <w:trPr>
          <w:trHeight w:val="290"/>
        </w:trPr>
        <w:tc>
          <w:tcPr>
            <w:tcW w:w="1003" w:type="dxa"/>
          </w:tcPr>
          <w:p w14:paraId="7867DA8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75</w:t>
            </w:r>
          </w:p>
        </w:tc>
        <w:tc>
          <w:tcPr>
            <w:tcW w:w="1003" w:type="dxa"/>
          </w:tcPr>
          <w:p w14:paraId="4338257E"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105</w:t>
            </w:r>
          </w:p>
        </w:tc>
      </w:tr>
      <w:tr w:rsidR="000A6C56" w:rsidRPr="000A6C56" w14:paraId="2E7630E6" w14:textId="77777777" w:rsidTr="000A6C56">
        <w:trPr>
          <w:trHeight w:val="290"/>
        </w:trPr>
        <w:tc>
          <w:tcPr>
            <w:tcW w:w="1003" w:type="dxa"/>
          </w:tcPr>
          <w:p w14:paraId="0362B73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85</w:t>
            </w:r>
          </w:p>
        </w:tc>
        <w:tc>
          <w:tcPr>
            <w:tcW w:w="1003" w:type="dxa"/>
          </w:tcPr>
          <w:p w14:paraId="7D1BCC3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115</w:t>
            </w:r>
          </w:p>
        </w:tc>
      </w:tr>
      <w:tr w:rsidR="000A6C56" w:rsidRPr="000A6C56" w14:paraId="246E16CC" w14:textId="77777777" w:rsidTr="000A6C56">
        <w:trPr>
          <w:trHeight w:val="290"/>
        </w:trPr>
        <w:tc>
          <w:tcPr>
            <w:tcW w:w="1003" w:type="dxa"/>
          </w:tcPr>
          <w:p w14:paraId="073EB60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95</w:t>
            </w:r>
          </w:p>
        </w:tc>
        <w:tc>
          <w:tcPr>
            <w:tcW w:w="1003" w:type="dxa"/>
          </w:tcPr>
          <w:p w14:paraId="0BD9250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125</w:t>
            </w:r>
          </w:p>
        </w:tc>
      </w:tr>
      <w:tr w:rsidR="000A6C56" w:rsidRPr="000A6C56" w14:paraId="436971BB" w14:textId="77777777" w:rsidTr="000A6C56">
        <w:trPr>
          <w:trHeight w:val="290"/>
        </w:trPr>
        <w:tc>
          <w:tcPr>
            <w:tcW w:w="1003" w:type="dxa"/>
          </w:tcPr>
          <w:p w14:paraId="2E6D4BC1"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105</w:t>
            </w:r>
          </w:p>
        </w:tc>
        <w:tc>
          <w:tcPr>
            <w:tcW w:w="1003" w:type="dxa"/>
          </w:tcPr>
          <w:p w14:paraId="31FFF51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135</w:t>
            </w:r>
          </w:p>
        </w:tc>
      </w:tr>
      <w:tr w:rsidR="000A6C56" w:rsidRPr="000A6C56" w14:paraId="6FA42BAC" w14:textId="77777777" w:rsidTr="000A6C56">
        <w:trPr>
          <w:trHeight w:val="290"/>
        </w:trPr>
        <w:tc>
          <w:tcPr>
            <w:tcW w:w="1003" w:type="dxa"/>
          </w:tcPr>
          <w:p w14:paraId="3F3CE3A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115</w:t>
            </w:r>
          </w:p>
        </w:tc>
        <w:tc>
          <w:tcPr>
            <w:tcW w:w="1003" w:type="dxa"/>
          </w:tcPr>
          <w:p w14:paraId="1DF5896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145</w:t>
            </w:r>
          </w:p>
        </w:tc>
      </w:tr>
      <w:tr w:rsidR="000A6C56" w:rsidRPr="000A6C56" w14:paraId="5A826D77" w14:textId="77777777" w:rsidTr="000A6C56">
        <w:trPr>
          <w:trHeight w:val="290"/>
        </w:trPr>
        <w:tc>
          <w:tcPr>
            <w:tcW w:w="1003" w:type="dxa"/>
          </w:tcPr>
          <w:p w14:paraId="082C52B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lastRenderedPageBreak/>
              <w:t>125</w:t>
            </w:r>
          </w:p>
        </w:tc>
        <w:tc>
          <w:tcPr>
            <w:tcW w:w="1003" w:type="dxa"/>
          </w:tcPr>
          <w:p w14:paraId="276EA37B"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155</w:t>
            </w:r>
          </w:p>
        </w:tc>
      </w:tr>
      <w:tr w:rsidR="000A6C56" w:rsidRPr="000A6C56" w14:paraId="56F4E859" w14:textId="77777777" w:rsidTr="000A6C56">
        <w:trPr>
          <w:trHeight w:val="290"/>
        </w:trPr>
        <w:tc>
          <w:tcPr>
            <w:tcW w:w="1003" w:type="dxa"/>
          </w:tcPr>
          <w:p w14:paraId="58AE4885"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135</w:t>
            </w:r>
          </w:p>
        </w:tc>
        <w:tc>
          <w:tcPr>
            <w:tcW w:w="1003" w:type="dxa"/>
          </w:tcPr>
          <w:p w14:paraId="3120EB70"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165</w:t>
            </w:r>
          </w:p>
        </w:tc>
      </w:tr>
      <w:tr w:rsidR="000A6C56" w:rsidRPr="000A6C56" w14:paraId="3443771C" w14:textId="77777777" w:rsidTr="000A6C56">
        <w:trPr>
          <w:trHeight w:val="290"/>
        </w:trPr>
        <w:tc>
          <w:tcPr>
            <w:tcW w:w="1003" w:type="dxa"/>
          </w:tcPr>
          <w:p w14:paraId="0C82952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145</w:t>
            </w:r>
          </w:p>
        </w:tc>
        <w:tc>
          <w:tcPr>
            <w:tcW w:w="1003" w:type="dxa"/>
          </w:tcPr>
          <w:p w14:paraId="08A16F9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175</w:t>
            </w:r>
          </w:p>
        </w:tc>
      </w:tr>
      <w:tr w:rsidR="000A6C56" w:rsidRPr="000A6C56" w14:paraId="0EE4AA89" w14:textId="77777777" w:rsidTr="000A6C56">
        <w:trPr>
          <w:trHeight w:val="290"/>
        </w:trPr>
        <w:tc>
          <w:tcPr>
            <w:tcW w:w="1003" w:type="dxa"/>
          </w:tcPr>
          <w:p w14:paraId="1B3D32E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155</w:t>
            </w:r>
          </w:p>
        </w:tc>
        <w:tc>
          <w:tcPr>
            <w:tcW w:w="1003" w:type="dxa"/>
          </w:tcPr>
          <w:p w14:paraId="15D7B26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185</w:t>
            </w:r>
          </w:p>
        </w:tc>
      </w:tr>
      <w:tr w:rsidR="000A6C56" w:rsidRPr="000A6C56" w14:paraId="5138DBEE" w14:textId="77777777" w:rsidTr="000A6C56">
        <w:trPr>
          <w:trHeight w:val="290"/>
        </w:trPr>
        <w:tc>
          <w:tcPr>
            <w:tcW w:w="1003" w:type="dxa"/>
          </w:tcPr>
          <w:p w14:paraId="756F0050"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165</w:t>
            </w:r>
          </w:p>
        </w:tc>
        <w:tc>
          <w:tcPr>
            <w:tcW w:w="1003" w:type="dxa"/>
          </w:tcPr>
          <w:p w14:paraId="3E6C064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195</w:t>
            </w:r>
          </w:p>
        </w:tc>
      </w:tr>
      <w:tr w:rsidR="000A6C56" w:rsidRPr="000A6C56" w14:paraId="5295B3B2" w14:textId="77777777" w:rsidTr="000A6C56">
        <w:trPr>
          <w:trHeight w:val="290"/>
        </w:trPr>
        <w:tc>
          <w:tcPr>
            <w:tcW w:w="1003" w:type="dxa"/>
          </w:tcPr>
          <w:p w14:paraId="0D5A1E05"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175</w:t>
            </w:r>
          </w:p>
        </w:tc>
        <w:tc>
          <w:tcPr>
            <w:tcW w:w="1003" w:type="dxa"/>
          </w:tcPr>
          <w:p w14:paraId="553E502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205</w:t>
            </w:r>
          </w:p>
        </w:tc>
      </w:tr>
      <w:tr w:rsidR="000A6C56" w:rsidRPr="000A6C56" w14:paraId="7C61BEE8" w14:textId="77777777" w:rsidTr="000A6C56">
        <w:trPr>
          <w:trHeight w:val="290"/>
        </w:trPr>
        <w:tc>
          <w:tcPr>
            <w:tcW w:w="1003" w:type="dxa"/>
          </w:tcPr>
          <w:p w14:paraId="541B911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185</w:t>
            </w:r>
          </w:p>
        </w:tc>
        <w:tc>
          <w:tcPr>
            <w:tcW w:w="1003" w:type="dxa"/>
          </w:tcPr>
          <w:p w14:paraId="409A5954"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215</w:t>
            </w:r>
          </w:p>
        </w:tc>
      </w:tr>
      <w:tr w:rsidR="000A6C56" w:rsidRPr="000A6C56" w14:paraId="78A33CF0" w14:textId="77777777" w:rsidTr="000A6C56">
        <w:trPr>
          <w:trHeight w:val="290"/>
        </w:trPr>
        <w:tc>
          <w:tcPr>
            <w:tcW w:w="1003" w:type="dxa"/>
          </w:tcPr>
          <w:p w14:paraId="4CE5D0D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195</w:t>
            </w:r>
          </w:p>
        </w:tc>
        <w:tc>
          <w:tcPr>
            <w:tcW w:w="1003" w:type="dxa"/>
          </w:tcPr>
          <w:p w14:paraId="278A1DB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225</w:t>
            </w:r>
          </w:p>
        </w:tc>
      </w:tr>
      <w:tr w:rsidR="000A6C56" w:rsidRPr="000A6C56" w14:paraId="750A90B7" w14:textId="77777777" w:rsidTr="000A6C56">
        <w:trPr>
          <w:trHeight w:val="290"/>
        </w:trPr>
        <w:tc>
          <w:tcPr>
            <w:tcW w:w="1003" w:type="dxa"/>
          </w:tcPr>
          <w:p w14:paraId="2965B14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205</w:t>
            </w:r>
          </w:p>
        </w:tc>
        <w:tc>
          <w:tcPr>
            <w:tcW w:w="1003" w:type="dxa"/>
          </w:tcPr>
          <w:p w14:paraId="3D4E045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235</w:t>
            </w:r>
          </w:p>
        </w:tc>
      </w:tr>
      <w:tr w:rsidR="000A6C56" w:rsidRPr="000A6C56" w14:paraId="33FFC077" w14:textId="77777777" w:rsidTr="000A6C56">
        <w:trPr>
          <w:trHeight w:val="290"/>
        </w:trPr>
        <w:tc>
          <w:tcPr>
            <w:tcW w:w="1003" w:type="dxa"/>
          </w:tcPr>
          <w:p w14:paraId="315EC560"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215</w:t>
            </w:r>
          </w:p>
        </w:tc>
        <w:tc>
          <w:tcPr>
            <w:tcW w:w="1003" w:type="dxa"/>
          </w:tcPr>
          <w:p w14:paraId="1BC6C85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245</w:t>
            </w:r>
          </w:p>
        </w:tc>
      </w:tr>
      <w:tr w:rsidR="000A6C56" w:rsidRPr="000A6C56" w14:paraId="278A4F89" w14:textId="77777777" w:rsidTr="000A6C56">
        <w:trPr>
          <w:trHeight w:val="290"/>
        </w:trPr>
        <w:tc>
          <w:tcPr>
            <w:tcW w:w="1003" w:type="dxa"/>
          </w:tcPr>
          <w:p w14:paraId="7587646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225</w:t>
            </w:r>
          </w:p>
        </w:tc>
        <w:tc>
          <w:tcPr>
            <w:tcW w:w="1003" w:type="dxa"/>
          </w:tcPr>
          <w:p w14:paraId="6624A993"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255</w:t>
            </w:r>
          </w:p>
        </w:tc>
      </w:tr>
      <w:tr w:rsidR="000A6C56" w:rsidRPr="000A6C56" w14:paraId="08D1E3F6" w14:textId="77777777" w:rsidTr="000A6C56">
        <w:trPr>
          <w:trHeight w:val="290"/>
        </w:trPr>
        <w:tc>
          <w:tcPr>
            <w:tcW w:w="1003" w:type="dxa"/>
          </w:tcPr>
          <w:p w14:paraId="0019FA2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235</w:t>
            </w:r>
          </w:p>
        </w:tc>
        <w:tc>
          <w:tcPr>
            <w:tcW w:w="1003" w:type="dxa"/>
          </w:tcPr>
          <w:p w14:paraId="7F9EC3FE"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265</w:t>
            </w:r>
          </w:p>
        </w:tc>
      </w:tr>
      <w:tr w:rsidR="000A6C56" w:rsidRPr="000A6C56" w14:paraId="2845737D" w14:textId="77777777" w:rsidTr="000A6C56">
        <w:trPr>
          <w:trHeight w:val="290"/>
        </w:trPr>
        <w:tc>
          <w:tcPr>
            <w:tcW w:w="1003" w:type="dxa"/>
          </w:tcPr>
          <w:p w14:paraId="7722F8DB"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245</w:t>
            </w:r>
          </w:p>
        </w:tc>
        <w:tc>
          <w:tcPr>
            <w:tcW w:w="1003" w:type="dxa"/>
          </w:tcPr>
          <w:p w14:paraId="13B1D502"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275</w:t>
            </w:r>
          </w:p>
        </w:tc>
      </w:tr>
      <w:tr w:rsidR="000A6C56" w:rsidRPr="000A6C56" w14:paraId="06113318" w14:textId="77777777" w:rsidTr="000A6C56">
        <w:trPr>
          <w:trHeight w:val="290"/>
        </w:trPr>
        <w:tc>
          <w:tcPr>
            <w:tcW w:w="1003" w:type="dxa"/>
          </w:tcPr>
          <w:p w14:paraId="0B6C3A03"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255</w:t>
            </w:r>
          </w:p>
        </w:tc>
        <w:tc>
          <w:tcPr>
            <w:tcW w:w="1003" w:type="dxa"/>
          </w:tcPr>
          <w:p w14:paraId="51FA300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285</w:t>
            </w:r>
          </w:p>
        </w:tc>
      </w:tr>
      <w:tr w:rsidR="000A6C56" w:rsidRPr="000A6C56" w14:paraId="395EEC03" w14:textId="77777777" w:rsidTr="000A6C56">
        <w:trPr>
          <w:trHeight w:val="290"/>
        </w:trPr>
        <w:tc>
          <w:tcPr>
            <w:tcW w:w="1003" w:type="dxa"/>
          </w:tcPr>
          <w:p w14:paraId="5CE1DC2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265</w:t>
            </w:r>
          </w:p>
        </w:tc>
        <w:tc>
          <w:tcPr>
            <w:tcW w:w="1003" w:type="dxa"/>
          </w:tcPr>
          <w:p w14:paraId="5FC8E751"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295</w:t>
            </w:r>
          </w:p>
        </w:tc>
      </w:tr>
      <w:tr w:rsidR="000A6C56" w:rsidRPr="000A6C56" w14:paraId="5F708F11" w14:textId="77777777" w:rsidTr="000A6C56">
        <w:trPr>
          <w:trHeight w:val="290"/>
        </w:trPr>
        <w:tc>
          <w:tcPr>
            <w:tcW w:w="1003" w:type="dxa"/>
          </w:tcPr>
          <w:p w14:paraId="099103E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275</w:t>
            </w:r>
          </w:p>
        </w:tc>
        <w:tc>
          <w:tcPr>
            <w:tcW w:w="1003" w:type="dxa"/>
          </w:tcPr>
          <w:p w14:paraId="1B4FCCC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305</w:t>
            </w:r>
          </w:p>
        </w:tc>
      </w:tr>
      <w:tr w:rsidR="000A6C56" w:rsidRPr="000A6C56" w14:paraId="48307E9C" w14:textId="77777777" w:rsidTr="000A6C56">
        <w:trPr>
          <w:trHeight w:val="290"/>
        </w:trPr>
        <w:tc>
          <w:tcPr>
            <w:tcW w:w="1003" w:type="dxa"/>
          </w:tcPr>
          <w:p w14:paraId="7C2D5AA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285</w:t>
            </w:r>
          </w:p>
        </w:tc>
        <w:tc>
          <w:tcPr>
            <w:tcW w:w="1003" w:type="dxa"/>
          </w:tcPr>
          <w:p w14:paraId="72FBFD47"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315</w:t>
            </w:r>
          </w:p>
        </w:tc>
      </w:tr>
      <w:tr w:rsidR="000A6C56" w:rsidRPr="000A6C56" w14:paraId="4C7E778A" w14:textId="77777777" w:rsidTr="000A6C56">
        <w:trPr>
          <w:trHeight w:val="290"/>
        </w:trPr>
        <w:tc>
          <w:tcPr>
            <w:tcW w:w="1003" w:type="dxa"/>
          </w:tcPr>
          <w:p w14:paraId="0775FD3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295</w:t>
            </w:r>
          </w:p>
        </w:tc>
        <w:tc>
          <w:tcPr>
            <w:tcW w:w="1003" w:type="dxa"/>
          </w:tcPr>
          <w:p w14:paraId="547FF8F3"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325</w:t>
            </w:r>
          </w:p>
        </w:tc>
      </w:tr>
      <w:tr w:rsidR="000A6C56" w:rsidRPr="000A6C56" w14:paraId="18712267" w14:textId="77777777" w:rsidTr="000A6C56">
        <w:trPr>
          <w:trHeight w:val="290"/>
        </w:trPr>
        <w:tc>
          <w:tcPr>
            <w:tcW w:w="1003" w:type="dxa"/>
          </w:tcPr>
          <w:p w14:paraId="2ABCCD3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305</w:t>
            </w:r>
          </w:p>
        </w:tc>
        <w:tc>
          <w:tcPr>
            <w:tcW w:w="1003" w:type="dxa"/>
          </w:tcPr>
          <w:p w14:paraId="281A6A6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335</w:t>
            </w:r>
          </w:p>
        </w:tc>
      </w:tr>
      <w:tr w:rsidR="000A6C56" w:rsidRPr="000A6C56" w14:paraId="0A431FB6" w14:textId="77777777" w:rsidTr="000A6C56">
        <w:trPr>
          <w:trHeight w:val="290"/>
        </w:trPr>
        <w:tc>
          <w:tcPr>
            <w:tcW w:w="1003" w:type="dxa"/>
          </w:tcPr>
          <w:p w14:paraId="47417E3E"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315</w:t>
            </w:r>
          </w:p>
        </w:tc>
        <w:tc>
          <w:tcPr>
            <w:tcW w:w="1003" w:type="dxa"/>
          </w:tcPr>
          <w:p w14:paraId="3694EC8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345</w:t>
            </w:r>
          </w:p>
        </w:tc>
      </w:tr>
      <w:tr w:rsidR="000A6C56" w:rsidRPr="000A6C56" w14:paraId="0C8B7554" w14:textId="77777777" w:rsidTr="000A6C56">
        <w:trPr>
          <w:trHeight w:val="290"/>
        </w:trPr>
        <w:tc>
          <w:tcPr>
            <w:tcW w:w="1003" w:type="dxa"/>
          </w:tcPr>
          <w:p w14:paraId="4C2437B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15</w:t>
            </w:r>
          </w:p>
        </w:tc>
        <w:tc>
          <w:tcPr>
            <w:tcW w:w="1003" w:type="dxa"/>
          </w:tcPr>
          <w:p w14:paraId="247A8D4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75</w:t>
            </w:r>
          </w:p>
        </w:tc>
      </w:tr>
      <w:tr w:rsidR="000A6C56" w:rsidRPr="000A6C56" w14:paraId="5CC0B0CE" w14:textId="77777777" w:rsidTr="000A6C56">
        <w:trPr>
          <w:trHeight w:val="290"/>
        </w:trPr>
        <w:tc>
          <w:tcPr>
            <w:tcW w:w="1003" w:type="dxa"/>
          </w:tcPr>
          <w:p w14:paraId="5D20CD63"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76</w:t>
            </w:r>
          </w:p>
        </w:tc>
        <w:tc>
          <w:tcPr>
            <w:tcW w:w="1003" w:type="dxa"/>
          </w:tcPr>
          <w:p w14:paraId="4E743FCE"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300</w:t>
            </w:r>
          </w:p>
        </w:tc>
      </w:tr>
      <w:tr w:rsidR="000A6C56" w:rsidRPr="000A6C56" w14:paraId="2D36C729" w14:textId="77777777" w:rsidTr="000A6C56">
        <w:trPr>
          <w:trHeight w:val="290"/>
        </w:trPr>
        <w:tc>
          <w:tcPr>
            <w:tcW w:w="1003" w:type="dxa"/>
          </w:tcPr>
          <w:p w14:paraId="674BA90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15</w:t>
            </w:r>
          </w:p>
        </w:tc>
        <w:tc>
          <w:tcPr>
            <w:tcW w:w="1003" w:type="dxa"/>
          </w:tcPr>
          <w:p w14:paraId="5CA125D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65</w:t>
            </w:r>
          </w:p>
        </w:tc>
      </w:tr>
      <w:tr w:rsidR="000A6C56" w:rsidRPr="000A6C56" w14:paraId="0ADB77B3" w14:textId="77777777" w:rsidTr="000A6C56">
        <w:trPr>
          <w:trHeight w:val="290"/>
        </w:trPr>
        <w:tc>
          <w:tcPr>
            <w:tcW w:w="1003" w:type="dxa"/>
          </w:tcPr>
          <w:p w14:paraId="29833FFF"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65</w:t>
            </w:r>
          </w:p>
        </w:tc>
        <w:tc>
          <w:tcPr>
            <w:tcW w:w="1003" w:type="dxa"/>
          </w:tcPr>
          <w:p w14:paraId="2B3AD3C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120</w:t>
            </w:r>
          </w:p>
        </w:tc>
      </w:tr>
      <w:tr w:rsidR="000A6C56" w:rsidRPr="000A6C56" w14:paraId="4BE74E37" w14:textId="77777777" w:rsidTr="000A6C56">
        <w:trPr>
          <w:trHeight w:val="290"/>
        </w:trPr>
        <w:tc>
          <w:tcPr>
            <w:tcW w:w="1003" w:type="dxa"/>
          </w:tcPr>
          <w:p w14:paraId="208BD1E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20</w:t>
            </w:r>
          </w:p>
        </w:tc>
        <w:tc>
          <w:tcPr>
            <w:tcW w:w="1003" w:type="dxa"/>
          </w:tcPr>
          <w:p w14:paraId="2F00C737"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40</w:t>
            </w:r>
          </w:p>
        </w:tc>
      </w:tr>
      <w:tr w:rsidR="000A6C56" w:rsidRPr="000A6C56" w14:paraId="570211F1" w14:textId="77777777" w:rsidTr="000A6C56">
        <w:trPr>
          <w:trHeight w:val="290"/>
        </w:trPr>
        <w:tc>
          <w:tcPr>
            <w:tcW w:w="1003" w:type="dxa"/>
          </w:tcPr>
          <w:p w14:paraId="03B0678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55</w:t>
            </w:r>
          </w:p>
        </w:tc>
        <w:tc>
          <w:tcPr>
            <w:tcW w:w="1003" w:type="dxa"/>
          </w:tcPr>
          <w:p w14:paraId="21806DD4"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70</w:t>
            </w:r>
          </w:p>
        </w:tc>
      </w:tr>
      <w:tr w:rsidR="000A6C56" w:rsidRPr="000A6C56" w14:paraId="0D85E448" w14:textId="77777777" w:rsidTr="000A6C56">
        <w:trPr>
          <w:trHeight w:val="290"/>
        </w:trPr>
        <w:tc>
          <w:tcPr>
            <w:tcW w:w="1003" w:type="dxa"/>
          </w:tcPr>
          <w:p w14:paraId="05771FAC"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90</w:t>
            </w:r>
          </w:p>
        </w:tc>
        <w:tc>
          <w:tcPr>
            <w:tcW w:w="1003" w:type="dxa"/>
          </w:tcPr>
          <w:p w14:paraId="4606CA2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110</w:t>
            </w:r>
          </w:p>
        </w:tc>
      </w:tr>
      <w:tr w:rsidR="000A6C56" w:rsidRPr="000A6C56" w14:paraId="3A2F9E7A" w14:textId="77777777" w:rsidTr="000A6C56">
        <w:trPr>
          <w:trHeight w:val="290"/>
        </w:trPr>
        <w:tc>
          <w:tcPr>
            <w:tcW w:w="1003" w:type="dxa"/>
          </w:tcPr>
          <w:p w14:paraId="649354C7"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160</w:t>
            </w:r>
          </w:p>
        </w:tc>
        <w:tc>
          <w:tcPr>
            <w:tcW w:w="1003" w:type="dxa"/>
          </w:tcPr>
          <w:p w14:paraId="0328401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200</w:t>
            </w:r>
          </w:p>
        </w:tc>
      </w:tr>
      <w:tr w:rsidR="000A6C56" w:rsidRPr="000A6C56" w14:paraId="2C06F25A" w14:textId="77777777" w:rsidTr="000A6C56">
        <w:trPr>
          <w:trHeight w:val="290"/>
        </w:trPr>
        <w:tc>
          <w:tcPr>
            <w:tcW w:w="1003" w:type="dxa"/>
          </w:tcPr>
          <w:p w14:paraId="4FDF8C4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160</w:t>
            </w:r>
          </w:p>
        </w:tc>
        <w:tc>
          <w:tcPr>
            <w:tcW w:w="1003" w:type="dxa"/>
          </w:tcPr>
          <w:p w14:paraId="4E158E75"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300</w:t>
            </w:r>
          </w:p>
        </w:tc>
      </w:tr>
      <w:tr w:rsidR="000A6C56" w:rsidRPr="000A6C56" w14:paraId="6D03C518" w14:textId="77777777" w:rsidTr="000A6C56">
        <w:trPr>
          <w:trHeight w:val="290"/>
        </w:trPr>
        <w:tc>
          <w:tcPr>
            <w:tcW w:w="1003" w:type="dxa"/>
          </w:tcPr>
          <w:p w14:paraId="218C23FD"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100</w:t>
            </w:r>
          </w:p>
        </w:tc>
        <w:tc>
          <w:tcPr>
            <w:tcW w:w="1003" w:type="dxa"/>
          </w:tcPr>
          <w:p w14:paraId="184D6AB8"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131</w:t>
            </w:r>
          </w:p>
        </w:tc>
      </w:tr>
      <w:tr w:rsidR="000A6C56" w:rsidRPr="000A6C56" w14:paraId="51879C5A" w14:textId="77777777" w:rsidTr="000A6C56">
        <w:trPr>
          <w:trHeight w:val="290"/>
        </w:trPr>
        <w:tc>
          <w:tcPr>
            <w:tcW w:w="1003" w:type="dxa"/>
          </w:tcPr>
          <w:p w14:paraId="44AD2906"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20</w:t>
            </w:r>
          </w:p>
        </w:tc>
        <w:tc>
          <w:tcPr>
            <w:tcW w:w="1003" w:type="dxa"/>
          </w:tcPr>
          <w:p w14:paraId="420B9609"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80</w:t>
            </w:r>
          </w:p>
        </w:tc>
      </w:tr>
      <w:tr w:rsidR="000A6C56" w:rsidRPr="000A6C56" w14:paraId="28B2C8FC" w14:textId="77777777" w:rsidTr="000A6C56">
        <w:trPr>
          <w:trHeight w:val="290"/>
        </w:trPr>
        <w:tc>
          <w:tcPr>
            <w:tcW w:w="1003" w:type="dxa"/>
          </w:tcPr>
          <w:p w14:paraId="5A8614AA" w14:textId="77777777" w:rsidR="000A6C56" w:rsidRPr="000A6C56" w:rsidRDefault="000A6C56" w:rsidP="000A6C56">
            <w:pPr>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80</w:t>
            </w:r>
          </w:p>
        </w:tc>
        <w:tc>
          <w:tcPr>
            <w:tcW w:w="1003" w:type="dxa"/>
          </w:tcPr>
          <w:p w14:paraId="64D3B425" w14:textId="77777777" w:rsidR="000A6C56" w:rsidRPr="000A6C56" w:rsidRDefault="000A6C56" w:rsidP="000A6C56">
            <w:pPr>
              <w:keepNext/>
              <w:autoSpaceDE w:val="0"/>
              <w:autoSpaceDN w:val="0"/>
              <w:adjustRightInd w:val="0"/>
              <w:spacing w:after="0" w:line="240" w:lineRule="auto"/>
              <w:jc w:val="right"/>
              <w:rPr>
                <w:rFonts w:ascii="Calibri" w:hAnsi="Calibri" w:cs="Calibri"/>
                <w:color w:val="000000"/>
              </w:rPr>
            </w:pPr>
            <w:r w:rsidRPr="000A6C56">
              <w:rPr>
                <w:rFonts w:ascii="Calibri" w:hAnsi="Calibri" w:cs="Calibri"/>
                <w:color w:val="000000"/>
              </w:rPr>
              <w:t>140</w:t>
            </w:r>
          </w:p>
        </w:tc>
      </w:tr>
    </w:tbl>
    <w:p w14:paraId="6DD52158" w14:textId="77777777" w:rsidR="002F4A28" w:rsidRDefault="000A6C56" w:rsidP="00005384">
      <w:pPr>
        <w:pStyle w:val="Caption"/>
      </w:pPr>
      <w:r>
        <w:t xml:space="preserve">Table </w:t>
      </w:r>
      <w:r w:rsidR="003179EA">
        <w:t>S</w:t>
      </w:r>
      <w:r w:rsidR="00ED2683">
        <w:fldChar w:fldCharType="begin"/>
      </w:r>
      <w:r w:rsidR="00ED2683">
        <w:instrText xml:space="preserve"> SEQ Table \* ARABIC </w:instrText>
      </w:r>
      <w:r w:rsidR="00ED2683">
        <w:fldChar w:fldCharType="separate"/>
      </w:r>
      <w:r w:rsidR="008059EC">
        <w:rPr>
          <w:noProof/>
        </w:rPr>
        <w:t>1</w:t>
      </w:r>
      <w:r w:rsidR="00ED2683">
        <w:rPr>
          <w:noProof/>
        </w:rPr>
        <w:fldChar w:fldCharType="end"/>
      </w:r>
      <w:r>
        <w:t xml:space="preserve"> </w:t>
      </w:r>
      <w:r w:rsidRPr="005729B3">
        <w:rPr>
          <w:i w:val="0"/>
        </w:rPr>
        <w:t>Windows used for the left motor region of LMFP to categorize the modulation of cortical excitability a</w:t>
      </w:r>
      <w:r w:rsidR="00D52107">
        <w:rPr>
          <w:i w:val="0"/>
        </w:rPr>
        <w:t>s facilitation or suppression. All t</w:t>
      </w:r>
      <w:r w:rsidRPr="005729B3">
        <w:rPr>
          <w:i w:val="0"/>
        </w:rPr>
        <w:t>ime</w:t>
      </w:r>
      <w:r w:rsidR="00D52107">
        <w:rPr>
          <w:i w:val="0"/>
        </w:rPr>
        <w:t>s are</w:t>
      </w:r>
      <w:r w:rsidRPr="005729B3">
        <w:rPr>
          <w:i w:val="0"/>
        </w:rPr>
        <w:t xml:space="preserve"> shown in </w:t>
      </w:r>
      <w:proofErr w:type="spellStart"/>
      <w:r w:rsidRPr="005729B3">
        <w:rPr>
          <w:i w:val="0"/>
        </w:rPr>
        <w:t>ms.</w:t>
      </w:r>
      <w:proofErr w:type="spellEnd"/>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4"/>
      </w:tblGrid>
      <w:tr w:rsidR="00C06A30" w:rsidRPr="005B0B53" w14:paraId="08122946" w14:textId="77777777" w:rsidTr="00C06A30">
        <w:trPr>
          <w:trHeight w:val="290"/>
        </w:trPr>
        <w:tc>
          <w:tcPr>
            <w:tcW w:w="6694" w:type="dxa"/>
          </w:tcPr>
          <w:p w14:paraId="246D16D8"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coarse-graining multiscale permutation entropy complexity index, m=3</w:t>
            </w:r>
          </w:p>
        </w:tc>
      </w:tr>
      <w:tr w:rsidR="00C06A30" w:rsidRPr="005B0B53" w14:paraId="3A4E8AED" w14:textId="77777777" w:rsidTr="00C06A30">
        <w:trPr>
          <w:trHeight w:val="290"/>
        </w:trPr>
        <w:tc>
          <w:tcPr>
            <w:tcW w:w="6694" w:type="dxa"/>
          </w:tcPr>
          <w:p w14:paraId="3BC61CE0"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time-shifted multiscale permutation entropy complexity index, m=3</w:t>
            </w:r>
          </w:p>
        </w:tc>
      </w:tr>
      <w:tr w:rsidR="00C06A30" w:rsidRPr="005B0B53" w14:paraId="631A0BFD" w14:textId="77777777" w:rsidTr="00C06A30">
        <w:trPr>
          <w:trHeight w:val="290"/>
        </w:trPr>
        <w:tc>
          <w:tcPr>
            <w:tcW w:w="6694" w:type="dxa"/>
          </w:tcPr>
          <w:p w14:paraId="72347FDC"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composite multiscale permutation entropy complexity index, m=3</w:t>
            </w:r>
          </w:p>
        </w:tc>
      </w:tr>
      <w:tr w:rsidR="00C06A30" w:rsidRPr="005B0B53" w14:paraId="44ADCAF5" w14:textId="77777777" w:rsidTr="00C06A30">
        <w:trPr>
          <w:trHeight w:val="290"/>
        </w:trPr>
        <w:tc>
          <w:tcPr>
            <w:tcW w:w="6694" w:type="dxa"/>
          </w:tcPr>
          <w:p w14:paraId="794AC67E"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approximate entropy, m=2, tau=1</w:t>
            </w:r>
          </w:p>
        </w:tc>
      </w:tr>
      <w:tr w:rsidR="00C06A30" w:rsidRPr="005B0B53" w14:paraId="45F0B37D" w14:textId="77777777" w:rsidTr="00C06A30">
        <w:trPr>
          <w:trHeight w:val="290"/>
        </w:trPr>
        <w:tc>
          <w:tcPr>
            <w:tcW w:w="6694" w:type="dxa"/>
          </w:tcPr>
          <w:p w14:paraId="5A4FE428"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sample entropy, m=2, tau=1</w:t>
            </w:r>
          </w:p>
        </w:tc>
      </w:tr>
      <w:tr w:rsidR="00C06A30" w:rsidRPr="005B0B53" w14:paraId="51105213" w14:textId="77777777" w:rsidTr="00C06A30">
        <w:trPr>
          <w:trHeight w:val="290"/>
        </w:trPr>
        <w:tc>
          <w:tcPr>
            <w:tcW w:w="6694" w:type="dxa"/>
          </w:tcPr>
          <w:p w14:paraId="3E229DE6"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permutation entropy, m=3, tau=1</w:t>
            </w:r>
          </w:p>
        </w:tc>
      </w:tr>
      <w:tr w:rsidR="00C06A30" w:rsidRPr="005B0B53" w14:paraId="283B2D50" w14:textId="77777777" w:rsidTr="00C06A30">
        <w:trPr>
          <w:trHeight w:val="290"/>
        </w:trPr>
        <w:tc>
          <w:tcPr>
            <w:tcW w:w="6694" w:type="dxa"/>
          </w:tcPr>
          <w:p w14:paraId="7A2994B7"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distribution entropy, m=2, tau=1</w:t>
            </w:r>
          </w:p>
        </w:tc>
      </w:tr>
      <w:tr w:rsidR="00C06A30" w:rsidRPr="005B0B53" w14:paraId="7A751BEF" w14:textId="77777777" w:rsidTr="00C06A30">
        <w:trPr>
          <w:trHeight w:val="290"/>
        </w:trPr>
        <w:tc>
          <w:tcPr>
            <w:tcW w:w="6694" w:type="dxa"/>
          </w:tcPr>
          <w:p w14:paraId="01462138"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incremental entropy, m=2, tau=1</w:t>
            </w:r>
          </w:p>
        </w:tc>
      </w:tr>
      <w:tr w:rsidR="00C06A30" w:rsidRPr="005B0B53" w14:paraId="7AF046FB" w14:textId="77777777" w:rsidTr="00C06A30">
        <w:trPr>
          <w:trHeight w:val="290"/>
        </w:trPr>
        <w:tc>
          <w:tcPr>
            <w:tcW w:w="6694" w:type="dxa"/>
          </w:tcPr>
          <w:p w14:paraId="79BDA1AC" w14:textId="77777777" w:rsidR="00C06A30" w:rsidRPr="005B0B53" w:rsidRDefault="00C06A30" w:rsidP="00C06A30">
            <w:pPr>
              <w:autoSpaceDE w:val="0"/>
              <w:autoSpaceDN w:val="0"/>
              <w:adjustRightInd w:val="0"/>
              <w:spacing w:after="0" w:line="240" w:lineRule="auto"/>
              <w:rPr>
                <w:rFonts w:ascii="Calibri" w:hAnsi="Calibri" w:cs="Calibri"/>
                <w:color w:val="000000"/>
              </w:rPr>
            </w:pPr>
            <w:proofErr w:type="spellStart"/>
            <w:r w:rsidRPr="005B0B53">
              <w:rPr>
                <w:rFonts w:ascii="Calibri" w:hAnsi="Calibri" w:cs="Calibri"/>
                <w:color w:val="000000"/>
              </w:rPr>
              <w:t>lempel</w:t>
            </w:r>
            <w:proofErr w:type="spellEnd"/>
            <w:r w:rsidRPr="005B0B53">
              <w:rPr>
                <w:rFonts w:ascii="Calibri" w:hAnsi="Calibri" w:cs="Calibri"/>
                <w:color w:val="000000"/>
              </w:rPr>
              <w:t xml:space="preserve"> </w:t>
            </w:r>
            <w:proofErr w:type="spellStart"/>
            <w:r w:rsidRPr="005B0B53">
              <w:rPr>
                <w:rFonts w:ascii="Calibri" w:hAnsi="Calibri" w:cs="Calibri"/>
                <w:color w:val="000000"/>
              </w:rPr>
              <w:t>ziv</w:t>
            </w:r>
            <w:proofErr w:type="spellEnd"/>
            <w:r w:rsidRPr="005B0B53">
              <w:rPr>
                <w:rFonts w:ascii="Calibri" w:hAnsi="Calibri" w:cs="Calibri"/>
                <w:color w:val="000000"/>
              </w:rPr>
              <w:t xml:space="preserve"> complexity</w:t>
            </w:r>
          </w:p>
        </w:tc>
      </w:tr>
      <w:tr w:rsidR="00C06A30" w:rsidRPr="005B0B53" w14:paraId="22DFB533" w14:textId="77777777" w:rsidTr="00C06A30">
        <w:trPr>
          <w:trHeight w:val="290"/>
        </w:trPr>
        <w:tc>
          <w:tcPr>
            <w:tcW w:w="6694" w:type="dxa"/>
          </w:tcPr>
          <w:p w14:paraId="6EE002FE"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lastRenderedPageBreak/>
              <w:t>coarse-graining multiscale permutation entropy complexity index, m=2</w:t>
            </w:r>
          </w:p>
        </w:tc>
      </w:tr>
      <w:tr w:rsidR="00C06A30" w:rsidRPr="005B0B53" w14:paraId="0CF1FF97" w14:textId="77777777" w:rsidTr="00C06A30">
        <w:trPr>
          <w:trHeight w:val="290"/>
        </w:trPr>
        <w:tc>
          <w:tcPr>
            <w:tcW w:w="6694" w:type="dxa"/>
          </w:tcPr>
          <w:p w14:paraId="7B3720CB"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time-shifted multiscale permutation entropy complexity index, m=2</w:t>
            </w:r>
          </w:p>
        </w:tc>
      </w:tr>
      <w:tr w:rsidR="00C06A30" w:rsidRPr="005B0B53" w14:paraId="48A2D573" w14:textId="77777777" w:rsidTr="00C06A30">
        <w:trPr>
          <w:trHeight w:val="290"/>
        </w:trPr>
        <w:tc>
          <w:tcPr>
            <w:tcW w:w="6694" w:type="dxa"/>
          </w:tcPr>
          <w:p w14:paraId="3AE6F070"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composite multiscale permutation entropy complexity index, m=2</w:t>
            </w:r>
          </w:p>
        </w:tc>
      </w:tr>
      <w:tr w:rsidR="00C06A30" w:rsidRPr="005B0B53" w14:paraId="158CA59C" w14:textId="77777777" w:rsidTr="00C06A30">
        <w:trPr>
          <w:trHeight w:val="290"/>
        </w:trPr>
        <w:tc>
          <w:tcPr>
            <w:tcW w:w="6694" w:type="dxa"/>
          </w:tcPr>
          <w:p w14:paraId="29E371AC"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coarse-graining multiscale sample entropy complexity index, m=2</w:t>
            </w:r>
          </w:p>
        </w:tc>
      </w:tr>
      <w:tr w:rsidR="00C06A30" w:rsidRPr="005B0B53" w14:paraId="2ED74F4E" w14:textId="77777777" w:rsidTr="00C06A30">
        <w:trPr>
          <w:trHeight w:val="290"/>
        </w:trPr>
        <w:tc>
          <w:tcPr>
            <w:tcW w:w="6694" w:type="dxa"/>
          </w:tcPr>
          <w:p w14:paraId="4FBA0825"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time-shifted multiscale sample entropy complexity index, m=2</w:t>
            </w:r>
          </w:p>
        </w:tc>
      </w:tr>
      <w:tr w:rsidR="00C06A30" w:rsidRPr="005B0B53" w14:paraId="43138D74" w14:textId="77777777" w:rsidTr="00C06A30">
        <w:trPr>
          <w:trHeight w:val="290"/>
        </w:trPr>
        <w:tc>
          <w:tcPr>
            <w:tcW w:w="6694" w:type="dxa"/>
          </w:tcPr>
          <w:p w14:paraId="150A3157"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composite multiscale sample entropy complexity index, m=2</w:t>
            </w:r>
          </w:p>
        </w:tc>
      </w:tr>
      <w:tr w:rsidR="00C06A30" w:rsidRPr="005B0B53" w14:paraId="3E291571" w14:textId="77777777" w:rsidTr="00C06A30">
        <w:trPr>
          <w:trHeight w:val="290"/>
        </w:trPr>
        <w:tc>
          <w:tcPr>
            <w:tcW w:w="6694" w:type="dxa"/>
          </w:tcPr>
          <w:p w14:paraId="6026737B"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coarse-graining multiscale distribution entropy complexity index, m=2</w:t>
            </w:r>
          </w:p>
        </w:tc>
      </w:tr>
      <w:tr w:rsidR="00C06A30" w:rsidRPr="005B0B53" w14:paraId="2F3C5873" w14:textId="77777777" w:rsidTr="00C06A30">
        <w:trPr>
          <w:trHeight w:val="290"/>
        </w:trPr>
        <w:tc>
          <w:tcPr>
            <w:tcW w:w="6694" w:type="dxa"/>
          </w:tcPr>
          <w:p w14:paraId="49286F22" w14:textId="77777777" w:rsidR="00C06A30" w:rsidRPr="005B0B53" w:rsidRDefault="00C06A30" w:rsidP="00C06A30">
            <w:pPr>
              <w:autoSpaceDE w:val="0"/>
              <w:autoSpaceDN w:val="0"/>
              <w:adjustRightInd w:val="0"/>
              <w:spacing w:after="0" w:line="240" w:lineRule="auto"/>
              <w:rPr>
                <w:rFonts w:ascii="Calibri" w:hAnsi="Calibri" w:cs="Calibri"/>
                <w:color w:val="000000"/>
              </w:rPr>
            </w:pPr>
            <w:r w:rsidRPr="005B0B53">
              <w:rPr>
                <w:rFonts w:ascii="Calibri" w:hAnsi="Calibri" w:cs="Calibri"/>
                <w:color w:val="000000"/>
              </w:rPr>
              <w:t>time-shifted multiscale distribution entropy complexity index, m=2</w:t>
            </w:r>
          </w:p>
        </w:tc>
      </w:tr>
      <w:tr w:rsidR="00C06A30" w:rsidRPr="005B0B53" w14:paraId="347B5B3F" w14:textId="77777777" w:rsidTr="00C06A30">
        <w:trPr>
          <w:trHeight w:val="290"/>
        </w:trPr>
        <w:tc>
          <w:tcPr>
            <w:tcW w:w="6694" w:type="dxa"/>
          </w:tcPr>
          <w:p w14:paraId="3919F93D" w14:textId="77777777" w:rsidR="00C06A30" w:rsidRPr="005B0B53" w:rsidRDefault="00C06A30" w:rsidP="00F8618A">
            <w:pPr>
              <w:keepNext/>
              <w:autoSpaceDE w:val="0"/>
              <w:autoSpaceDN w:val="0"/>
              <w:adjustRightInd w:val="0"/>
              <w:spacing w:after="0" w:line="240" w:lineRule="auto"/>
              <w:rPr>
                <w:rFonts w:ascii="Calibri" w:hAnsi="Calibri" w:cs="Calibri"/>
                <w:color w:val="000000"/>
              </w:rPr>
            </w:pPr>
            <w:r w:rsidRPr="005B0B53">
              <w:rPr>
                <w:rFonts w:ascii="Calibri" w:hAnsi="Calibri" w:cs="Calibri"/>
                <w:color w:val="000000"/>
              </w:rPr>
              <w:t>composite multiscale distribution entropy complexity index, m=2</w:t>
            </w:r>
          </w:p>
        </w:tc>
      </w:tr>
    </w:tbl>
    <w:p w14:paraId="7B6861AA" w14:textId="77777777" w:rsidR="00B00CD8" w:rsidRPr="00A02A64" w:rsidRDefault="00F8618A" w:rsidP="00F8618A">
      <w:pPr>
        <w:pStyle w:val="Caption"/>
        <w:rPr>
          <w:i w:val="0"/>
        </w:rPr>
      </w:pPr>
      <w:r>
        <w:t>Table S</w:t>
      </w:r>
      <w:r w:rsidR="00ED2683">
        <w:fldChar w:fldCharType="begin"/>
      </w:r>
      <w:r w:rsidR="00ED2683">
        <w:instrText xml:space="preserve"> SEQ Table \* ARABIC </w:instrText>
      </w:r>
      <w:r w:rsidR="00ED2683">
        <w:fldChar w:fldCharType="separate"/>
      </w:r>
      <w:r w:rsidR="008059EC">
        <w:rPr>
          <w:noProof/>
        </w:rPr>
        <w:t>2</w:t>
      </w:r>
      <w:r w:rsidR="00ED2683">
        <w:rPr>
          <w:noProof/>
        </w:rPr>
        <w:fldChar w:fldCharType="end"/>
      </w:r>
      <w:r w:rsidR="00A02A64">
        <w:rPr>
          <w:i w:val="0"/>
        </w:rPr>
        <w:t xml:space="preserve"> List of different measures of temporal complexity tested here. </w:t>
      </w:r>
      <w:proofErr w:type="gramStart"/>
      <w:r w:rsidR="00A02A64">
        <w:rPr>
          <w:i w:val="0"/>
        </w:rPr>
        <w:t>m</w:t>
      </w:r>
      <w:proofErr w:type="gramEnd"/>
      <w:r w:rsidR="00A02A64">
        <w:rPr>
          <w:i w:val="0"/>
        </w:rPr>
        <w:t xml:space="preserve"> represents embedding dimension and tau represents the embedding time delay. For multiscale entropy, the embedding time delay range from 1 to 20.</w:t>
      </w:r>
    </w:p>
    <w:tbl>
      <w:tblPr>
        <w:tblStyle w:val="TableGrid"/>
        <w:tblW w:w="0" w:type="auto"/>
        <w:tblLook w:val="04A0" w:firstRow="1" w:lastRow="0" w:firstColumn="1" w:lastColumn="0" w:noHBand="0" w:noVBand="1"/>
      </w:tblPr>
      <w:tblGrid>
        <w:gridCol w:w="9350"/>
      </w:tblGrid>
      <w:tr w:rsidR="009648A6" w14:paraId="01EF2A54" w14:textId="77777777" w:rsidTr="009648A6">
        <w:tc>
          <w:tcPr>
            <w:tcW w:w="9350" w:type="dxa"/>
          </w:tcPr>
          <w:p w14:paraId="6E77B888" w14:textId="77777777" w:rsidR="009648A6" w:rsidRDefault="009648A6" w:rsidP="00C06A30">
            <w:r w:rsidRPr="00947E38">
              <w:rPr>
                <w:b/>
              </w:rPr>
              <w:t>Left Motor</w:t>
            </w:r>
            <w:r>
              <w:t xml:space="preserve"> </w:t>
            </w:r>
            <w:r w:rsidR="00F96CC7">
              <w:t>–</w:t>
            </w:r>
            <w:r>
              <w:t xml:space="preserve"> </w:t>
            </w:r>
            <w:r w:rsidR="00F96CC7">
              <w:t>C1, C3, C5, FC1, FC3, FC5</w:t>
            </w:r>
          </w:p>
        </w:tc>
      </w:tr>
      <w:tr w:rsidR="009648A6" w14:paraId="1F7B728A" w14:textId="77777777" w:rsidTr="009648A6">
        <w:tc>
          <w:tcPr>
            <w:tcW w:w="9350" w:type="dxa"/>
          </w:tcPr>
          <w:p w14:paraId="4F3781CD" w14:textId="77777777" w:rsidR="009648A6" w:rsidRDefault="009648A6" w:rsidP="00C06A30">
            <w:r w:rsidRPr="00947E38">
              <w:rPr>
                <w:b/>
              </w:rPr>
              <w:t xml:space="preserve">Central </w:t>
            </w:r>
            <w:r w:rsidR="00F96CC7">
              <w:t>–</w:t>
            </w:r>
            <w:r>
              <w:t xml:space="preserve"> </w:t>
            </w:r>
            <w:r w:rsidR="00F96CC7">
              <w:t>FC5, FC3, FC1, FC2, FC4, FC6, C5, C3, C1, C2, C4, C6, CP5, CP3, CP1, CP2, CP4, CP6</w:t>
            </w:r>
          </w:p>
        </w:tc>
      </w:tr>
      <w:tr w:rsidR="009648A6" w14:paraId="54E34448" w14:textId="77777777" w:rsidTr="009648A6">
        <w:tc>
          <w:tcPr>
            <w:tcW w:w="9350" w:type="dxa"/>
          </w:tcPr>
          <w:p w14:paraId="5DE5D32D" w14:textId="77777777" w:rsidR="009648A6" w:rsidRDefault="009648A6" w:rsidP="00F8618A">
            <w:pPr>
              <w:keepNext/>
            </w:pPr>
            <w:r w:rsidRPr="00947E38">
              <w:rPr>
                <w:b/>
              </w:rPr>
              <w:t xml:space="preserve">All </w:t>
            </w:r>
            <w:r w:rsidR="00F96CC7">
              <w:t>–</w:t>
            </w:r>
            <w:r>
              <w:t xml:space="preserve"> </w:t>
            </w:r>
            <w:r w:rsidR="00F96CC7">
              <w:t xml:space="preserve">Fp1, Fz, F3, F7, FC5, FC1, C3, T7, CP5, CP1, </w:t>
            </w:r>
            <w:proofErr w:type="spellStart"/>
            <w:r w:rsidR="00F96CC7">
              <w:t>Pz</w:t>
            </w:r>
            <w:proofErr w:type="spellEnd"/>
            <w:r w:rsidR="00F96CC7">
              <w:t xml:space="preserve">, P3, P7, O1, Oz, O2, P4, P8, CP6, CP2, </w:t>
            </w:r>
            <w:proofErr w:type="spellStart"/>
            <w:r w:rsidR="00F96CC7">
              <w:t>Cz</w:t>
            </w:r>
            <w:proofErr w:type="spellEnd"/>
            <w:r w:rsidR="00F96CC7">
              <w:t xml:space="preserve">, C4, T8, FC6, FC2, F4, F8, Fp2, AF7, AF3, F1, F5, FT7, FC3, C1, C5, TP7, CP3, P1, P5, PO7, PO3, POz, PO4, PO8, P6, P2, </w:t>
            </w:r>
            <w:proofErr w:type="spellStart"/>
            <w:r w:rsidR="00F96CC7">
              <w:t>CPz</w:t>
            </w:r>
            <w:proofErr w:type="spellEnd"/>
            <w:r w:rsidR="00F96CC7">
              <w:t>, CP4, TP8, C6, C2, FC4, FT8, F6, AF8, AF4, F2</w:t>
            </w:r>
          </w:p>
        </w:tc>
      </w:tr>
    </w:tbl>
    <w:p w14:paraId="2DBF5D51" w14:textId="77777777" w:rsidR="002F4A28" w:rsidRDefault="00F8618A" w:rsidP="00A71363">
      <w:pPr>
        <w:pStyle w:val="Caption"/>
        <w:rPr>
          <w:i w:val="0"/>
        </w:rPr>
      </w:pPr>
      <w:r>
        <w:t>Table S</w:t>
      </w:r>
      <w:r w:rsidR="00ED2683">
        <w:fldChar w:fldCharType="begin"/>
      </w:r>
      <w:r w:rsidR="00ED2683">
        <w:instrText xml:space="preserve"> SEQ Table \* ARABIC </w:instrText>
      </w:r>
      <w:r w:rsidR="00ED2683">
        <w:fldChar w:fldCharType="separate"/>
      </w:r>
      <w:r w:rsidR="008059EC">
        <w:rPr>
          <w:noProof/>
        </w:rPr>
        <w:t>3</w:t>
      </w:r>
      <w:r w:rsidR="00ED2683">
        <w:rPr>
          <w:noProof/>
        </w:rPr>
        <w:fldChar w:fldCharType="end"/>
      </w:r>
      <w:r w:rsidR="00727829">
        <w:t xml:space="preserve">. </w:t>
      </w:r>
      <w:r w:rsidR="00727829" w:rsidRPr="00727829">
        <w:rPr>
          <w:i w:val="0"/>
        </w:rPr>
        <w:t>List of ROIs and their EEG channels.</w:t>
      </w:r>
    </w:p>
    <w:tbl>
      <w:tblPr>
        <w:tblW w:w="0" w:type="auto"/>
        <w:tblInd w:w="-30" w:type="dxa"/>
        <w:tblLayout w:type="fixed"/>
        <w:tblLook w:val="0000" w:firstRow="0" w:lastRow="0" w:firstColumn="0" w:lastColumn="0" w:noHBand="0" w:noVBand="0"/>
      </w:tblPr>
      <w:tblGrid>
        <w:gridCol w:w="1448"/>
        <w:gridCol w:w="1134"/>
        <w:gridCol w:w="1134"/>
        <w:gridCol w:w="1134"/>
        <w:gridCol w:w="1134"/>
        <w:gridCol w:w="1134"/>
        <w:gridCol w:w="1134"/>
        <w:gridCol w:w="1134"/>
      </w:tblGrid>
      <w:tr w:rsidR="00E879FD" w:rsidRPr="00475B05" w14:paraId="20F669F2" w14:textId="77777777" w:rsidTr="00FF1166">
        <w:trPr>
          <w:trHeight w:val="290"/>
        </w:trPr>
        <w:tc>
          <w:tcPr>
            <w:tcW w:w="1448" w:type="dxa"/>
            <w:tcBorders>
              <w:top w:val="nil"/>
              <w:left w:val="nil"/>
              <w:right w:val="single" w:sz="4" w:space="0" w:color="auto"/>
            </w:tcBorders>
          </w:tcPr>
          <w:p w14:paraId="216BBA21"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Model Name</w:t>
            </w:r>
          </w:p>
        </w:tc>
        <w:tc>
          <w:tcPr>
            <w:tcW w:w="1134" w:type="dxa"/>
            <w:tcBorders>
              <w:top w:val="nil"/>
              <w:left w:val="single" w:sz="4" w:space="0" w:color="auto"/>
              <w:right w:val="nil"/>
            </w:tcBorders>
          </w:tcPr>
          <w:p w14:paraId="3CD04554"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Accuracy</w:t>
            </w:r>
          </w:p>
        </w:tc>
        <w:tc>
          <w:tcPr>
            <w:tcW w:w="1134" w:type="dxa"/>
            <w:tcBorders>
              <w:top w:val="nil"/>
              <w:left w:val="nil"/>
              <w:right w:val="nil"/>
            </w:tcBorders>
          </w:tcPr>
          <w:p w14:paraId="1D0069FB"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Sensitivity</w:t>
            </w:r>
          </w:p>
        </w:tc>
        <w:tc>
          <w:tcPr>
            <w:tcW w:w="1134" w:type="dxa"/>
            <w:tcBorders>
              <w:top w:val="nil"/>
              <w:left w:val="nil"/>
              <w:right w:val="nil"/>
            </w:tcBorders>
          </w:tcPr>
          <w:p w14:paraId="33EE7A15"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Specificity</w:t>
            </w:r>
          </w:p>
        </w:tc>
        <w:tc>
          <w:tcPr>
            <w:tcW w:w="1134" w:type="dxa"/>
            <w:tcBorders>
              <w:top w:val="nil"/>
              <w:left w:val="nil"/>
              <w:right w:val="nil"/>
            </w:tcBorders>
          </w:tcPr>
          <w:p w14:paraId="5ECE3E6F"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F1</w:t>
            </w:r>
          </w:p>
        </w:tc>
        <w:tc>
          <w:tcPr>
            <w:tcW w:w="1134" w:type="dxa"/>
            <w:tcBorders>
              <w:top w:val="nil"/>
              <w:left w:val="nil"/>
              <w:right w:val="nil"/>
            </w:tcBorders>
          </w:tcPr>
          <w:p w14:paraId="293E1B1E"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ROC AUC</w:t>
            </w:r>
          </w:p>
        </w:tc>
        <w:tc>
          <w:tcPr>
            <w:tcW w:w="1134" w:type="dxa"/>
            <w:tcBorders>
              <w:top w:val="nil"/>
              <w:left w:val="nil"/>
              <w:right w:val="nil"/>
            </w:tcBorders>
          </w:tcPr>
          <w:p w14:paraId="4EA30BDD"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PR AUC</w:t>
            </w:r>
          </w:p>
        </w:tc>
        <w:tc>
          <w:tcPr>
            <w:tcW w:w="1134" w:type="dxa"/>
            <w:tcBorders>
              <w:top w:val="nil"/>
              <w:left w:val="nil"/>
              <w:right w:val="nil"/>
            </w:tcBorders>
          </w:tcPr>
          <w:p w14:paraId="600AFF71" w14:textId="77777777" w:rsidR="00E879FD" w:rsidRPr="00475B05" w:rsidRDefault="00E879FD" w:rsidP="00716343">
            <w:pPr>
              <w:autoSpaceDE w:val="0"/>
              <w:autoSpaceDN w:val="0"/>
              <w:adjustRightInd w:val="0"/>
              <w:spacing w:after="0" w:line="240" w:lineRule="auto"/>
              <w:jc w:val="center"/>
              <w:rPr>
                <w:rFonts w:ascii="Calibri" w:hAnsi="Calibri" w:cs="Calibri"/>
                <w:b/>
                <w:bCs/>
                <w:color w:val="000000"/>
                <w:sz w:val="18"/>
                <w:szCs w:val="18"/>
              </w:rPr>
            </w:pPr>
            <w:r w:rsidRPr="00475B05">
              <w:rPr>
                <w:rFonts w:ascii="Calibri" w:hAnsi="Calibri" w:cs="Calibri"/>
                <w:b/>
                <w:bCs/>
                <w:color w:val="000000"/>
                <w:sz w:val="18"/>
                <w:szCs w:val="18"/>
              </w:rPr>
              <w:t>Precision</w:t>
            </w:r>
          </w:p>
        </w:tc>
      </w:tr>
      <w:tr w:rsidR="00E879FD" w:rsidRPr="00475B05" w14:paraId="64EBD5BB" w14:textId="77777777" w:rsidTr="00FF1166">
        <w:trPr>
          <w:trHeight w:val="494"/>
        </w:trPr>
        <w:tc>
          <w:tcPr>
            <w:tcW w:w="9386" w:type="dxa"/>
            <w:gridSpan w:val="8"/>
            <w:tcBorders>
              <w:top w:val="nil"/>
              <w:left w:val="nil"/>
              <w:bottom w:val="single" w:sz="4" w:space="0" w:color="auto"/>
            </w:tcBorders>
          </w:tcPr>
          <w:p w14:paraId="284B1ED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MEP Experiment 1</w:t>
            </w:r>
          </w:p>
        </w:tc>
      </w:tr>
      <w:tr w:rsidR="00E879FD" w:rsidRPr="00475B05" w14:paraId="1162481E" w14:textId="77777777" w:rsidTr="00FF1166">
        <w:trPr>
          <w:trHeight w:val="494"/>
        </w:trPr>
        <w:tc>
          <w:tcPr>
            <w:tcW w:w="1448" w:type="dxa"/>
            <w:tcBorders>
              <w:top w:val="single" w:sz="4" w:space="0" w:color="auto"/>
              <w:left w:val="nil"/>
              <w:bottom w:val="nil"/>
              <w:right w:val="single" w:sz="4" w:space="0" w:color="auto"/>
            </w:tcBorders>
          </w:tcPr>
          <w:p w14:paraId="467351C8"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b/>
                <w:bCs/>
                <w:color w:val="000000"/>
                <w:sz w:val="18"/>
                <w:szCs w:val="18"/>
              </w:rPr>
              <w:t>a</w:t>
            </w:r>
          </w:p>
          <w:p w14:paraId="5115403E"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LDA CV</w:t>
            </w:r>
          </w:p>
        </w:tc>
        <w:tc>
          <w:tcPr>
            <w:tcW w:w="1134" w:type="dxa"/>
            <w:tcBorders>
              <w:top w:val="single" w:sz="4" w:space="0" w:color="auto"/>
              <w:left w:val="single" w:sz="4" w:space="0" w:color="auto"/>
              <w:bottom w:val="nil"/>
              <w:right w:val="nil"/>
            </w:tcBorders>
          </w:tcPr>
          <w:p w14:paraId="374E7B8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0.71</w:t>
            </w:r>
          </w:p>
          <w:p w14:paraId="58E54D7E"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[0.64, 0.79]</w:t>
            </w:r>
          </w:p>
        </w:tc>
        <w:tc>
          <w:tcPr>
            <w:tcW w:w="1134" w:type="dxa"/>
            <w:tcBorders>
              <w:top w:val="single" w:sz="4" w:space="0" w:color="auto"/>
              <w:left w:val="nil"/>
              <w:bottom w:val="nil"/>
              <w:right w:val="nil"/>
            </w:tcBorders>
          </w:tcPr>
          <w:p w14:paraId="6FDAD31B"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0.66</w:t>
            </w:r>
          </w:p>
          <w:p w14:paraId="38E1A81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[0.55, 0.77]</w:t>
            </w:r>
          </w:p>
        </w:tc>
        <w:tc>
          <w:tcPr>
            <w:tcW w:w="1134" w:type="dxa"/>
            <w:tcBorders>
              <w:top w:val="single" w:sz="4" w:space="0" w:color="auto"/>
              <w:left w:val="nil"/>
              <w:bottom w:val="nil"/>
              <w:right w:val="nil"/>
            </w:tcBorders>
          </w:tcPr>
          <w:p w14:paraId="43F99EB8"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0.82</w:t>
            </w:r>
          </w:p>
          <w:p w14:paraId="5A4ACD10"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[0.71, 0.93]</w:t>
            </w:r>
          </w:p>
        </w:tc>
        <w:tc>
          <w:tcPr>
            <w:tcW w:w="1134" w:type="dxa"/>
            <w:tcBorders>
              <w:top w:val="single" w:sz="4" w:space="0" w:color="auto"/>
              <w:left w:val="nil"/>
              <w:bottom w:val="nil"/>
              <w:right w:val="nil"/>
            </w:tcBorders>
          </w:tcPr>
          <w:p w14:paraId="02A9BEF3"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0.74</w:t>
            </w:r>
          </w:p>
          <w:p w14:paraId="450F257A"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[0.63, 0.84]</w:t>
            </w:r>
          </w:p>
        </w:tc>
        <w:tc>
          <w:tcPr>
            <w:tcW w:w="1134" w:type="dxa"/>
            <w:tcBorders>
              <w:top w:val="single" w:sz="4" w:space="0" w:color="auto"/>
              <w:left w:val="nil"/>
              <w:bottom w:val="nil"/>
              <w:right w:val="nil"/>
            </w:tcBorders>
          </w:tcPr>
          <w:p w14:paraId="711D91CF" w14:textId="77777777" w:rsidR="00E879FD" w:rsidRPr="00475B05" w:rsidRDefault="004C6D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0.75</w:t>
            </w:r>
          </w:p>
          <w:p w14:paraId="166FB6E6"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[0.67, 0.81]</w:t>
            </w:r>
          </w:p>
        </w:tc>
        <w:tc>
          <w:tcPr>
            <w:tcW w:w="1134" w:type="dxa"/>
            <w:tcBorders>
              <w:top w:val="single" w:sz="4" w:space="0" w:color="auto"/>
              <w:left w:val="nil"/>
              <w:bottom w:val="nil"/>
              <w:right w:val="nil"/>
            </w:tcBorders>
          </w:tcPr>
          <w:p w14:paraId="56C86367"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0.82</w:t>
            </w:r>
          </w:p>
          <w:p w14:paraId="609A5C0E"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[0.78, 0.87]</w:t>
            </w:r>
          </w:p>
        </w:tc>
        <w:tc>
          <w:tcPr>
            <w:tcW w:w="1134" w:type="dxa"/>
            <w:tcBorders>
              <w:top w:val="single" w:sz="4" w:space="0" w:color="auto"/>
              <w:left w:val="nil"/>
              <w:bottom w:val="nil"/>
              <w:right w:val="nil"/>
            </w:tcBorders>
          </w:tcPr>
          <w:p w14:paraId="1CCA65AC"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0.83</w:t>
            </w:r>
          </w:p>
          <w:p w14:paraId="1BAB302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[0.72, 0.95]</w:t>
            </w:r>
          </w:p>
        </w:tc>
      </w:tr>
      <w:tr w:rsidR="00E879FD" w:rsidRPr="00475B05" w14:paraId="560F5B8D" w14:textId="77777777" w:rsidTr="00FF1166">
        <w:trPr>
          <w:trHeight w:val="494"/>
        </w:trPr>
        <w:tc>
          <w:tcPr>
            <w:tcW w:w="1448" w:type="dxa"/>
            <w:tcBorders>
              <w:top w:val="nil"/>
              <w:left w:val="nil"/>
              <w:right w:val="single" w:sz="4" w:space="0" w:color="auto"/>
            </w:tcBorders>
          </w:tcPr>
          <w:p w14:paraId="0275707B"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b/>
                <w:bCs/>
                <w:color w:val="000000"/>
                <w:sz w:val="18"/>
                <w:szCs w:val="18"/>
              </w:rPr>
              <w:t>b</w:t>
            </w:r>
          </w:p>
          <w:p w14:paraId="6E68E065"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LDA CV</w:t>
            </w:r>
          </w:p>
        </w:tc>
        <w:tc>
          <w:tcPr>
            <w:tcW w:w="1134" w:type="dxa"/>
            <w:tcBorders>
              <w:top w:val="nil"/>
              <w:left w:val="single" w:sz="4" w:space="0" w:color="auto"/>
              <w:right w:val="nil"/>
            </w:tcBorders>
          </w:tcPr>
          <w:p w14:paraId="487567FF"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0.53</w:t>
            </w:r>
          </w:p>
          <w:p w14:paraId="5B23825E"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[0.36, 0.69]</w:t>
            </w:r>
          </w:p>
        </w:tc>
        <w:tc>
          <w:tcPr>
            <w:tcW w:w="1134" w:type="dxa"/>
            <w:tcBorders>
              <w:top w:val="nil"/>
              <w:left w:val="nil"/>
              <w:right w:val="nil"/>
            </w:tcBorders>
          </w:tcPr>
          <w:p w14:paraId="7C4D3D17"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0.47</w:t>
            </w:r>
          </w:p>
          <w:p w14:paraId="3A2D9F9B"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[0.29, 0.66]</w:t>
            </w:r>
          </w:p>
        </w:tc>
        <w:tc>
          <w:tcPr>
            <w:tcW w:w="1134" w:type="dxa"/>
            <w:tcBorders>
              <w:top w:val="nil"/>
              <w:left w:val="nil"/>
              <w:right w:val="nil"/>
            </w:tcBorders>
          </w:tcPr>
          <w:p w14:paraId="0350C7B7"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0.59</w:t>
            </w:r>
          </w:p>
          <w:p w14:paraId="4D0A791E"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[0.35, 0.76]</w:t>
            </w:r>
          </w:p>
        </w:tc>
        <w:tc>
          <w:tcPr>
            <w:tcW w:w="1134" w:type="dxa"/>
            <w:tcBorders>
              <w:top w:val="nil"/>
              <w:left w:val="nil"/>
              <w:right w:val="nil"/>
            </w:tcBorders>
          </w:tcPr>
          <w:p w14:paraId="25D5523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0.51</w:t>
            </w:r>
          </w:p>
          <w:p w14:paraId="03C0AC9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[0.34, 0.68]</w:t>
            </w:r>
          </w:p>
        </w:tc>
        <w:tc>
          <w:tcPr>
            <w:tcW w:w="1134" w:type="dxa"/>
            <w:tcBorders>
              <w:top w:val="nil"/>
              <w:left w:val="nil"/>
              <w:right w:val="nil"/>
            </w:tcBorders>
          </w:tcPr>
          <w:p w14:paraId="11A9690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0.54</w:t>
            </w:r>
          </w:p>
          <w:p w14:paraId="2B2E30E5"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[0.37, 0.74]</w:t>
            </w:r>
          </w:p>
        </w:tc>
        <w:tc>
          <w:tcPr>
            <w:tcW w:w="1134" w:type="dxa"/>
            <w:tcBorders>
              <w:top w:val="nil"/>
              <w:left w:val="nil"/>
              <w:right w:val="nil"/>
            </w:tcBorders>
          </w:tcPr>
          <w:p w14:paraId="2616796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0.63</w:t>
            </w:r>
          </w:p>
          <w:p w14:paraId="473BADA5"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[0.52, 0.80]</w:t>
            </w:r>
          </w:p>
        </w:tc>
        <w:tc>
          <w:tcPr>
            <w:tcW w:w="1134" w:type="dxa"/>
            <w:tcBorders>
              <w:top w:val="nil"/>
              <w:left w:val="nil"/>
              <w:right w:val="nil"/>
            </w:tcBorders>
          </w:tcPr>
          <w:p w14:paraId="5781753F"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0.56</w:t>
            </w:r>
          </w:p>
          <w:p w14:paraId="1C7BD7B7"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[0.38, 0.74]</w:t>
            </w:r>
          </w:p>
        </w:tc>
      </w:tr>
      <w:tr w:rsidR="00E879FD" w:rsidRPr="00475B05" w14:paraId="4DC1A6AD" w14:textId="77777777" w:rsidTr="00FF1166">
        <w:trPr>
          <w:trHeight w:val="494"/>
        </w:trPr>
        <w:tc>
          <w:tcPr>
            <w:tcW w:w="9386" w:type="dxa"/>
            <w:gridSpan w:val="8"/>
            <w:tcBorders>
              <w:top w:val="nil"/>
              <w:left w:val="nil"/>
              <w:bottom w:val="single" w:sz="4" w:space="0" w:color="auto"/>
            </w:tcBorders>
          </w:tcPr>
          <w:p w14:paraId="2638026C"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LMFP Ratios Experiment 1</w:t>
            </w:r>
          </w:p>
        </w:tc>
      </w:tr>
      <w:tr w:rsidR="00E879FD" w:rsidRPr="00475B05" w14:paraId="039CBBE1" w14:textId="77777777" w:rsidTr="00FF1166">
        <w:trPr>
          <w:trHeight w:val="494"/>
        </w:trPr>
        <w:tc>
          <w:tcPr>
            <w:tcW w:w="1448" w:type="dxa"/>
            <w:tcBorders>
              <w:top w:val="single" w:sz="4" w:space="0" w:color="auto"/>
              <w:left w:val="nil"/>
              <w:bottom w:val="nil"/>
              <w:right w:val="single" w:sz="4" w:space="0" w:color="auto"/>
            </w:tcBorders>
          </w:tcPr>
          <w:p w14:paraId="19241297"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b/>
                <w:bCs/>
                <w:color w:val="000000"/>
                <w:sz w:val="18"/>
                <w:szCs w:val="18"/>
              </w:rPr>
              <w:t>c</w:t>
            </w:r>
          </w:p>
          <w:p w14:paraId="17E9F93C"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Lasso L2 CV</w:t>
            </w:r>
          </w:p>
        </w:tc>
        <w:tc>
          <w:tcPr>
            <w:tcW w:w="1134" w:type="dxa"/>
            <w:tcBorders>
              <w:top w:val="single" w:sz="4" w:space="0" w:color="auto"/>
              <w:left w:val="single" w:sz="4" w:space="0" w:color="auto"/>
              <w:bottom w:val="nil"/>
              <w:right w:val="nil"/>
            </w:tcBorders>
          </w:tcPr>
          <w:p w14:paraId="060B2620"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0.90</w:t>
            </w:r>
          </w:p>
          <w:p w14:paraId="74C25D5B"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[0.85, 0.95]</w:t>
            </w:r>
          </w:p>
        </w:tc>
        <w:tc>
          <w:tcPr>
            <w:tcW w:w="1134" w:type="dxa"/>
            <w:tcBorders>
              <w:top w:val="single" w:sz="4" w:space="0" w:color="auto"/>
              <w:left w:val="nil"/>
              <w:bottom w:val="nil"/>
              <w:right w:val="nil"/>
            </w:tcBorders>
          </w:tcPr>
          <w:p w14:paraId="5F84740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0.98</w:t>
            </w:r>
          </w:p>
          <w:p w14:paraId="77650AA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[0.95, 1.00]</w:t>
            </w:r>
          </w:p>
        </w:tc>
        <w:tc>
          <w:tcPr>
            <w:tcW w:w="1134" w:type="dxa"/>
            <w:tcBorders>
              <w:top w:val="single" w:sz="4" w:space="0" w:color="auto"/>
              <w:left w:val="nil"/>
              <w:bottom w:val="nil"/>
              <w:right w:val="nil"/>
            </w:tcBorders>
          </w:tcPr>
          <w:p w14:paraId="7A55E8FA"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0.70</w:t>
            </w:r>
          </w:p>
          <w:p w14:paraId="4CD7B009"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[0.56, 0.84]</w:t>
            </w:r>
          </w:p>
        </w:tc>
        <w:tc>
          <w:tcPr>
            <w:tcW w:w="1134" w:type="dxa"/>
            <w:tcBorders>
              <w:top w:val="single" w:sz="4" w:space="0" w:color="auto"/>
              <w:left w:val="nil"/>
              <w:bottom w:val="nil"/>
              <w:right w:val="nil"/>
            </w:tcBorders>
          </w:tcPr>
          <w:p w14:paraId="098934CC"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0.94</w:t>
            </w:r>
          </w:p>
          <w:p w14:paraId="6FBB1C5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[0.91, 0.97]</w:t>
            </w:r>
          </w:p>
        </w:tc>
        <w:tc>
          <w:tcPr>
            <w:tcW w:w="1134" w:type="dxa"/>
            <w:tcBorders>
              <w:top w:val="single" w:sz="4" w:space="0" w:color="auto"/>
              <w:left w:val="nil"/>
              <w:bottom w:val="nil"/>
              <w:right w:val="nil"/>
            </w:tcBorders>
          </w:tcPr>
          <w:p w14:paraId="783A680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0.84</w:t>
            </w:r>
          </w:p>
          <w:p w14:paraId="73B6BB1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[0.76, 0.91]</w:t>
            </w:r>
          </w:p>
        </w:tc>
        <w:tc>
          <w:tcPr>
            <w:tcW w:w="1134" w:type="dxa"/>
            <w:tcBorders>
              <w:top w:val="single" w:sz="4" w:space="0" w:color="auto"/>
              <w:left w:val="nil"/>
              <w:bottom w:val="nil"/>
              <w:right w:val="nil"/>
            </w:tcBorders>
          </w:tcPr>
          <w:p w14:paraId="4433A796"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0.90</w:t>
            </w:r>
          </w:p>
          <w:p w14:paraId="0CB0FDB0"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[0.86, 0.94]</w:t>
            </w:r>
          </w:p>
        </w:tc>
        <w:tc>
          <w:tcPr>
            <w:tcW w:w="1134" w:type="dxa"/>
            <w:tcBorders>
              <w:top w:val="single" w:sz="4" w:space="0" w:color="auto"/>
              <w:left w:val="nil"/>
              <w:bottom w:val="nil"/>
              <w:right w:val="nil"/>
            </w:tcBorders>
          </w:tcPr>
          <w:p w14:paraId="7D00F46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0.90</w:t>
            </w:r>
          </w:p>
          <w:p w14:paraId="28ACAE05"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[0.86, 0.95]</w:t>
            </w:r>
          </w:p>
        </w:tc>
      </w:tr>
      <w:tr w:rsidR="00E879FD" w:rsidRPr="00475B05" w14:paraId="4F4B4229" w14:textId="77777777" w:rsidTr="00716343">
        <w:trPr>
          <w:trHeight w:val="494"/>
        </w:trPr>
        <w:tc>
          <w:tcPr>
            <w:tcW w:w="1448" w:type="dxa"/>
            <w:tcBorders>
              <w:top w:val="nil"/>
              <w:left w:val="nil"/>
              <w:bottom w:val="nil"/>
              <w:right w:val="single" w:sz="4" w:space="0" w:color="auto"/>
            </w:tcBorders>
          </w:tcPr>
          <w:p w14:paraId="2EE053D9"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b/>
                <w:bCs/>
                <w:color w:val="000000"/>
                <w:sz w:val="18"/>
                <w:szCs w:val="18"/>
              </w:rPr>
              <w:t>d</w:t>
            </w:r>
          </w:p>
          <w:p w14:paraId="6EFD6CA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Lasso L2 CV</w:t>
            </w:r>
          </w:p>
        </w:tc>
        <w:tc>
          <w:tcPr>
            <w:tcW w:w="1134" w:type="dxa"/>
            <w:tcBorders>
              <w:top w:val="nil"/>
              <w:left w:val="single" w:sz="4" w:space="0" w:color="auto"/>
              <w:bottom w:val="nil"/>
              <w:right w:val="nil"/>
            </w:tcBorders>
          </w:tcPr>
          <w:p w14:paraId="0B3DD45B"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0.61</w:t>
            </w:r>
          </w:p>
          <w:p w14:paraId="5E085570"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[0.50, 0.71]</w:t>
            </w:r>
          </w:p>
        </w:tc>
        <w:tc>
          <w:tcPr>
            <w:tcW w:w="1134" w:type="dxa"/>
            <w:tcBorders>
              <w:top w:val="nil"/>
              <w:left w:val="nil"/>
              <w:bottom w:val="nil"/>
              <w:right w:val="nil"/>
            </w:tcBorders>
          </w:tcPr>
          <w:p w14:paraId="00C2943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0.90</w:t>
            </w:r>
          </w:p>
          <w:p w14:paraId="43BDA6E0"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[0.75, 1.00]</w:t>
            </w:r>
          </w:p>
        </w:tc>
        <w:tc>
          <w:tcPr>
            <w:tcW w:w="1134" w:type="dxa"/>
            <w:tcBorders>
              <w:top w:val="nil"/>
              <w:left w:val="nil"/>
              <w:bottom w:val="nil"/>
              <w:right w:val="nil"/>
            </w:tcBorders>
          </w:tcPr>
          <w:p w14:paraId="5DB7BA7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0.28</w:t>
            </w:r>
          </w:p>
          <w:p w14:paraId="6C7A2DEA"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[0.17, 0.44]</w:t>
            </w:r>
          </w:p>
        </w:tc>
        <w:tc>
          <w:tcPr>
            <w:tcW w:w="1134" w:type="dxa"/>
            <w:tcBorders>
              <w:top w:val="nil"/>
              <w:left w:val="nil"/>
              <w:bottom w:val="nil"/>
              <w:right w:val="nil"/>
            </w:tcBorders>
          </w:tcPr>
          <w:p w14:paraId="2640686A"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0.71</w:t>
            </w:r>
          </w:p>
          <w:p w14:paraId="0FF26E79"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[0.61, 0.78]</w:t>
            </w:r>
          </w:p>
        </w:tc>
        <w:tc>
          <w:tcPr>
            <w:tcW w:w="1134" w:type="dxa"/>
            <w:tcBorders>
              <w:top w:val="nil"/>
              <w:left w:val="nil"/>
              <w:bottom w:val="nil"/>
              <w:right w:val="nil"/>
            </w:tcBorders>
          </w:tcPr>
          <w:p w14:paraId="6284C1C4"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0.49</w:t>
            </w:r>
          </w:p>
          <w:p w14:paraId="1A0A63AF"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[0.39, 0.65]</w:t>
            </w:r>
          </w:p>
        </w:tc>
        <w:tc>
          <w:tcPr>
            <w:tcW w:w="1134" w:type="dxa"/>
            <w:tcBorders>
              <w:top w:val="nil"/>
              <w:left w:val="nil"/>
              <w:bottom w:val="nil"/>
              <w:right w:val="nil"/>
            </w:tcBorders>
          </w:tcPr>
          <w:p w14:paraId="1B9EDE22"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0.51</w:t>
            </w:r>
          </w:p>
          <w:p w14:paraId="38BC829D"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[0.48, 0.69]</w:t>
            </w:r>
          </w:p>
        </w:tc>
        <w:tc>
          <w:tcPr>
            <w:tcW w:w="1134" w:type="dxa"/>
            <w:tcBorders>
              <w:top w:val="nil"/>
              <w:left w:val="nil"/>
              <w:bottom w:val="nil"/>
              <w:right w:val="nil"/>
            </w:tcBorders>
          </w:tcPr>
          <w:p w14:paraId="32EB86B8" w14:textId="77777777" w:rsidR="00E879FD" w:rsidRPr="00475B05" w:rsidRDefault="00E879FD" w:rsidP="00716343">
            <w:pPr>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0.58</w:t>
            </w:r>
          </w:p>
          <w:p w14:paraId="109C17D7" w14:textId="77777777" w:rsidR="00E879FD" w:rsidRPr="00475B05" w:rsidRDefault="00E879FD" w:rsidP="008059EC">
            <w:pPr>
              <w:keepNext/>
              <w:autoSpaceDE w:val="0"/>
              <w:autoSpaceDN w:val="0"/>
              <w:adjustRightInd w:val="0"/>
              <w:spacing w:after="0" w:line="240" w:lineRule="auto"/>
              <w:jc w:val="center"/>
              <w:rPr>
                <w:rFonts w:ascii="Calibri" w:hAnsi="Calibri" w:cs="Calibri"/>
                <w:color w:val="000000"/>
                <w:sz w:val="18"/>
                <w:szCs w:val="18"/>
              </w:rPr>
            </w:pPr>
            <w:r w:rsidRPr="00475B05">
              <w:rPr>
                <w:rFonts w:ascii="Calibri" w:hAnsi="Calibri" w:cs="Calibri"/>
                <w:color w:val="000000"/>
                <w:sz w:val="18"/>
                <w:szCs w:val="18"/>
              </w:rPr>
              <w:t xml:space="preserve"> [0.52, 0.65]</w:t>
            </w:r>
          </w:p>
        </w:tc>
      </w:tr>
    </w:tbl>
    <w:p w14:paraId="1535FB6F" w14:textId="77777777" w:rsidR="00E879FD" w:rsidRDefault="008059EC" w:rsidP="008059EC">
      <w:pPr>
        <w:pStyle w:val="Caption"/>
      </w:pPr>
      <w:r>
        <w:t xml:space="preserve">Table </w:t>
      </w:r>
      <w:r w:rsidR="0053178A">
        <w:t>S</w:t>
      </w:r>
      <w:r w:rsidR="00ED2683">
        <w:fldChar w:fldCharType="begin"/>
      </w:r>
      <w:r w:rsidR="00ED2683">
        <w:instrText xml:space="preserve"> SEQ Table \* ARABIC </w:instrText>
      </w:r>
      <w:r w:rsidR="00ED2683">
        <w:fldChar w:fldCharType="separate"/>
      </w:r>
      <w:r>
        <w:rPr>
          <w:noProof/>
        </w:rPr>
        <w:t>4</w:t>
      </w:r>
      <w:r w:rsidR="00ED2683">
        <w:rPr>
          <w:noProof/>
        </w:rPr>
        <w:fldChar w:fldCharType="end"/>
      </w:r>
      <w:r w:rsidR="00DF7303">
        <w:t xml:space="preserve"> </w:t>
      </w:r>
      <w:r w:rsidR="00DF7303" w:rsidRPr="00471553">
        <w:rPr>
          <w:i w:val="0"/>
          <w:iCs w:val="0"/>
        </w:rPr>
        <w:t>Performance of model selection and model validation</w:t>
      </w:r>
      <w:r w:rsidR="00DF7303">
        <w:rPr>
          <w:i w:val="0"/>
          <w:iCs w:val="0"/>
        </w:rPr>
        <w:t xml:space="preserve"> of Experiment 1</w:t>
      </w:r>
      <w:r w:rsidR="00DF7303" w:rsidRPr="00471553">
        <w:rPr>
          <w:i w:val="0"/>
          <w:iCs w:val="0"/>
        </w:rPr>
        <w:t>. Square brackets represent 95% confidence. Row a and b represent MEP Experiment. Row c and d represent LMFP Ratios Experiment. Row a and c represent model selection step whereas row b and d represent model validation step.</w:t>
      </w:r>
    </w:p>
    <w:p w14:paraId="52FB9150" w14:textId="77777777" w:rsidR="00E879FD" w:rsidRPr="00E879FD" w:rsidRDefault="00E879FD" w:rsidP="00E879FD"/>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360"/>
        <w:gridCol w:w="360"/>
        <w:gridCol w:w="587"/>
        <w:gridCol w:w="1360"/>
        <w:gridCol w:w="420"/>
        <w:gridCol w:w="1620"/>
        <w:gridCol w:w="1360"/>
      </w:tblGrid>
      <w:tr w:rsidR="002F4A28" w:rsidRPr="002F4A28" w14:paraId="61B94851" w14:textId="77777777" w:rsidTr="00EC5DFF">
        <w:trPr>
          <w:trHeight w:val="288"/>
        </w:trPr>
        <w:tc>
          <w:tcPr>
            <w:tcW w:w="440" w:type="dxa"/>
            <w:noWrap/>
            <w:vAlign w:val="bottom"/>
            <w:hideMark/>
          </w:tcPr>
          <w:p w14:paraId="1802888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Fp1</w:t>
            </w:r>
          </w:p>
        </w:tc>
        <w:tc>
          <w:tcPr>
            <w:tcW w:w="1360" w:type="dxa"/>
            <w:shd w:val="clear" w:color="000000" w:fill="FFC7CE"/>
            <w:noWrap/>
            <w:vAlign w:val="bottom"/>
            <w:hideMark/>
          </w:tcPr>
          <w:p w14:paraId="343D3E93"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-0.442</w:t>
            </w:r>
          </w:p>
        </w:tc>
        <w:tc>
          <w:tcPr>
            <w:tcW w:w="360" w:type="dxa"/>
            <w:noWrap/>
            <w:vAlign w:val="bottom"/>
            <w:hideMark/>
          </w:tcPr>
          <w:p w14:paraId="2C964D78"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1D26B3B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T8</w:t>
            </w:r>
          </w:p>
        </w:tc>
        <w:tc>
          <w:tcPr>
            <w:tcW w:w="1360" w:type="dxa"/>
            <w:shd w:val="clear" w:color="000000" w:fill="FFC7CE"/>
            <w:noWrap/>
            <w:vAlign w:val="bottom"/>
            <w:hideMark/>
          </w:tcPr>
          <w:p w14:paraId="70C8182A"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-0.450</w:t>
            </w:r>
          </w:p>
        </w:tc>
        <w:tc>
          <w:tcPr>
            <w:tcW w:w="420" w:type="dxa"/>
            <w:noWrap/>
            <w:vAlign w:val="bottom"/>
            <w:hideMark/>
          </w:tcPr>
          <w:p w14:paraId="4753EA0F"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79472361"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PO8</w:t>
            </w:r>
          </w:p>
        </w:tc>
        <w:tc>
          <w:tcPr>
            <w:tcW w:w="1360" w:type="dxa"/>
            <w:shd w:val="clear" w:color="000000" w:fill="C6EFCE"/>
            <w:noWrap/>
            <w:vAlign w:val="bottom"/>
            <w:hideMark/>
          </w:tcPr>
          <w:p w14:paraId="39252997"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0.599</w:t>
            </w:r>
          </w:p>
        </w:tc>
      </w:tr>
      <w:tr w:rsidR="002F4A28" w:rsidRPr="002F4A28" w14:paraId="34FEF427" w14:textId="77777777" w:rsidTr="00EC5DFF">
        <w:trPr>
          <w:trHeight w:val="288"/>
        </w:trPr>
        <w:tc>
          <w:tcPr>
            <w:tcW w:w="440" w:type="dxa"/>
            <w:noWrap/>
            <w:vAlign w:val="bottom"/>
            <w:hideMark/>
          </w:tcPr>
          <w:p w14:paraId="1C1829B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Fz</w:t>
            </w:r>
          </w:p>
        </w:tc>
        <w:tc>
          <w:tcPr>
            <w:tcW w:w="1360" w:type="dxa"/>
            <w:shd w:val="clear" w:color="000000" w:fill="C6EFCE"/>
            <w:noWrap/>
            <w:vAlign w:val="bottom"/>
            <w:hideMark/>
          </w:tcPr>
          <w:p w14:paraId="66040BBE"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0.333</w:t>
            </w:r>
          </w:p>
        </w:tc>
        <w:tc>
          <w:tcPr>
            <w:tcW w:w="360" w:type="dxa"/>
            <w:noWrap/>
            <w:vAlign w:val="bottom"/>
            <w:hideMark/>
          </w:tcPr>
          <w:p w14:paraId="44436AD0"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696591E4"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FC6</w:t>
            </w:r>
          </w:p>
        </w:tc>
        <w:tc>
          <w:tcPr>
            <w:tcW w:w="1360" w:type="dxa"/>
            <w:shd w:val="clear" w:color="000000" w:fill="C6EFCE"/>
            <w:noWrap/>
            <w:vAlign w:val="bottom"/>
            <w:hideMark/>
          </w:tcPr>
          <w:p w14:paraId="789AB9FB"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0.598</w:t>
            </w:r>
          </w:p>
        </w:tc>
        <w:tc>
          <w:tcPr>
            <w:tcW w:w="420" w:type="dxa"/>
            <w:noWrap/>
            <w:vAlign w:val="bottom"/>
            <w:hideMark/>
          </w:tcPr>
          <w:p w14:paraId="62DDD070"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72923512"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P6</w:t>
            </w:r>
          </w:p>
        </w:tc>
        <w:tc>
          <w:tcPr>
            <w:tcW w:w="1360" w:type="dxa"/>
            <w:shd w:val="clear" w:color="000000" w:fill="FFC7CE"/>
            <w:noWrap/>
            <w:vAlign w:val="bottom"/>
            <w:hideMark/>
          </w:tcPr>
          <w:p w14:paraId="6E0AF251"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-0.069</w:t>
            </w:r>
          </w:p>
        </w:tc>
      </w:tr>
      <w:tr w:rsidR="002F4A28" w:rsidRPr="002F4A28" w14:paraId="1EDBE873" w14:textId="77777777" w:rsidTr="00EC5DFF">
        <w:trPr>
          <w:trHeight w:val="288"/>
        </w:trPr>
        <w:tc>
          <w:tcPr>
            <w:tcW w:w="440" w:type="dxa"/>
            <w:noWrap/>
            <w:vAlign w:val="bottom"/>
            <w:hideMark/>
          </w:tcPr>
          <w:p w14:paraId="33E95735"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F3</w:t>
            </w:r>
          </w:p>
        </w:tc>
        <w:tc>
          <w:tcPr>
            <w:tcW w:w="1360" w:type="dxa"/>
            <w:shd w:val="clear" w:color="000000" w:fill="FFC7CE"/>
            <w:noWrap/>
            <w:vAlign w:val="bottom"/>
            <w:hideMark/>
          </w:tcPr>
          <w:p w14:paraId="19C35A55"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-0.603</w:t>
            </w:r>
          </w:p>
        </w:tc>
        <w:tc>
          <w:tcPr>
            <w:tcW w:w="360" w:type="dxa"/>
            <w:noWrap/>
            <w:vAlign w:val="bottom"/>
            <w:hideMark/>
          </w:tcPr>
          <w:p w14:paraId="766D2CB1"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55587CE2"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FC2</w:t>
            </w:r>
          </w:p>
        </w:tc>
        <w:tc>
          <w:tcPr>
            <w:tcW w:w="1360" w:type="dxa"/>
            <w:shd w:val="clear" w:color="000000" w:fill="C6EFCE"/>
            <w:noWrap/>
            <w:vAlign w:val="bottom"/>
            <w:hideMark/>
          </w:tcPr>
          <w:p w14:paraId="3EBBCA3C"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0.731</w:t>
            </w:r>
          </w:p>
        </w:tc>
        <w:tc>
          <w:tcPr>
            <w:tcW w:w="420" w:type="dxa"/>
            <w:noWrap/>
            <w:vAlign w:val="bottom"/>
            <w:hideMark/>
          </w:tcPr>
          <w:p w14:paraId="454A3B5C"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4BD410E9"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P2</w:t>
            </w:r>
          </w:p>
        </w:tc>
        <w:tc>
          <w:tcPr>
            <w:tcW w:w="1360" w:type="dxa"/>
            <w:shd w:val="clear" w:color="000000" w:fill="C6EFCE"/>
            <w:noWrap/>
            <w:vAlign w:val="bottom"/>
            <w:hideMark/>
          </w:tcPr>
          <w:p w14:paraId="2199A857"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0.105</w:t>
            </w:r>
          </w:p>
        </w:tc>
      </w:tr>
      <w:tr w:rsidR="002F4A28" w:rsidRPr="002F4A28" w14:paraId="496EC87A" w14:textId="77777777" w:rsidTr="00EC5DFF">
        <w:trPr>
          <w:trHeight w:val="288"/>
        </w:trPr>
        <w:tc>
          <w:tcPr>
            <w:tcW w:w="440" w:type="dxa"/>
            <w:noWrap/>
            <w:vAlign w:val="bottom"/>
            <w:hideMark/>
          </w:tcPr>
          <w:p w14:paraId="75714B42"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F7</w:t>
            </w:r>
          </w:p>
        </w:tc>
        <w:tc>
          <w:tcPr>
            <w:tcW w:w="1360" w:type="dxa"/>
            <w:shd w:val="clear" w:color="000000" w:fill="C6EFCE"/>
            <w:noWrap/>
            <w:vAlign w:val="bottom"/>
            <w:hideMark/>
          </w:tcPr>
          <w:p w14:paraId="166107C2"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0.375</w:t>
            </w:r>
          </w:p>
        </w:tc>
        <w:tc>
          <w:tcPr>
            <w:tcW w:w="360" w:type="dxa"/>
            <w:noWrap/>
            <w:vAlign w:val="bottom"/>
            <w:hideMark/>
          </w:tcPr>
          <w:p w14:paraId="23735CCB"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1BBB9DE2"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F4</w:t>
            </w:r>
          </w:p>
        </w:tc>
        <w:tc>
          <w:tcPr>
            <w:tcW w:w="1360" w:type="dxa"/>
            <w:shd w:val="clear" w:color="000000" w:fill="C6EFCE"/>
            <w:noWrap/>
            <w:vAlign w:val="bottom"/>
            <w:hideMark/>
          </w:tcPr>
          <w:p w14:paraId="07A49B2E"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0.563</w:t>
            </w:r>
          </w:p>
        </w:tc>
        <w:tc>
          <w:tcPr>
            <w:tcW w:w="420" w:type="dxa"/>
            <w:noWrap/>
            <w:vAlign w:val="bottom"/>
            <w:hideMark/>
          </w:tcPr>
          <w:p w14:paraId="50E1F067"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06D07E35" w14:textId="77777777" w:rsidR="002F4A28" w:rsidRPr="002F4A28" w:rsidRDefault="002F4A28" w:rsidP="002F4A28">
            <w:pPr>
              <w:spacing w:after="0" w:line="240" w:lineRule="auto"/>
              <w:rPr>
                <w:rFonts w:ascii="Calibri" w:eastAsia="Times New Roman" w:hAnsi="Calibri" w:cs="Calibri"/>
                <w:color w:val="000000"/>
              </w:rPr>
            </w:pPr>
            <w:proofErr w:type="spellStart"/>
            <w:r w:rsidRPr="002F4A28">
              <w:rPr>
                <w:rFonts w:ascii="Calibri" w:eastAsia="Times New Roman" w:hAnsi="Calibri" w:cs="Calibri"/>
                <w:color w:val="000000"/>
              </w:rPr>
              <w:t>CPz</w:t>
            </w:r>
            <w:proofErr w:type="spellEnd"/>
          </w:p>
        </w:tc>
        <w:tc>
          <w:tcPr>
            <w:tcW w:w="1360" w:type="dxa"/>
            <w:shd w:val="clear" w:color="000000" w:fill="FFC7CE"/>
            <w:noWrap/>
            <w:vAlign w:val="bottom"/>
            <w:hideMark/>
          </w:tcPr>
          <w:p w14:paraId="0786621E"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-0.356</w:t>
            </w:r>
          </w:p>
        </w:tc>
      </w:tr>
      <w:tr w:rsidR="002F4A28" w:rsidRPr="002F4A28" w14:paraId="7A0B96D4" w14:textId="77777777" w:rsidTr="00EC5DFF">
        <w:trPr>
          <w:trHeight w:val="288"/>
        </w:trPr>
        <w:tc>
          <w:tcPr>
            <w:tcW w:w="440" w:type="dxa"/>
            <w:noWrap/>
            <w:vAlign w:val="bottom"/>
            <w:hideMark/>
          </w:tcPr>
          <w:p w14:paraId="3A0DD746"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FC5</w:t>
            </w:r>
          </w:p>
        </w:tc>
        <w:tc>
          <w:tcPr>
            <w:tcW w:w="1360" w:type="dxa"/>
            <w:shd w:val="clear" w:color="000000" w:fill="FFC7CE"/>
            <w:noWrap/>
            <w:vAlign w:val="bottom"/>
            <w:hideMark/>
          </w:tcPr>
          <w:p w14:paraId="400861EF"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-0.078</w:t>
            </w:r>
          </w:p>
        </w:tc>
        <w:tc>
          <w:tcPr>
            <w:tcW w:w="360" w:type="dxa"/>
            <w:noWrap/>
            <w:vAlign w:val="bottom"/>
            <w:hideMark/>
          </w:tcPr>
          <w:p w14:paraId="1CA1EEEF"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0B5809E3"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F8</w:t>
            </w:r>
          </w:p>
        </w:tc>
        <w:tc>
          <w:tcPr>
            <w:tcW w:w="1360" w:type="dxa"/>
            <w:shd w:val="clear" w:color="000000" w:fill="FFC7CE"/>
            <w:noWrap/>
            <w:vAlign w:val="bottom"/>
            <w:hideMark/>
          </w:tcPr>
          <w:p w14:paraId="4B8012BF"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-0.463</w:t>
            </w:r>
          </w:p>
        </w:tc>
        <w:tc>
          <w:tcPr>
            <w:tcW w:w="420" w:type="dxa"/>
            <w:noWrap/>
            <w:vAlign w:val="bottom"/>
            <w:hideMark/>
          </w:tcPr>
          <w:p w14:paraId="0B5BF598"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61E97147"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CP4</w:t>
            </w:r>
          </w:p>
        </w:tc>
        <w:tc>
          <w:tcPr>
            <w:tcW w:w="1360" w:type="dxa"/>
            <w:shd w:val="clear" w:color="000000" w:fill="FFC7CE"/>
            <w:noWrap/>
            <w:vAlign w:val="bottom"/>
            <w:hideMark/>
          </w:tcPr>
          <w:p w14:paraId="53AB9F50"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-0.463</w:t>
            </w:r>
          </w:p>
        </w:tc>
      </w:tr>
      <w:tr w:rsidR="002F4A28" w:rsidRPr="002F4A28" w14:paraId="35D36745" w14:textId="77777777" w:rsidTr="00EC5DFF">
        <w:trPr>
          <w:trHeight w:val="288"/>
        </w:trPr>
        <w:tc>
          <w:tcPr>
            <w:tcW w:w="440" w:type="dxa"/>
            <w:noWrap/>
            <w:vAlign w:val="bottom"/>
            <w:hideMark/>
          </w:tcPr>
          <w:p w14:paraId="29A629E5"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FC1</w:t>
            </w:r>
          </w:p>
        </w:tc>
        <w:tc>
          <w:tcPr>
            <w:tcW w:w="1360" w:type="dxa"/>
            <w:shd w:val="clear" w:color="000000" w:fill="FFC7CE"/>
            <w:noWrap/>
            <w:vAlign w:val="bottom"/>
            <w:hideMark/>
          </w:tcPr>
          <w:p w14:paraId="66A1F8C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-0.438</w:t>
            </w:r>
          </w:p>
        </w:tc>
        <w:tc>
          <w:tcPr>
            <w:tcW w:w="360" w:type="dxa"/>
            <w:noWrap/>
            <w:vAlign w:val="bottom"/>
            <w:hideMark/>
          </w:tcPr>
          <w:p w14:paraId="6ED2BCAB"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259CD10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Fp2</w:t>
            </w:r>
          </w:p>
        </w:tc>
        <w:tc>
          <w:tcPr>
            <w:tcW w:w="1360" w:type="dxa"/>
            <w:shd w:val="clear" w:color="000000" w:fill="C6EFCE"/>
            <w:noWrap/>
            <w:vAlign w:val="bottom"/>
            <w:hideMark/>
          </w:tcPr>
          <w:p w14:paraId="0C0CACFA" w14:textId="77777777" w:rsidR="002F4A28" w:rsidRPr="002F4A28" w:rsidRDefault="009F52CE" w:rsidP="009F52CE">
            <w:pPr>
              <w:spacing w:after="0" w:line="240" w:lineRule="auto"/>
              <w:jc w:val="right"/>
              <w:rPr>
                <w:rFonts w:ascii="Calibri" w:eastAsia="Times New Roman" w:hAnsi="Calibri" w:cs="Calibri"/>
                <w:color w:val="006100"/>
              </w:rPr>
            </w:pPr>
            <w:r>
              <w:rPr>
                <w:rFonts w:ascii="Calibri" w:eastAsia="Times New Roman" w:hAnsi="Calibri" w:cs="Calibri"/>
                <w:color w:val="006100"/>
              </w:rPr>
              <w:t>0.285</w:t>
            </w:r>
          </w:p>
        </w:tc>
        <w:tc>
          <w:tcPr>
            <w:tcW w:w="420" w:type="dxa"/>
            <w:noWrap/>
            <w:vAlign w:val="bottom"/>
            <w:hideMark/>
          </w:tcPr>
          <w:p w14:paraId="5D54B0B6"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150C114F"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TP8</w:t>
            </w:r>
          </w:p>
        </w:tc>
        <w:tc>
          <w:tcPr>
            <w:tcW w:w="1360" w:type="dxa"/>
            <w:shd w:val="clear" w:color="000000" w:fill="C6EFCE"/>
            <w:noWrap/>
            <w:vAlign w:val="bottom"/>
            <w:hideMark/>
          </w:tcPr>
          <w:p w14:paraId="0B00B95A"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0.599</w:t>
            </w:r>
          </w:p>
        </w:tc>
      </w:tr>
      <w:tr w:rsidR="002F4A28" w:rsidRPr="002F4A28" w14:paraId="6C573878" w14:textId="77777777" w:rsidTr="00EC5DFF">
        <w:trPr>
          <w:trHeight w:val="288"/>
        </w:trPr>
        <w:tc>
          <w:tcPr>
            <w:tcW w:w="440" w:type="dxa"/>
            <w:noWrap/>
            <w:vAlign w:val="bottom"/>
            <w:hideMark/>
          </w:tcPr>
          <w:p w14:paraId="0A2D970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C3</w:t>
            </w:r>
          </w:p>
        </w:tc>
        <w:tc>
          <w:tcPr>
            <w:tcW w:w="1360" w:type="dxa"/>
            <w:shd w:val="clear" w:color="000000" w:fill="FFC7CE"/>
            <w:noWrap/>
            <w:vAlign w:val="bottom"/>
            <w:hideMark/>
          </w:tcPr>
          <w:p w14:paraId="12080D5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-0.033</w:t>
            </w:r>
          </w:p>
        </w:tc>
        <w:tc>
          <w:tcPr>
            <w:tcW w:w="360" w:type="dxa"/>
            <w:noWrap/>
            <w:vAlign w:val="bottom"/>
            <w:hideMark/>
          </w:tcPr>
          <w:p w14:paraId="59F55B23"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34B629F4"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AF7</w:t>
            </w:r>
          </w:p>
        </w:tc>
        <w:tc>
          <w:tcPr>
            <w:tcW w:w="1360" w:type="dxa"/>
            <w:shd w:val="clear" w:color="000000" w:fill="C6EFCE"/>
            <w:noWrap/>
            <w:vAlign w:val="bottom"/>
            <w:hideMark/>
          </w:tcPr>
          <w:p w14:paraId="4B74401E"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0.037</w:t>
            </w:r>
          </w:p>
        </w:tc>
        <w:tc>
          <w:tcPr>
            <w:tcW w:w="420" w:type="dxa"/>
            <w:noWrap/>
            <w:vAlign w:val="bottom"/>
            <w:hideMark/>
          </w:tcPr>
          <w:p w14:paraId="45CCADDE"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5836F7DC"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C6</w:t>
            </w:r>
          </w:p>
        </w:tc>
        <w:tc>
          <w:tcPr>
            <w:tcW w:w="1360" w:type="dxa"/>
            <w:shd w:val="clear" w:color="000000" w:fill="FFC7CE"/>
            <w:noWrap/>
            <w:vAlign w:val="bottom"/>
            <w:hideMark/>
          </w:tcPr>
          <w:p w14:paraId="4FCFA76F"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-0.176</w:t>
            </w:r>
          </w:p>
        </w:tc>
      </w:tr>
      <w:tr w:rsidR="002F4A28" w:rsidRPr="002F4A28" w14:paraId="693EF325" w14:textId="77777777" w:rsidTr="00EC5DFF">
        <w:trPr>
          <w:trHeight w:val="288"/>
        </w:trPr>
        <w:tc>
          <w:tcPr>
            <w:tcW w:w="440" w:type="dxa"/>
            <w:noWrap/>
            <w:vAlign w:val="bottom"/>
            <w:hideMark/>
          </w:tcPr>
          <w:p w14:paraId="691E4A0E"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T7</w:t>
            </w:r>
          </w:p>
        </w:tc>
        <w:tc>
          <w:tcPr>
            <w:tcW w:w="1360" w:type="dxa"/>
            <w:shd w:val="clear" w:color="000000" w:fill="FFC7CE"/>
            <w:noWrap/>
            <w:vAlign w:val="bottom"/>
            <w:hideMark/>
          </w:tcPr>
          <w:p w14:paraId="4A0BDBAB"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-0.265</w:t>
            </w:r>
          </w:p>
        </w:tc>
        <w:tc>
          <w:tcPr>
            <w:tcW w:w="360" w:type="dxa"/>
            <w:noWrap/>
            <w:vAlign w:val="bottom"/>
            <w:hideMark/>
          </w:tcPr>
          <w:p w14:paraId="43F70E21"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77E5EE1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AF3</w:t>
            </w:r>
          </w:p>
        </w:tc>
        <w:tc>
          <w:tcPr>
            <w:tcW w:w="1360" w:type="dxa"/>
            <w:shd w:val="clear" w:color="000000" w:fill="FFC7CE"/>
            <w:noWrap/>
            <w:vAlign w:val="bottom"/>
            <w:hideMark/>
          </w:tcPr>
          <w:p w14:paraId="4AECBE7A"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-0.922</w:t>
            </w:r>
          </w:p>
        </w:tc>
        <w:tc>
          <w:tcPr>
            <w:tcW w:w="420" w:type="dxa"/>
            <w:noWrap/>
            <w:vAlign w:val="bottom"/>
            <w:hideMark/>
          </w:tcPr>
          <w:p w14:paraId="7754368B"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74BD65BC"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C2</w:t>
            </w:r>
          </w:p>
        </w:tc>
        <w:tc>
          <w:tcPr>
            <w:tcW w:w="1360" w:type="dxa"/>
            <w:shd w:val="clear" w:color="000000" w:fill="C6EFCE"/>
            <w:noWrap/>
            <w:vAlign w:val="bottom"/>
            <w:hideMark/>
          </w:tcPr>
          <w:p w14:paraId="20F4C53A"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0.068</w:t>
            </w:r>
          </w:p>
        </w:tc>
      </w:tr>
      <w:tr w:rsidR="002F4A28" w:rsidRPr="002F4A28" w14:paraId="487834B6" w14:textId="77777777" w:rsidTr="00EC5DFF">
        <w:trPr>
          <w:trHeight w:val="288"/>
        </w:trPr>
        <w:tc>
          <w:tcPr>
            <w:tcW w:w="440" w:type="dxa"/>
            <w:noWrap/>
            <w:vAlign w:val="bottom"/>
            <w:hideMark/>
          </w:tcPr>
          <w:p w14:paraId="2F02D1AC"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CP5</w:t>
            </w:r>
          </w:p>
        </w:tc>
        <w:tc>
          <w:tcPr>
            <w:tcW w:w="1360" w:type="dxa"/>
            <w:shd w:val="clear" w:color="000000" w:fill="FFC7CE"/>
            <w:noWrap/>
            <w:vAlign w:val="bottom"/>
            <w:hideMark/>
          </w:tcPr>
          <w:p w14:paraId="1A32774C"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-0.998</w:t>
            </w:r>
          </w:p>
        </w:tc>
        <w:tc>
          <w:tcPr>
            <w:tcW w:w="360" w:type="dxa"/>
            <w:noWrap/>
            <w:vAlign w:val="bottom"/>
            <w:hideMark/>
          </w:tcPr>
          <w:p w14:paraId="1D1760D9"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24EB2E3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F1</w:t>
            </w:r>
          </w:p>
        </w:tc>
        <w:tc>
          <w:tcPr>
            <w:tcW w:w="1360" w:type="dxa"/>
            <w:shd w:val="clear" w:color="000000" w:fill="FFC7CE"/>
            <w:noWrap/>
            <w:vAlign w:val="bottom"/>
            <w:hideMark/>
          </w:tcPr>
          <w:p w14:paraId="6D57BA9B"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-0.290</w:t>
            </w:r>
          </w:p>
        </w:tc>
        <w:tc>
          <w:tcPr>
            <w:tcW w:w="420" w:type="dxa"/>
            <w:noWrap/>
            <w:vAlign w:val="bottom"/>
            <w:hideMark/>
          </w:tcPr>
          <w:p w14:paraId="599EBDF9"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39EAE86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FC4</w:t>
            </w:r>
          </w:p>
        </w:tc>
        <w:tc>
          <w:tcPr>
            <w:tcW w:w="1360" w:type="dxa"/>
            <w:shd w:val="clear" w:color="000000" w:fill="FFC7CE"/>
            <w:noWrap/>
            <w:vAlign w:val="bottom"/>
            <w:hideMark/>
          </w:tcPr>
          <w:p w14:paraId="03E377D1"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-0.324</w:t>
            </w:r>
          </w:p>
        </w:tc>
      </w:tr>
      <w:tr w:rsidR="002F4A28" w:rsidRPr="002F4A28" w14:paraId="1DCF54CF" w14:textId="77777777" w:rsidTr="00EC5DFF">
        <w:trPr>
          <w:trHeight w:val="288"/>
        </w:trPr>
        <w:tc>
          <w:tcPr>
            <w:tcW w:w="440" w:type="dxa"/>
            <w:noWrap/>
            <w:vAlign w:val="bottom"/>
            <w:hideMark/>
          </w:tcPr>
          <w:p w14:paraId="468B1544"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CP1</w:t>
            </w:r>
          </w:p>
        </w:tc>
        <w:tc>
          <w:tcPr>
            <w:tcW w:w="1360" w:type="dxa"/>
            <w:shd w:val="clear" w:color="000000" w:fill="C6EFCE"/>
            <w:noWrap/>
            <w:vAlign w:val="bottom"/>
            <w:hideMark/>
          </w:tcPr>
          <w:p w14:paraId="60BBA1CD"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0.878</w:t>
            </w:r>
          </w:p>
        </w:tc>
        <w:tc>
          <w:tcPr>
            <w:tcW w:w="360" w:type="dxa"/>
            <w:noWrap/>
            <w:vAlign w:val="bottom"/>
            <w:hideMark/>
          </w:tcPr>
          <w:p w14:paraId="193B15FC"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0AC7163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F5</w:t>
            </w:r>
          </w:p>
        </w:tc>
        <w:tc>
          <w:tcPr>
            <w:tcW w:w="1360" w:type="dxa"/>
            <w:shd w:val="clear" w:color="000000" w:fill="FFC7CE"/>
            <w:noWrap/>
            <w:vAlign w:val="bottom"/>
            <w:hideMark/>
          </w:tcPr>
          <w:p w14:paraId="12AC72F5"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-0.411</w:t>
            </w:r>
          </w:p>
        </w:tc>
        <w:tc>
          <w:tcPr>
            <w:tcW w:w="420" w:type="dxa"/>
            <w:noWrap/>
            <w:vAlign w:val="bottom"/>
            <w:hideMark/>
          </w:tcPr>
          <w:p w14:paraId="7CC2EA35"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5C9FDED9"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FT8</w:t>
            </w:r>
          </w:p>
        </w:tc>
        <w:tc>
          <w:tcPr>
            <w:tcW w:w="1360" w:type="dxa"/>
            <w:shd w:val="clear" w:color="000000" w:fill="FFC7CE"/>
            <w:noWrap/>
            <w:vAlign w:val="bottom"/>
            <w:hideMark/>
          </w:tcPr>
          <w:p w14:paraId="7C3524B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-0.005</w:t>
            </w:r>
          </w:p>
        </w:tc>
      </w:tr>
      <w:tr w:rsidR="002F4A28" w:rsidRPr="002F4A28" w14:paraId="1684139C" w14:textId="77777777" w:rsidTr="00EC5DFF">
        <w:trPr>
          <w:trHeight w:val="288"/>
        </w:trPr>
        <w:tc>
          <w:tcPr>
            <w:tcW w:w="440" w:type="dxa"/>
            <w:noWrap/>
            <w:vAlign w:val="bottom"/>
            <w:hideMark/>
          </w:tcPr>
          <w:p w14:paraId="35F53D46" w14:textId="77777777" w:rsidR="002F4A28" w:rsidRPr="002F4A28" w:rsidRDefault="002F4A28" w:rsidP="002F4A28">
            <w:pPr>
              <w:spacing w:after="0" w:line="240" w:lineRule="auto"/>
              <w:rPr>
                <w:rFonts w:ascii="Calibri" w:eastAsia="Times New Roman" w:hAnsi="Calibri" w:cs="Calibri"/>
                <w:color w:val="000000"/>
              </w:rPr>
            </w:pPr>
            <w:proofErr w:type="spellStart"/>
            <w:r w:rsidRPr="002F4A28">
              <w:rPr>
                <w:rFonts w:ascii="Calibri" w:eastAsia="Times New Roman" w:hAnsi="Calibri" w:cs="Calibri"/>
                <w:color w:val="000000"/>
              </w:rPr>
              <w:lastRenderedPageBreak/>
              <w:t>Pz</w:t>
            </w:r>
            <w:proofErr w:type="spellEnd"/>
          </w:p>
        </w:tc>
        <w:tc>
          <w:tcPr>
            <w:tcW w:w="1360" w:type="dxa"/>
            <w:shd w:val="clear" w:color="000000" w:fill="FFC7CE"/>
            <w:noWrap/>
            <w:vAlign w:val="bottom"/>
            <w:hideMark/>
          </w:tcPr>
          <w:p w14:paraId="1C3C897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-0.115</w:t>
            </w:r>
          </w:p>
        </w:tc>
        <w:tc>
          <w:tcPr>
            <w:tcW w:w="360" w:type="dxa"/>
            <w:noWrap/>
            <w:vAlign w:val="bottom"/>
            <w:hideMark/>
          </w:tcPr>
          <w:p w14:paraId="597338D4"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3458149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FT7</w:t>
            </w:r>
          </w:p>
        </w:tc>
        <w:tc>
          <w:tcPr>
            <w:tcW w:w="1360" w:type="dxa"/>
            <w:shd w:val="clear" w:color="000000" w:fill="C6EFCE"/>
            <w:noWrap/>
            <w:vAlign w:val="bottom"/>
            <w:hideMark/>
          </w:tcPr>
          <w:p w14:paraId="321B2DE4"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0.326</w:t>
            </w:r>
          </w:p>
        </w:tc>
        <w:tc>
          <w:tcPr>
            <w:tcW w:w="420" w:type="dxa"/>
            <w:noWrap/>
            <w:vAlign w:val="bottom"/>
            <w:hideMark/>
          </w:tcPr>
          <w:p w14:paraId="57BC446A"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6C99866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F6</w:t>
            </w:r>
          </w:p>
        </w:tc>
        <w:tc>
          <w:tcPr>
            <w:tcW w:w="1360" w:type="dxa"/>
            <w:shd w:val="clear" w:color="000000" w:fill="C6EFCE"/>
            <w:noWrap/>
            <w:vAlign w:val="bottom"/>
            <w:hideMark/>
          </w:tcPr>
          <w:p w14:paraId="58C4F1FB"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0.026</w:t>
            </w:r>
          </w:p>
        </w:tc>
      </w:tr>
      <w:tr w:rsidR="002F4A28" w:rsidRPr="002F4A28" w14:paraId="3850157F" w14:textId="77777777" w:rsidTr="00EC5DFF">
        <w:trPr>
          <w:trHeight w:val="288"/>
        </w:trPr>
        <w:tc>
          <w:tcPr>
            <w:tcW w:w="440" w:type="dxa"/>
            <w:noWrap/>
            <w:vAlign w:val="bottom"/>
            <w:hideMark/>
          </w:tcPr>
          <w:p w14:paraId="63F110F3"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P3</w:t>
            </w:r>
          </w:p>
        </w:tc>
        <w:tc>
          <w:tcPr>
            <w:tcW w:w="1360" w:type="dxa"/>
            <w:shd w:val="clear" w:color="000000" w:fill="C6EFCE"/>
            <w:noWrap/>
            <w:vAlign w:val="bottom"/>
            <w:hideMark/>
          </w:tcPr>
          <w:p w14:paraId="32242CD8"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1.0149</w:t>
            </w:r>
          </w:p>
        </w:tc>
        <w:tc>
          <w:tcPr>
            <w:tcW w:w="360" w:type="dxa"/>
            <w:noWrap/>
            <w:vAlign w:val="bottom"/>
            <w:hideMark/>
          </w:tcPr>
          <w:p w14:paraId="30D929E5"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1628FE5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FC3</w:t>
            </w:r>
          </w:p>
        </w:tc>
        <w:tc>
          <w:tcPr>
            <w:tcW w:w="1360" w:type="dxa"/>
            <w:shd w:val="clear" w:color="000000" w:fill="FFC7CE"/>
            <w:noWrap/>
            <w:vAlign w:val="bottom"/>
            <w:hideMark/>
          </w:tcPr>
          <w:p w14:paraId="3DB27319"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-0.655</w:t>
            </w:r>
          </w:p>
        </w:tc>
        <w:tc>
          <w:tcPr>
            <w:tcW w:w="420" w:type="dxa"/>
            <w:noWrap/>
            <w:vAlign w:val="bottom"/>
            <w:hideMark/>
          </w:tcPr>
          <w:p w14:paraId="01F66CF6"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65BEDBE7"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AF8</w:t>
            </w:r>
          </w:p>
        </w:tc>
        <w:tc>
          <w:tcPr>
            <w:tcW w:w="1360" w:type="dxa"/>
            <w:shd w:val="clear" w:color="000000" w:fill="C6EFCE"/>
            <w:noWrap/>
            <w:vAlign w:val="bottom"/>
            <w:hideMark/>
          </w:tcPr>
          <w:p w14:paraId="66071225"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0.036</w:t>
            </w:r>
          </w:p>
        </w:tc>
      </w:tr>
      <w:tr w:rsidR="002F4A28" w:rsidRPr="002F4A28" w14:paraId="54470572" w14:textId="77777777" w:rsidTr="00EC5DFF">
        <w:trPr>
          <w:trHeight w:val="288"/>
        </w:trPr>
        <w:tc>
          <w:tcPr>
            <w:tcW w:w="440" w:type="dxa"/>
            <w:noWrap/>
            <w:vAlign w:val="bottom"/>
            <w:hideMark/>
          </w:tcPr>
          <w:p w14:paraId="73556CDE"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P7</w:t>
            </w:r>
          </w:p>
        </w:tc>
        <w:tc>
          <w:tcPr>
            <w:tcW w:w="1360" w:type="dxa"/>
            <w:shd w:val="clear" w:color="000000" w:fill="FFC7CE"/>
            <w:noWrap/>
            <w:vAlign w:val="bottom"/>
            <w:hideMark/>
          </w:tcPr>
          <w:p w14:paraId="2F3E88A5"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-0.259</w:t>
            </w:r>
          </w:p>
        </w:tc>
        <w:tc>
          <w:tcPr>
            <w:tcW w:w="360" w:type="dxa"/>
            <w:noWrap/>
            <w:vAlign w:val="bottom"/>
            <w:hideMark/>
          </w:tcPr>
          <w:p w14:paraId="0D0CEF7F"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444C8E8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C1</w:t>
            </w:r>
          </w:p>
        </w:tc>
        <w:tc>
          <w:tcPr>
            <w:tcW w:w="1360" w:type="dxa"/>
            <w:shd w:val="clear" w:color="000000" w:fill="FFC7CE"/>
            <w:noWrap/>
            <w:vAlign w:val="bottom"/>
            <w:hideMark/>
          </w:tcPr>
          <w:p w14:paraId="48050ED6"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-1.463</w:t>
            </w:r>
          </w:p>
        </w:tc>
        <w:tc>
          <w:tcPr>
            <w:tcW w:w="420" w:type="dxa"/>
            <w:noWrap/>
            <w:vAlign w:val="bottom"/>
            <w:hideMark/>
          </w:tcPr>
          <w:p w14:paraId="05170542"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5F315C76"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AF4</w:t>
            </w:r>
          </w:p>
        </w:tc>
        <w:tc>
          <w:tcPr>
            <w:tcW w:w="1360" w:type="dxa"/>
            <w:shd w:val="clear" w:color="000000" w:fill="FFC7CE"/>
            <w:noWrap/>
            <w:vAlign w:val="bottom"/>
            <w:hideMark/>
          </w:tcPr>
          <w:p w14:paraId="03B51082"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-0.264</w:t>
            </w:r>
          </w:p>
        </w:tc>
      </w:tr>
      <w:tr w:rsidR="002F4A28" w:rsidRPr="002F4A28" w14:paraId="2AA64CB9" w14:textId="77777777" w:rsidTr="00EC5DFF">
        <w:trPr>
          <w:trHeight w:val="288"/>
        </w:trPr>
        <w:tc>
          <w:tcPr>
            <w:tcW w:w="440" w:type="dxa"/>
            <w:noWrap/>
            <w:vAlign w:val="bottom"/>
            <w:hideMark/>
          </w:tcPr>
          <w:p w14:paraId="43A8C56C"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O1</w:t>
            </w:r>
          </w:p>
        </w:tc>
        <w:tc>
          <w:tcPr>
            <w:tcW w:w="1360" w:type="dxa"/>
            <w:shd w:val="clear" w:color="000000" w:fill="FFC7CE"/>
            <w:noWrap/>
            <w:vAlign w:val="bottom"/>
            <w:hideMark/>
          </w:tcPr>
          <w:p w14:paraId="3CAAA65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-0.023</w:t>
            </w:r>
          </w:p>
        </w:tc>
        <w:tc>
          <w:tcPr>
            <w:tcW w:w="360" w:type="dxa"/>
            <w:noWrap/>
            <w:vAlign w:val="bottom"/>
            <w:hideMark/>
          </w:tcPr>
          <w:p w14:paraId="79BD075D"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63D062DC"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C5</w:t>
            </w:r>
          </w:p>
        </w:tc>
        <w:tc>
          <w:tcPr>
            <w:tcW w:w="1360" w:type="dxa"/>
            <w:shd w:val="clear" w:color="000000" w:fill="FFC7CE"/>
            <w:noWrap/>
            <w:vAlign w:val="bottom"/>
            <w:hideMark/>
          </w:tcPr>
          <w:p w14:paraId="4C6D774D"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-0.989</w:t>
            </w:r>
          </w:p>
        </w:tc>
        <w:tc>
          <w:tcPr>
            <w:tcW w:w="420" w:type="dxa"/>
            <w:noWrap/>
            <w:vAlign w:val="bottom"/>
            <w:hideMark/>
          </w:tcPr>
          <w:p w14:paraId="1E869599"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2C25D325"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F2</w:t>
            </w:r>
          </w:p>
        </w:tc>
        <w:tc>
          <w:tcPr>
            <w:tcW w:w="1360" w:type="dxa"/>
            <w:shd w:val="clear" w:color="000000" w:fill="C6EFCE"/>
            <w:noWrap/>
            <w:vAlign w:val="bottom"/>
            <w:hideMark/>
          </w:tcPr>
          <w:p w14:paraId="4221EDA3"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0.564</w:t>
            </w:r>
          </w:p>
        </w:tc>
      </w:tr>
      <w:tr w:rsidR="002F4A28" w:rsidRPr="002F4A28" w14:paraId="00C5FEAC" w14:textId="77777777" w:rsidTr="00EC5DFF">
        <w:trPr>
          <w:trHeight w:val="288"/>
        </w:trPr>
        <w:tc>
          <w:tcPr>
            <w:tcW w:w="440" w:type="dxa"/>
            <w:noWrap/>
            <w:vAlign w:val="bottom"/>
            <w:hideMark/>
          </w:tcPr>
          <w:p w14:paraId="48DA2C2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Oz</w:t>
            </w:r>
          </w:p>
        </w:tc>
        <w:tc>
          <w:tcPr>
            <w:tcW w:w="1360" w:type="dxa"/>
            <w:shd w:val="clear" w:color="000000" w:fill="C6EFCE"/>
            <w:noWrap/>
            <w:vAlign w:val="bottom"/>
            <w:hideMark/>
          </w:tcPr>
          <w:p w14:paraId="74DB9612"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0.236</w:t>
            </w:r>
          </w:p>
        </w:tc>
        <w:tc>
          <w:tcPr>
            <w:tcW w:w="360" w:type="dxa"/>
            <w:noWrap/>
            <w:vAlign w:val="bottom"/>
            <w:hideMark/>
          </w:tcPr>
          <w:p w14:paraId="27193790"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0D754F14"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TP7</w:t>
            </w:r>
          </w:p>
        </w:tc>
        <w:tc>
          <w:tcPr>
            <w:tcW w:w="1360" w:type="dxa"/>
            <w:shd w:val="clear" w:color="000000" w:fill="FFC7CE"/>
            <w:noWrap/>
            <w:vAlign w:val="bottom"/>
            <w:hideMark/>
          </w:tcPr>
          <w:p w14:paraId="68677BD8"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-0.079</w:t>
            </w:r>
          </w:p>
        </w:tc>
        <w:tc>
          <w:tcPr>
            <w:tcW w:w="420" w:type="dxa"/>
            <w:noWrap/>
            <w:vAlign w:val="bottom"/>
            <w:hideMark/>
          </w:tcPr>
          <w:p w14:paraId="6506F58B"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5706BACC" w14:textId="77777777" w:rsidR="002F4A28" w:rsidRPr="002F4A28" w:rsidRDefault="00A60CBF" w:rsidP="002F4A28">
            <w:pPr>
              <w:spacing w:after="0" w:line="240" w:lineRule="auto"/>
              <w:rPr>
                <w:rFonts w:ascii="Calibri" w:eastAsia="Times New Roman" w:hAnsi="Calibri" w:cs="Calibri"/>
                <w:color w:val="000000"/>
              </w:rPr>
            </w:pPr>
            <w:r>
              <w:rPr>
                <w:rFonts w:ascii="Calibri" w:eastAsia="Times New Roman" w:hAnsi="Calibri" w:cs="Calibri"/>
                <w:color w:val="000000"/>
              </w:rPr>
              <w:t xml:space="preserve">Standard Deviation of MEP </w:t>
            </w:r>
            <w:r w:rsidR="001F0C9C">
              <w:rPr>
                <w:rFonts w:ascii="Calibri" w:eastAsia="Times New Roman" w:hAnsi="Calibri" w:cs="Calibri"/>
                <w:color w:val="000000"/>
              </w:rPr>
              <w:t xml:space="preserve">Peak-to-Peak </w:t>
            </w:r>
            <w:r>
              <w:rPr>
                <w:rFonts w:ascii="Calibri" w:eastAsia="Times New Roman" w:hAnsi="Calibri" w:cs="Calibri"/>
                <w:color w:val="000000"/>
              </w:rPr>
              <w:t>Amplitude</w:t>
            </w:r>
          </w:p>
        </w:tc>
        <w:tc>
          <w:tcPr>
            <w:tcW w:w="1360" w:type="dxa"/>
            <w:shd w:val="clear" w:color="000000" w:fill="FFC7CE"/>
            <w:noWrap/>
            <w:vAlign w:val="bottom"/>
            <w:hideMark/>
          </w:tcPr>
          <w:p w14:paraId="38391421"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-0.018</w:t>
            </w:r>
          </w:p>
        </w:tc>
      </w:tr>
      <w:tr w:rsidR="002F4A28" w:rsidRPr="002F4A28" w14:paraId="651EDDF4" w14:textId="77777777" w:rsidTr="00EC5DFF">
        <w:trPr>
          <w:trHeight w:val="288"/>
        </w:trPr>
        <w:tc>
          <w:tcPr>
            <w:tcW w:w="440" w:type="dxa"/>
            <w:noWrap/>
            <w:vAlign w:val="bottom"/>
            <w:hideMark/>
          </w:tcPr>
          <w:p w14:paraId="46C7C74E"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O2</w:t>
            </w:r>
          </w:p>
        </w:tc>
        <w:tc>
          <w:tcPr>
            <w:tcW w:w="1360" w:type="dxa"/>
            <w:shd w:val="clear" w:color="000000" w:fill="C6EFCE"/>
            <w:noWrap/>
            <w:vAlign w:val="bottom"/>
            <w:hideMark/>
          </w:tcPr>
          <w:p w14:paraId="7935C55D"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0.171</w:t>
            </w:r>
          </w:p>
        </w:tc>
        <w:tc>
          <w:tcPr>
            <w:tcW w:w="360" w:type="dxa"/>
            <w:noWrap/>
            <w:vAlign w:val="bottom"/>
            <w:hideMark/>
          </w:tcPr>
          <w:p w14:paraId="1EE177C6"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4ABCAB7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CP3</w:t>
            </w:r>
          </w:p>
        </w:tc>
        <w:tc>
          <w:tcPr>
            <w:tcW w:w="1360" w:type="dxa"/>
            <w:shd w:val="clear" w:color="000000" w:fill="FFC7CE"/>
            <w:noWrap/>
            <w:vAlign w:val="bottom"/>
            <w:hideMark/>
          </w:tcPr>
          <w:p w14:paraId="430BBBF8"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-0.942</w:t>
            </w:r>
          </w:p>
        </w:tc>
        <w:tc>
          <w:tcPr>
            <w:tcW w:w="420" w:type="dxa"/>
            <w:noWrap/>
            <w:vAlign w:val="bottom"/>
            <w:hideMark/>
          </w:tcPr>
          <w:p w14:paraId="3436DF9A"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382CEDDD"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Mean</w:t>
            </w:r>
            <w:r w:rsidR="00A60CBF">
              <w:rPr>
                <w:rFonts w:ascii="Calibri" w:eastAsia="Times New Roman" w:hAnsi="Calibri" w:cs="Calibri"/>
                <w:color w:val="000000"/>
              </w:rPr>
              <w:t xml:space="preserve"> MEP </w:t>
            </w:r>
            <w:r w:rsidR="000B37A8">
              <w:rPr>
                <w:rFonts w:ascii="Calibri" w:eastAsia="Times New Roman" w:hAnsi="Calibri" w:cs="Calibri"/>
                <w:color w:val="000000"/>
              </w:rPr>
              <w:t xml:space="preserve">Peak-to-Peak </w:t>
            </w:r>
            <w:r w:rsidR="00A60CBF">
              <w:rPr>
                <w:rFonts w:ascii="Calibri" w:eastAsia="Times New Roman" w:hAnsi="Calibri" w:cs="Calibri"/>
                <w:color w:val="000000"/>
              </w:rPr>
              <w:t>Amplitude</w:t>
            </w:r>
          </w:p>
        </w:tc>
        <w:tc>
          <w:tcPr>
            <w:tcW w:w="1360" w:type="dxa"/>
            <w:shd w:val="clear" w:color="000000" w:fill="C6EFCE"/>
            <w:noWrap/>
            <w:vAlign w:val="bottom"/>
            <w:hideMark/>
          </w:tcPr>
          <w:p w14:paraId="2EAE05BD"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0.002</w:t>
            </w:r>
          </w:p>
        </w:tc>
      </w:tr>
      <w:tr w:rsidR="002F4A28" w:rsidRPr="002F4A28" w14:paraId="00CCD808" w14:textId="77777777" w:rsidTr="00EC5DFF">
        <w:trPr>
          <w:trHeight w:val="288"/>
        </w:trPr>
        <w:tc>
          <w:tcPr>
            <w:tcW w:w="440" w:type="dxa"/>
            <w:noWrap/>
            <w:vAlign w:val="bottom"/>
            <w:hideMark/>
          </w:tcPr>
          <w:p w14:paraId="6C35BF9E"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P4</w:t>
            </w:r>
          </w:p>
        </w:tc>
        <w:tc>
          <w:tcPr>
            <w:tcW w:w="1360" w:type="dxa"/>
            <w:shd w:val="clear" w:color="000000" w:fill="C6EFCE"/>
            <w:noWrap/>
            <w:vAlign w:val="bottom"/>
            <w:hideMark/>
          </w:tcPr>
          <w:p w14:paraId="6504F267"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0.190</w:t>
            </w:r>
          </w:p>
        </w:tc>
        <w:tc>
          <w:tcPr>
            <w:tcW w:w="360" w:type="dxa"/>
            <w:noWrap/>
            <w:vAlign w:val="bottom"/>
            <w:hideMark/>
          </w:tcPr>
          <w:p w14:paraId="09D449BD"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301D95D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P1</w:t>
            </w:r>
          </w:p>
        </w:tc>
        <w:tc>
          <w:tcPr>
            <w:tcW w:w="1360" w:type="dxa"/>
            <w:shd w:val="clear" w:color="000000" w:fill="FFC7CE"/>
            <w:noWrap/>
            <w:vAlign w:val="bottom"/>
            <w:hideMark/>
          </w:tcPr>
          <w:p w14:paraId="7A0A9CE4"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-0.072</w:t>
            </w:r>
          </w:p>
        </w:tc>
        <w:tc>
          <w:tcPr>
            <w:tcW w:w="420" w:type="dxa"/>
            <w:noWrap/>
            <w:vAlign w:val="bottom"/>
            <w:hideMark/>
          </w:tcPr>
          <w:p w14:paraId="0431C8B9"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04EE1849" w14:textId="77777777" w:rsidR="002F4A28" w:rsidRPr="002F4A28" w:rsidRDefault="00254C87" w:rsidP="002F4A28">
            <w:pPr>
              <w:spacing w:after="0" w:line="240" w:lineRule="auto"/>
              <w:rPr>
                <w:rFonts w:ascii="Calibri" w:eastAsia="Times New Roman" w:hAnsi="Calibri" w:cs="Calibri"/>
                <w:color w:val="000000"/>
              </w:rPr>
            </w:pPr>
            <w:r>
              <w:rPr>
                <w:rFonts w:ascii="Calibri" w:eastAsia="Times New Roman" w:hAnsi="Calibri" w:cs="Calibri"/>
                <w:color w:val="000000"/>
              </w:rPr>
              <w:t>RQS</w:t>
            </w:r>
          </w:p>
        </w:tc>
        <w:tc>
          <w:tcPr>
            <w:tcW w:w="1360" w:type="dxa"/>
            <w:shd w:val="clear" w:color="000000" w:fill="FFC7CE"/>
            <w:noWrap/>
            <w:vAlign w:val="bottom"/>
            <w:hideMark/>
          </w:tcPr>
          <w:p w14:paraId="3D26490A"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-0.433</w:t>
            </w:r>
          </w:p>
        </w:tc>
      </w:tr>
      <w:tr w:rsidR="002F4A28" w:rsidRPr="002F4A28" w14:paraId="14C1F4A8" w14:textId="77777777" w:rsidTr="00EC5DFF">
        <w:trPr>
          <w:trHeight w:val="288"/>
        </w:trPr>
        <w:tc>
          <w:tcPr>
            <w:tcW w:w="440" w:type="dxa"/>
            <w:noWrap/>
            <w:vAlign w:val="bottom"/>
            <w:hideMark/>
          </w:tcPr>
          <w:p w14:paraId="4D8864C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P8</w:t>
            </w:r>
          </w:p>
        </w:tc>
        <w:tc>
          <w:tcPr>
            <w:tcW w:w="1360" w:type="dxa"/>
            <w:shd w:val="clear" w:color="000000" w:fill="C6EFCE"/>
            <w:noWrap/>
            <w:vAlign w:val="bottom"/>
            <w:hideMark/>
          </w:tcPr>
          <w:p w14:paraId="048DFC49"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0.783</w:t>
            </w:r>
          </w:p>
        </w:tc>
        <w:tc>
          <w:tcPr>
            <w:tcW w:w="360" w:type="dxa"/>
            <w:noWrap/>
            <w:vAlign w:val="bottom"/>
            <w:hideMark/>
          </w:tcPr>
          <w:p w14:paraId="561435FD"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606810F6"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P5</w:t>
            </w:r>
          </w:p>
        </w:tc>
        <w:tc>
          <w:tcPr>
            <w:tcW w:w="1360" w:type="dxa"/>
            <w:shd w:val="clear" w:color="000000" w:fill="C6EFCE"/>
            <w:noWrap/>
            <w:vAlign w:val="bottom"/>
            <w:hideMark/>
          </w:tcPr>
          <w:p w14:paraId="135F9658"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1.153</w:t>
            </w:r>
          </w:p>
        </w:tc>
        <w:tc>
          <w:tcPr>
            <w:tcW w:w="420" w:type="dxa"/>
            <w:noWrap/>
            <w:vAlign w:val="bottom"/>
            <w:hideMark/>
          </w:tcPr>
          <w:p w14:paraId="551773CD"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7FC26466" w14:textId="77777777" w:rsidR="002F4A28" w:rsidRPr="002F4A28" w:rsidRDefault="001F0C9C" w:rsidP="001F0C9C">
            <w:pPr>
              <w:spacing w:after="0" w:line="240" w:lineRule="auto"/>
              <w:rPr>
                <w:rFonts w:ascii="Calibri" w:eastAsia="Times New Roman" w:hAnsi="Calibri" w:cs="Calibri"/>
                <w:color w:val="000000"/>
              </w:rPr>
            </w:pPr>
            <w:r>
              <w:rPr>
                <w:rFonts w:ascii="Calibri" w:eastAsia="Times New Roman" w:hAnsi="Calibri" w:cs="Calibri"/>
                <w:color w:val="000000"/>
              </w:rPr>
              <w:t>AUC of LMFP - [15, 80] ms</w:t>
            </w:r>
          </w:p>
        </w:tc>
        <w:tc>
          <w:tcPr>
            <w:tcW w:w="1360" w:type="dxa"/>
            <w:shd w:val="clear" w:color="000000" w:fill="C6EFCE"/>
            <w:noWrap/>
            <w:vAlign w:val="bottom"/>
            <w:hideMark/>
          </w:tcPr>
          <w:p w14:paraId="5F929098"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0.543</w:t>
            </w:r>
          </w:p>
        </w:tc>
      </w:tr>
      <w:tr w:rsidR="002F4A28" w:rsidRPr="002F4A28" w14:paraId="2A2207FA" w14:textId="77777777" w:rsidTr="00EC5DFF">
        <w:trPr>
          <w:trHeight w:val="288"/>
        </w:trPr>
        <w:tc>
          <w:tcPr>
            <w:tcW w:w="440" w:type="dxa"/>
            <w:noWrap/>
            <w:vAlign w:val="bottom"/>
            <w:hideMark/>
          </w:tcPr>
          <w:p w14:paraId="6FD397E9"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CP6</w:t>
            </w:r>
          </w:p>
        </w:tc>
        <w:tc>
          <w:tcPr>
            <w:tcW w:w="1360" w:type="dxa"/>
            <w:shd w:val="clear" w:color="000000" w:fill="C6EFCE"/>
            <w:noWrap/>
            <w:vAlign w:val="bottom"/>
            <w:hideMark/>
          </w:tcPr>
          <w:p w14:paraId="2377BF68"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0.204</w:t>
            </w:r>
          </w:p>
        </w:tc>
        <w:tc>
          <w:tcPr>
            <w:tcW w:w="360" w:type="dxa"/>
            <w:noWrap/>
            <w:vAlign w:val="bottom"/>
            <w:hideMark/>
          </w:tcPr>
          <w:p w14:paraId="43F6B2B3"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6A326686"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PO7</w:t>
            </w:r>
          </w:p>
        </w:tc>
        <w:tc>
          <w:tcPr>
            <w:tcW w:w="1360" w:type="dxa"/>
            <w:shd w:val="clear" w:color="000000" w:fill="C6EFCE"/>
            <w:noWrap/>
            <w:vAlign w:val="bottom"/>
            <w:hideMark/>
          </w:tcPr>
          <w:p w14:paraId="2A94194B"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0.646</w:t>
            </w:r>
          </w:p>
        </w:tc>
        <w:tc>
          <w:tcPr>
            <w:tcW w:w="420" w:type="dxa"/>
            <w:noWrap/>
            <w:vAlign w:val="bottom"/>
            <w:hideMark/>
          </w:tcPr>
          <w:p w14:paraId="0E9B1A55"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6F4DD850"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Visit</w:t>
            </w:r>
            <w:r w:rsidR="00A60CBF">
              <w:rPr>
                <w:rFonts w:ascii="Calibri" w:eastAsia="Times New Roman" w:hAnsi="Calibri" w:cs="Calibri"/>
                <w:color w:val="000000"/>
              </w:rPr>
              <w:t xml:space="preserve"> Type</w:t>
            </w:r>
          </w:p>
        </w:tc>
        <w:tc>
          <w:tcPr>
            <w:tcW w:w="1360" w:type="dxa"/>
            <w:shd w:val="clear" w:color="000000" w:fill="FFC7CE"/>
            <w:noWrap/>
            <w:vAlign w:val="bottom"/>
            <w:hideMark/>
          </w:tcPr>
          <w:p w14:paraId="18706010"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-0.391</w:t>
            </w:r>
          </w:p>
        </w:tc>
      </w:tr>
      <w:tr w:rsidR="002F4A28" w:rsidRPr="002F4A28" w14:paraId="42354794" w14:textId="77777777" w:rsidTr="00EC5DFF">
        <w:trPr>
          <w:trHeight w:val="288"/>
        </w:trPr>
        <w:tc>
          <w:tcPr>
            <w:tcW w:w="440" w:type="dxa"/>
            <w:noWrap/>
            <w:vAlign w:val="bottom"/>
            <w:hideMark/>
          </w:tcPr>
          <w:p w14:paraId="7698C434"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CP2</w:t>
            </w:r>
          </w:p>
        </w:tc>
        <w:tc>
          <w:tcPr>
            <w:tcW w:w="1360" w:type="dxa"/>
            <w:shd w:val="clear" w:color="000000" w:fill="C6EFCE"/>
            <w:noWrap/>
            <w:vAlign w:val="bottom"/>
            <w:hideMark/>
          </w:tcPr>
          <w:p w14:paraId="5DABFC8B"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0.684</w:t>
            </w:r>
          </w:p>
        </w:tc>
        <w:tc>
          <w:tcPr>
            <w:tcW w:w="360" w:type="dxa"/>
            <w:noWrap/>
            <w:vAlign w:val="bottom"/>
            <w:hideMark/>
          </w:tcPr>
          <w:p w14:paraId="2A0451DD" w14:textId="77777777" w:rsidR="002F4A28" w:rsidRPr="002F4A28" w:rsidRDefault="002F4A28" w:rsidP="002F4A28">
            <w:pPr>
              <w:spacing w:after="0" w:line="240" w:lineRule="auto"/>
              <w:jc w:val="right"/>
              <w:rPr>
                <w:rFonts w:ascii="Calibri" w:eastAsia="Times New Roman" w:hAnsi="Calibri" w:cs="Calibri"/>
                <w:color w:val="006100"/>
              </w:rPr>
            </w:pPr>
          </w:p>
        </w:tc>
        <w:tc>
          <w:tcPr>
            <w:tcW w:w="460" w:type="dxa"/>
            <w:noWrap/>
            <w:vAlign w:val="bottom"/>
            <w:hideMark/>
          </w:tcPr>
          <w:p w14:paraId="02C55E4F"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PO3</w:t>
            </w:r>
          </w:p>
        </w:tc>
        <w:tc>
          <w:tcPr>
            <w:tcW w:w="1360" w:type="dxa"/>
            <w:shd w:val="clear" w:color="000000" w:fill="C6EFCE"/>
            <w:noWrap/>
            <w:vAlign w:val="bottom"/>
            <w:hideMark/>
          </w:tcPr>
          <w:p w14:paraId="68BFBA10"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0.598</w:t>
            </w:r>
          </w:p>
        </w:tc>
        <w:tc>
          <w:tcPr>
            <w:tcW w:w="420" w:type="dxa"/>
            <w:noWrap/>
            <w:vAlign w:val="bottom"/>
            <w:hideMark/>
          </w:tcPr>
          <w:p w14:paraId="1E51EEF4"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4848C9C7" w14:textId="77777777" w:rsidR="002F4A28" w:rsidRPr="002F4A28" w:rsidRDefault="002F4A28" w:rsidP="002F4A28">
            <w:pPr>
              <w:spacing w:after="0" w:line="240" w:lineRule="auto"/>
              <w:rPr>
                <w:rFonts w:ascii="Times New Roman" w:eastAsia="Times New Roman" w:hAnsi="Times New Roman" w:cs="Times New Roman"/>
                <w:sz w:val="20"/>
                <w:szCs w:val="20"/>
              </w:rPr>
            </w:pPr>
          </w:p>
        </w:tc>
        <w:tc>
          <w:tcPr>
            <w:tcW w:w="1360" w:type="dxa"/>
            <w:noWrap/>
            <w:vAlign w:val="bottom"/>
            <w:hideMark/>
          </w:tcPr>
          <w:p w14:paraId="2B71A78B" w14:textId="77777777" w:rsidR="002F4A28" w:rsidRPr="002F4A28" w:rsidRDefault="002F4A28" w:rsidP="002F4A28">
            <w:pPr>
              <w:spacing w:after="0" w:line="240" w:lineRule="auto"/>
              <w:rPr>
                <w:rFonts w:ascii="Times New Roman" w:eastAsia="Times New Roman" w:hAnsi="Times New Roman" w:cs="Times New Roman"/>
                <w:sz w:val="20"/>
                <w:szCs w:val="20"/>
              </w:rPr>
            </w:pPr>
          </w:p>
        </w:tc>
      </w:tr>
      <w:tr w:rsidR="002F4A28" w:rsidRPr="002F4A28" w14:paraId="48F2D145" w14:textId="77777777" w:rsidTr="00EC5DFF">
        <w:trPr>
          <w:trHeight w:val="288"/>
        </w:trPr>
        <w:tc>
          <w:tcPr>
            <w:tcW w:w="440" w:type="dxa"/>
            <w:noWrap/>
            <w:vAlign w:val="bottom"/>
            <w:hideMark/>
          </w:tcPr>
          <w:p w14:paraId="1107C891" w14:textId="77777777" w:rsidR="002F4A28" w:rsidRPr="002F4A28" w:rsidRDefault="002F4A28" w:rsidP="002F4A28">
            <w:pPr>
              <w:spacing w:after="0" w:line="240" w:lineRule="auto"/>
              <w:rPr>
                <w:rFonts w:ascii="Calibri" w:eastAsia="Times New Roman" w:hAnsi="Calibri" w:cs="Calibri"/>
                <w:color w:val="000000"/>
              </w:rPr>
            </w:pPr>
            <w:proofErr w:type="spellStart"/>
            <w:r w:rsidRPr="002F4A28">
              <w:rPr>
                <w:rFonts w:ascii="Calibri" w:eastAsia="Times New Roman" w:hAnsi="Calibri" w:cs="Calibri"/>
                <w:color w:val="000000"/>
              </w:rPr>
              <w:t>Cz</w:t>
            </w:r>
            <w:proofErr w:type="spellEnd"/>
          </w:p>
        </w:tc>
        <w:tc>
          <w:tcPr>
            <w:tcW w:w="1360" w:type="dxa"/>
            <w:shd w:val="clear" w:color="000000" w:fill="FFC7CE"/>
            <w:noWrap/>
            <w:vAlign w:val="bottom"/>
            <w:hideMark/>
          </w:tcPr>
          <w:p w14:paraId="72A6274F"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-0.580</w:t>
            </w:r>
          </w:p>
        </w:tc>
        <w:tc>
          <w:tcPr>
            <w:tcW w:w="360" w:type="dxa"/>
            <w:noWrap/>
            <w:vAlign w:val="bottom"/>
            <w:hideMark/>
          </w:tcPr>
          <w:p w14:paraId="6B3EEA39"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67AC7588"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POz</w:t>
            </w:r>
          </w:p>
        </w:tc>
        <w:tc>
          <w:tcPr>
            <w:tcW w:w="1360" w:type="dxa"/>
            <w:shd w:val="clear" w:color="000000" w:fill="C6EFCE"/>
            <w:noWrap/>
            <w:vAlign w:val="bottom"/>
            <w:hideMark/>
          </w:tcPr>
          <w:p w14:paraId="5E25C0BD" w14:textId="77777777" w:rsidR="002F4A28" w:rsidRPr="002F4A28" w:rsidRDefault="009F52CE" w:rsidP="002F4A28">
            <w:pPr>
              <w:spacing w:after="0" w:line="240" w:lineRule="auto"/>
              <w:jc w:val="right"/>
              <w:rPr>
                <w:rFonts w:ascii="Calibri" w:eastAsia="Times New Roman" w:hAnsi="Calibri" w:cs="Calibri"/>
                <w:color w:val="006100"/>
              </w:rPr>
            </w:pPr>
            <w:r>
              <w:rPr>
                <w:rFonts w:ascii="Calibri" w:eastAsia="Times New Roman" w:hAnsi="Calibri" w:cs="Calibri"/>
                <w:color w:val="006100"/>
              </w:rPr>
              <w:t>0.294</w:t>
            </w:r>
          </w:p>
        </w:tc>
        <w:tc>
          <w:tcPr>
            <w:tcW w:w="420" w:type="dxa"/>
            <w:noWrap/>
            <w:vAlign w:val="bottom"/>
            <w:hideMark/>
          </w:tcPr>
          <w:p w14:paraId="696006CC" w14:textId="77777777" w:rsidR="002F4A28" w:rsidRPr="002F4A28" w:rsidRDefault="002F4A28" w:rsidP="002F4A28">
            <w:pPr>
              <w:spacing w:after="0" w:line="240" w:lineRule="auto"/>
              <w:jc w:val="right"/>
              <w:rPr>
                <w:rFonts w:ascii="Calibri" w:eastAsia="Times New Roman" w:hAnsi="Calibri" w:cs="Calibri"/>
                <w:color w:val="006100"/>
              </w:rPr>
            </w:pPr>
          </w:p>
        </w:tc>
        <w:tc>
          <w:tcPr>
            <w:tcW w:w="1620" w:type="dxa"/>
            <w:noWrap/>
            <w:vAlign w:val="bottom"/>
            <w:hideMark/>
          </w:tcPr>
          <w:p w14:paraId="23F1AEC8" w14:textId="77777777" w:rsidR="002F4A28" w:rsidRPr="002F4A28" w:rsidRDefault="002F4A28" w:rsidP="002F4A28">
            <w:pPr>
              <w:spacing w:after="0" w:line="240" w:lineRule="auto"/>
              <w:rPr>
                <w:rFonts w:ascii="Times New Roman" w:eastAsia="Times New Roman" w:hAnsi="Times New Roman" w:cs="Times New Roman"/>
                <w:sz w:val="20"/>
                <w:szCs w:val="20"/>
              </w:rPr>
            </w:pPr>
          </w:p>
        </w:tc>
        <w:tc>
          <w:tcPr>
            <w:tcW w:w="1360" w:type="dxa"/>
            <w:noWrap/>
            <w:vAlign w:val="bottom"/>
            <w:hideMark/>
          </w:tcPr>
          <w:p w14:paraId="09CAED00" w14:textId="77777777" w:rsidR="002F4A28" w:rsidRPr="002F4A28" w:rsidRDefault="002F4A28" w:rsidP="002F4A28">
            <w:pPr>
              <w:spacing w:after="0" w:line="240" w:lineRule="auto"/>
              <w:rPr>
                <w:rFonts w:ascii="Times New Roman" w:eastAsia="Times New Roman" w:hAnsi="Times New Roman" w:cs="Times New Roman"/>
                <w:sz w:val="20"/>
                <w:szCs w:val="20"/>
              </w:rPr>
            </w:pPr>
          </w:p>
        </w:tc>
      </w:tr>
      <w:tr w:rsidR="002F4A28" w:rsidRPr="002F4A28" w14:paraId="3BC5BAAC" w14:textId="77777777" w:rsidTr="00EC5DFF">
        <w:trPr>
          <w:trHeight w:val="288"/>
        </w:trPr>
        <w:tc>
          <w:tcPr>
            <w:tcW w:w="440" w:type="dxa"/>
            <w:noWrap/>
            <w:vAlign w:val="bottom"/>
            <w:hideMark/>
          </w:tcPr>
          <w:p w14:paraId="26532DB8"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C4</w:t>
            </w:r>
          </w:p>
        </w:tc>
        <w:tc>
          <w:tcPr>
            <w:tcW w:w="1360" w:type="dxa"/>
            <w:shd w:val="clear" w:color="000000" w:fill="FFC7CE"/>
            <w:noWrap/>
            <w:vAlign w:val="bottom"/>
            <w:hideMark/>
          </w:tcPr>
          <w:p w14:paraId="600DA3AA" w14:textId="77777777" w:rsidR="002F4A28" w:rsidRPr="002F4A28" w:rsidRDefault="009F52CE" w:rsidP="002F4A28">
            <w:pPr>
              <w:spacing w:after="0" w:line="240" w:lineRule="auto"/>
              <w:jc w:val="right"/>
              <w:rPr>
                <w:rFonts w:ascii="Calibri" w:eastAsia="Times New Roman" w:hAnsi="Calibri" w:cs="Calibri"/>
                <w:color w:val="9C0006"/>
              </w:rPr>
            </w:pPr>
            <w:r>
              <w:rPr>
                <w:rFonts w:ascii="Calibri" w:eastAsia="Times New Roman" w:hAnsi="Calibri" w:cs="Calibri"/>
                <w:color w:val="9C0006"/>
              </w:rPr>
              <w:t>-0.267</w:t>
            </w:r>
          </w:p>
        </w:tc>
        <w:tc>
          <w:tcPr>
            <w:tcW w:w="360" w:type="dxa"/>
            <w:noWrap/>
            <w:vAlign w:val="bottom"/>
            <w:hideMark/>
          </w:tcPr>
          <w:p w14:paraId="064C96F7" w14:textId="77777777" w:rsidR="002F4A28" w:rsidRPr="002F4A28" w:rsidRDefault="002F4A28" w:rsidP="002F4A28">
            <w:pPr>
              <w:spacing w:after="0" w:line="240" w:lineRule="auto"/>
              <w:jc w:val="right"/>
              <w:rPr>
                <w:rFonts w:ascii="Calibri" w:eastAsia="Times New Roman" w:hAnsi="Calibri" w:cs="Calibri"/>
                <w:color w:val="9C0006"/>
              </w:rPr>
            </w:pPr>
          </w:p>
        </w:tc>
        <w:tc>
          <w:tcPr>
            <w:tcW w:w="460" w:type="dxa"/>
            <w:noWrap/>
            <w:vAlign w:val="bottom"/>
            <w:hideMark/>
          </w:tcPr>
          <w:p w14:paraId="43482BEA" w14:textId="77777777" w:rsidR="002F4A28" w:rsidRPr="002F4A28" w:rsidRDefault="002F4A28" w:rsidP="002F4A28">
            <w:pPr>
              <w:spacing w:after="0" w:line="240" w:lineRule="auto"/>
              <w:rPr>
                <w:rFonts w:ascii="Calibri" w:eastAsia="Times New Roman" w:hAnsi="Calibri" w:cs="Calibri"/>
                <w:color w:val="000000"/>
              </w:rPr>
            </w:pPr>
            <w:r w:rsidRPr="002F4A28">
              <w:rPr>
                <w:rFonts w:ascii="Calibri" w:eastAsia="Times New Roman" w:hAnsi="Calibri" w:cs="Calibri"/>
                <w:color w:val="000000"/>
              </w:rPr>
              <w:t>PO4</w:t>
            </w:r>
          </w:p>
        </w:tc>
        <w:tc>
          <w:tcPr>
            <w:tcW w:w="1360" w:type="dxa"/>
            <w:shd w:val="clear" w:color="000000" w:fill="FFC7CE"/>
            <w:noWrap/>
            <w:vAlign w:val="bottom"/>
            <w:hideMark/>
          </w:tcPr>
          <w:p w14:paraId="42C993F6" w14:textId="77777777" w:rsidR="002F4A28" w:rsidRPr="002F4A28" w:rsidRDefault="002F4A28" w:rsidP="009F52CE">
            <w:pPr>
              <w:spacing w:after="0" w:line="240" w:lineRule="auto"/>
              <w:jc w:val="right"/>
              <w:rPr>
                <w:rFonts w:ascii="Calibri" w:eastAsia="Times New Roman" w:hAnsi="Calibri" w:cs="Calibri"/>
                <w:color w:val="9C0006"/>
              </w:rPr>
            </w:pPr>
            <w:r w:rsidRPr="002F4A28">
              <w:rPr>
                <w:rFonts w:ascii="Calibri" w:eastAsia="Times New Roman" w:hAnsi="Calibri" w:cs="Calibri"/>
                <w:color w:val="9C0006"/>
              </w:rPr>
              <w:t>-0.38</w:t>
            </w:r>
            <w:r w:rsidR="009F52CE">
              <w:rPr>
                <w:rFonts w:ascii="Calibri" w:eastAsia="Times New Roman" w:hAnsi="Calibri" w:cs="Calibri"/>
                <w:color w:val="9C0006"/>
              </w:rPr>
              <w:t>6</w:t>
            </w:r>
          </w:p>
        </w:tc>
        <w:tc>
          <w:tcPr>
            <w:tcW w:w="420" w:type="dxa"/>
            <w:noWrap/>
            <w:vAlign w:val="bottom"/>
            <w:hideMark/>
          </w:tcPr>
          <w:p w14:paraId="4A3E2A0B" w14:textId="77777777" w:rsidR="002F4A28" w:rsidRPr="002F4A28" w:rsidRDefault="002F4A28" w:rsidP="002F4A28">
            <w:pPr>
              <w:spacing w:after="0" w:line="240" w:lineRule="auto"/>
              <w:jc w:val="right"/>
              <w:rPr>
                <w:rFonts w:ascii="Calibri" w:eastAsia="Times New Roman" w:hAnsi="Calibri" w:cs="Calibri"/>
                <w:color w:val="9C0006"/>
              </w:rPr>
            </w:pPr>
          </w:p>
        </w:tc>
        <w:tc>
          <w:tcPr>
            <w:tcW w:w="1620" w:type="dxa"/>
            <w:noWrap/>
            <w:vAlign w:val="bottom"/>
            <w:hideMark/>
          </w:tcPr>
          <w:p w14:paraId="4DDFD47E" w14:textId="77777777" w:rsidR="002F4A28" w:rsidRPr="002F4A28" w:rsidRDefault="002F4A28" w:rsidP="002F4A28">
            <w:pPr>
              <w:spacing w:after="0" w:line="240" w:lineRule="auto"/>
              <w:rPr>
                <w:rFonts w:ascii="Times New Roman" w:eastAsia="Times New Roman" w:hAnsi="Times New Roman" w:cs="Times New Roman"/>
                <w:sz w:val="20"/>
                <w:szCs w:val="20"/>
              </w:rPr>
            </w:pPr>
          </w:p>
        </w:tc>
        <w:tc>
          <w:tcPr>
            <w:tcW w:w="1360" w:type="dxa"/>
            <w:noWrap/>
            <w:vAlign w:val="bottom"/>
            <w:hideMark/>
          </w:tcPr>
          <w:p w14:paraId="1EE7C037" w14:textId="77777777" w:rsidR="002F4A28" w:rsidRPr="002F4A28" w:rsidRDefault="002F4A28" w:rsidP="00D34725">
            <w:pPr>
              <w:keepNext/>
              <w:spacing w:after="0" w:line="240" w:lineRule="auto"/>
              <w:rPr>
                <w:rFonts w:ascii="Times New Roman" w:eastAsia="Times New Roman" w:hAnsi="Times New Roman" w:cs="Times New Roman"/>
                <w:sz w:val="20"/>
                <w:szCs w:val="20"/>
              </w:rPr>
            </w:pPr>
          </w:p>
        </w:tc>
      </w:tr>
    </w:tbl>
    <w:p w14:paraId="2B973745" w14:textId="77777777" w:rsidR="00B22F57" w:rsidRDefault="00D34725" w:rsidP="00B22F57">
      <w:pPr>
        <w:pStyle w:val="Caption"/>
        <w:rPr>
          <w:i w:val="0"/>
        </w:rPr>
      </w:pPr>
      <w:r>
        <w:t>Table S</w:t>
      </w:r>
      <w:r w:rsidR="00ED2683">
        <w:fldChar w:fldCharType="begin"/>
      </w:r>
      <w:r w:rsidR="00ED2683">
        <w:instrText xml:space="preserve"> SEQ Table \* ARABIC </w:instrText>
      </w:r>
      <w:r w:rsidR="00ED2683">
        <w:fldChar w:fldCharType="separate"/>
      </w:r>
      <w:r w:rsidR="008059EC">
        <w:rPr>
          <w:noProof/>
        </w:rPr>
        <w:t>5</w:t>
      </w:r>
      <w:r w:rsidR="00ED2683">
        <w:rPr>
          <w:noProof/>
        </w:rPr>
        <w:fldChar w:fldCharType="end"/>
      </w:r>
      <w:r w:rsidRPr="00D34725">
        <w:t xml:space="preserve"> </w:t>
      </w:r>
      <w:r w:rsidRPr="00B32FB3">
        <w:rPr>
          <w:i w:val="0"/>
        </w:rPr>
        <w:t xml:space="preserve">Coefficients of </w:t>
      </w:r>
      <w:r w:rsidR="00B32FB3" w:rsidRPr="00B32FB3">
        <w:rPr>
          <w:i w:val="0"/>
        </w:rPr>
        <w:t xml:space="preserve">the final </w:t>
      </w:r>
      <w:r w:rsidR="00B32FB3" w:rsidRPr="004D1E95">
        <w:rPr>
          <w:i w:val="0"/>
        </w:rPr>
        <w:t>LDA OA model for the MEP Experiment</w:t>
      </w:r>
      <w:r w:rsidRPr="004D1E95">
        <w:rPr>
          <w:i w:val="0"/>
        </w:rPr>
        <w:t>. Green box/text represents positive coefficients, red box/text r</w:t>
      </w:r>
      <w:r w:rsidR="000C06A6" w:rsidRPr="004D1E95">
        <w:rPr>
          <w:i w:val="0"/>
        </w:rPr>
        <w:t>epresents negative coefficient</w:t>
      </w:r>
      <w:r w:rsidR="00600141" w:rsidRPr="004D1E95">
        <w:rPr>
          <w:i w:val="0"/>
        </w:rPr>
        <w:t>. RQS stan</w:t>
      </w:r>
      <w:r w:rsidR="004D1E95" w:rsidRPr="004D1E95">
        <w:rPr>
          <w:i w:val="0"/>
        </w:rPr>
        <w:t>ds for regression quality scores.</w:t>
      </w:r>
    </w:p>
    <w:p w14:paraId="63302349" w14:textId="77777777" w:rsidR="00B22F57" w:rsidRDefault="00B22F57" w:rsidP="00B22F57"/>
    <w:tbl>
      <w:tblPr>
        <w:tblW w:w="2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47"/>
      </w:tblGrid>
      <w:tr w:rsidR="00B22F57" w:rsidRPr="00B22F57" w14:paraId="7D5B4FCF" w14:textId="77777777" w:rsidTr="00B22F57">
        <w:trPr>
          <w:trHeight w:val="288"/>
        </w:trPr>
        <w:tc>
          <w:tcPr>
            <w:tcW w:w="1047" w:type="dxa"/>
          </w:tcPr>
          <w:p w14:paraId="48C6A3D3"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C1</w:t>
            </w:r>
          </w:p>
        </w:tc>
        <w:tc>
          <w:tcPr>
            <w:tcW w:w="1047" w:type="dxa"/>
            <w:noWrap/>
            <w:vAlign w:val="bottom"/>
            <w:hideMark/>
          </w:tcPr>
          <w:p w14:paraId="0787BC9C"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r w:rsidR="00B22F57" w:rsidRPr="00B22F57" w14:paraId="64698023" w14:textId="77777777" w:rsidTr="00B22F57">
        <w:trPr>
          <w:trHeight w:val="288"/>
        </w:trPr>
        <w:tc>
          <w:tcPr>
            <w:tcW w:w="1047" w:type="dxa"/>
          </w:tcPr>
          <w:p w14:paraId="3311BFAC"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C3</w:t>
            </w:r>
          </w:p>
        </w:tc>
        <w:tc>
          <w:tcPr>
            <w:tcW w:w="1047" w:type="dxa"/>
            <w:noWrap/>
            <w:vAlign w:val="bottom"/>
            <w:hideMark/>
          </w:tcPr>
          <w:p w14:paraId="4AF2EC8B"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r w:rsidR="00B22F57" w:rsidRPr="00B22F57" w14:paraId="13F0AA4A" w14:textId="77777777" w:rsidTr="00B22F57">
        <w:trPr>
          <w:trHeight w:val="288"/>
        </w:trPr>
        <w:tc>
          <w:tcPr>
            <w:tcW w:w="1047" w:type="dxa"/>
          </w:tcPr>
          <w:p w14:paraId="3E65B148"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C5</w:t>
            </w:r>
          </w:p>
        </w:tc>
        <w:tc>
          <w:tcPr>
            <w:tcW w:w="1047" w:type="dxa"/>
            <w:noWrap/>
            <w:vAlign w:val="bottom"/>
            <w:hideMark/>
          </w:tcPr>
          <w:p w14:paraId="5E4EE694"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7.02E-01</w:t>
            </w:r>
          </w:p>
        </w:tc>
      </w:tr>
      <w:tr w:rsidR="00B22F57" w:rsidRPr="00B22F57" w14:paraId="4FC8B797" w14:textId="77777777" w:rsidTr="00B22F57">
        <w:trPr>
          <w:trHeight w:val="288"/>
        </w:trPr>
        <w:tc>
          <w:tcPr>
            <w:tcW w:w="1047" w:type="dxa"/>
          </w:tcPr>
          <w:p w14:paraId="12C1894A"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FC1</w:t>
            </w:r>
          </w:p>
        </w:tc>
        <w:tc>
          <w:tcPr>
            <w:tcW w:w="1047" w:type="dxa"/>
            <w:noWrap/>
            <w:vAlign w:val="bottom"/>
            <w:hideMark/>
          </w:tcPr>
          <w:p w14:paraId="25BC9C66"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r w:rsidR="00B22F57" w:rsidRPr="00B22F57" w14:paraId="07C5BF04" w14:textId="77777777" w:rsidTr="00B22F57">
        <w:trPr>
          <w:trHeight w:val="288"/>
        </w:trPr>
        <w:tc>
          <w:tcPr>
            <w:tcW w:w="1047" w:type="dxa"/>
          </w:tcPr>
          <w:p w14:paraId="62380115"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FC3</w:t>
            </w:r>
          </w:p>
        </w:tc>
        <w:tc>
          <w:tcPr>
            <w:tcW w:w="1047" w:type="dxa"/>
            <w:noWrap/>
            <w:vAlign w:val="bottom"/>
            <w:hideMark/>
          </w:tcPr>
          <w:p w14:paraId="198E6BAE"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r w:rsidR="00B22F57" w:rsidRPr="00B22F57" w14:paraId="114CDC93" w14:textId="77777777" w:rsidTr="00B22F57">
        <w:trPr>
          <w:trHeight w:val="288"/>
        </w:trPr>
        <w:tc>
          <w:tcPr>
            <w:tcW w:w="1047" w:type="dxa"/>
          </w:tcPr>
          <w:p w14:paraId="483DB6E6"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FC5</w:t>
            </w:r>
          </w:p>
        </w:tc>
        <w:tc>
          <w:tcPr>
            <w:tcW w:w="1047" w:type="dxa"/>
            <w:noWrap/>
            <w:vAlign w:val="bottom"/>
            <w:hideMark/>
          </w:tcPr>
          <w:p w14:paraId="029E631C"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5.44E-02</w:t>
            </w:r>
          </w:p>
        </w:tc>
      </w:tr>
      <w:tr w:rsidR="00B22F57" w:rsidRPr="00B22F57" w14:paraId="5E0762EF" w14:textId="77777777" w:rsidTr="00B22F57">
        <w:trPr>
          <w:trHeight w:val="288"/>
        </w:trPr>
        <w:tc>
          <w:tcPr>
            <w:tcW w:w="1047" w:type="dxa"/>
          </w:tcPr>
          <w:p w14:paraId="4CB6BE1C"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RQS</w:t>
            </w:r>
          </w:p>
        </w:tc>
        <w:tc>
          <w:tcPr>
            <w:tcW w:w="1047" w:type="dxa"/>
            <w:noWrap/>
            <w:vAlign w:val="bottom"/>
            <w:hideMark/>
          </w:tcPr>
          <w:p w14:paraId="19A80653"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2.44E-01</w:t>
            </w:r>
          </w:p>
        </w:tc>
      </w:tr>
      <w:tr w:rsidR="00B22F57" w:rsidRPr="00B22F57" w14:paraId="31A6FA96" w14:textId="77777777" w:rsidTr="00B22F57">
        <w:trPr>
          <w:trHeight w:val="288"/>
        </w:trPr>
        <w:tc>
          <w:tcPr>
            <w:tcW w:w="1047" w:type="dxa"/>
          </w:tcPr>
          <w:p w14:paraId="5C6B6149"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AUC of LMFP - [15, 80] ms</w:t>
            </w:r>
          </w:p>
        </w:tc>
        <w:tc>
          <w:tcPr>
            <w:tcW w:w="1047" w:type="dxa"/>
            <w:noWrap/>
            <w:vAlign w:val="bottom"/>
            <w:hideMark/>
          </w:tcPr>
          <w:p w14:paraId="1E800E08" w14:textId="77777777" w:rsidR="00B22F57" w:rsidRPr="00B22F57" w:rsidRDefault="00B22F57" w:rsidP="00B22F57">
            <w:pPr>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r w:rsidR="00B22F57" w:rsidRPr="00B22F57" w14:paraId="113B34BA" w14:textId="77777777" w:rsidTr="00B22F57">
        <w:trPr>
          <w:trHeight w:val="288"/>
        </w:trPr>
        <w:tc>
          <w:tcPr>
            <w:tcW w:w="1047" w:type="dxa"/>
          </w:tcPr>
          <w:p w14:paraId="6DE81060" w14:textId="77777777" w:rsidR="00B22F57" w:rsidRPr="00B22F57" w:rsidRDefault="00B22F57" w:rsidP="00B22F57">
            <w:pPr>
              <w:spacing w:after="0" w:line="240" w:lineRule="auto"/>
              <w:jc w:val="right"/>
              <w:rPr>
                <w:rFonts w:ascii="Calibri" w:eastAsia="Times New Roman" w:hAnsi="Calibri" w:cs="Calibri"/>
                <w:color w:val="000000"/>
              </w:rPr>
            </w:pPr>
            <w:r>
              <w:rPr>
                <w:rFonts w:ascii="Calibri" w:eastAsia="Times New Roman" w:hAnsi="Calibri" w:cs="Calibri"/>
                <w:color w:val="000000"/>
              </w:rPr>
              <w:t>Visit Type</w:t>
            </w:r>
          </w:p>
        </w:tc>
        <w:tc>
          <w:tcPr>
            <w:tcW w:w="1047" w:type="dxa"/>
            <w:noWrap/>
            <w:vAlign w:val="bottom"/>
            <w:hideMark/>
          </w:tcPr>
          <w:p w14:paraId="7AC92271" w14:textId="77777777" w:rsidR="00B22F57" w:rsidRPr="00B22F57" w:rsidRDefault="00B22F57" w:rsidP="00830662">
            <w:pPr>
              <w:keepNext/>
              <w:spacing w:after="0" w:line="240" w:lineRule="auto"/>
              <w:jc w:val="right"/>
              <w:rPr>
                <w:rFonts w:ascii="Calibri" w:eastAsia="Times New Roman" w:hAnsi="Calibri" w:cs="Calibri"/>
                <w:color w:val="000000"/>
              </w:rPr>
            </w:pPr>
            <w:r w:rsidRPr="00B22F57">
              <w:rPr>
                <w:rFonts w:ascii="Calibri" w:eastAsia="Times New Roman" w:hAnsi="Calibri" w:cs="Calibri"/>
                <w:color w:val="000000"/>
              </w:rPr>
              <w:t>0.00E+00</w:t>
            </w:r>
          </w:p>
        </w:tc>
      </w:tr>
    </w:tbl>
    <w:p w14:paraId="276277CC" w14:textId="77777777" w:rsidR="00B22F57" w:rsidRPr="00830662" w:rsidRDefault="00830662" w:rsidP="00830662">
      <w:pPr>
        <w:pStyle w:val="Caption"/>
        <w:rPr>
          <w:i w:val="0"/>
        </w:rPr>
        <w:sectPr w:rsidR="00B22F57" w:rsidRPr="00830662" w:rsidSect="00B22F57">
          <w:pgSz w:w="12240" w:h="15840"/>
          <w:pgMar w:top="1440" w:right="1440" w:bottom="1440" w:left="1440" w:header="720" w:footer="720" w:gutter="0"/>
          <w:cols w:space="720"/>
          <w:docGrid w:linePitch="360"/>
        </w:sectPr>
      </w:pPr>
      <w:r>
        <w:t xml:space="preserve">Table </w:t>
      </w:r>
      <w:r w:rsidR="00A71363">
        <w:t>S</w:t>
      </w:r>
      <w:r w:rsidR="00ED2683">
        <w:fldChar w:fldCharType="begin"/>
      </w:r>
      <w:r w:rsidR="00ED2683">
        <w:instrText xml:space="preserve"> SEQ Table \* ARABIC </w:instrText>
      </w:r>
      <w:r w:rsidR="00ED2683">
        <w:fldChar w:fldCharType="separate"/>
      </w:r>
      <w:r w:rsidR="008059EC">
        <w:rPr>
          <w:noProof/>
        </w:rPr>
        <w:t>6</w:t>
      </w:r>
      <w:r w:rsidR="00ED2683">
        <w:rPr>
          <w:noProof/>
        </w:rPr>
        <w:fldChar w:fldCharType="end"/>
      </w:r>
      <w:r>
        <w:t xml:space="preserve">. </w:t>
      </w:r>
      <w:r>
        <w:rPr>
          <w:i w:val="0"/>
        </w:rPr>
        <w:t>Gini Importan</w:t>
      </w:r>
      <w:r w:rsidRPr="00830662">
        <w:rPr>
          <w:i w:val="0"/>
        </w:rPr>
        <w:t>ce of the final decision tree in LMFP Ratios Experiment.</w:t>
      </w:r>
      <w:r w:rsidR="00F94DD7">
        <w:rPr>
          <w:i w:val="0"/>
        </w:rPr>
        <w:t xml:space="preserve"> Higher indicates higher feature importance or contribution to the model.</w:t>
      </w:r>
    </w:p>
    <w:p w14:paraId="06741ACF" w14:textId="77777777" w:rsidR="00924E58" w:rsidRPr="00924E58" w:rsidRDefault="00924E58" w:rsidP="00924E58">
      <w:pPr>
        <w:pStyle w:val="Bibliography"/>
        <w:rPr>
          <w:rFonts w:ascii="Calibri" w:hAnsi="Calibri" w:cs="Calibri"/>
        </w:rPr>
      </w:pPr>
      <w:r>
        <w:lastRenderedPageBreak/>
        <w:fldChar w:fldCharType="begin"/>
      </w:r>
      <w:r>
        <w:instrText xml:space="preserve"> ADDIN ZOTERO_BIBL {"uncited":[],"omitted":[],"custom":[]} CSL_BIBLIOGRAPHY </w:instrText>
      </w:r>
      <w:r>
        <w:fldChar w:fldCharType="separate"/>
      </w:r>
      <w:r w:rsidRPr="00924E58">
        <w:rPr>
          <w:rFonts w:ascii="Calibri" w:hAnsi="Calibri" w:cs="Calibri"/>
        </w:rPr>
        <w:t xml:space="preserve">1. </w:t>
      </w:r>
      <w:proofErr w:type="spellStart"/>
      <w:r w:rsidRPr="00924E58">
        <w:rPr>
          <w:rFonts w:ascii="Calibri" w:hAnsi="Calibri" w:cs="Calibri"/>
        </w:rPr>
        <w:t>Ozdemir</w:t>
      </w:r>
      <w:proofErr w:type="spellEnd"/>
      <w:r w:rsidRPr="00924E58">
        <w:rPr>
          <w:rFonts w:ascii="Calibri" w:hAnsi="Calibri" w:cs="Calibri"/>
        </w:rPr>
        <w:t xml:space="preserve"> RA, Boucher P, Fried PJ, </w:t>
      </w:r>
      <w:proofErr w:type="spellStart"/>
      <w:r w:rsidRPr="00924E58">
        <w:rPr>
          <w:rFonts w:ascii="Calibri" w:hAnsi="Calibri" w:cs="Calibri"/>
        </w:rPr>
        <w:t>Momi</w:t>
      </w:r>
      <w:proofErr w:type="spellEnd"/>
      <w:r w:rsidRPr="00924E58">
        <w:rPr>
          <w:rFonts w:ascii="Calibri" w:hAnsi="Calibri" w:cs="Calibri"/>
        </w:rPr>
        <w:t xml:space="preserve"> D, </w:t>
      </w:r>
      <w:proofErr w:type="spellStart"/>
      <w:r w:rsidRPr="00924E58">
        <w:rPr>
          <w:rFonts w:ascii="Calibri" w:hAnsi="Calibri" w:cs="Calibri"/>
        </w:rPr>
        <w:t>Jannati</w:t>
      </w:r>
      <w:proofErr w:type="spellEnd"/>
      <w:r w:rsidRPr="00924E58">
        <w:rPr>
          <w:rFonts w:ascii="Calibri" w:hAnsi="Calibri" w:cs="Calibri"/>
        </w:rPr>
        <w:t xml:space="preserve"> A, </w:t>
      </w:r>
      <w:proofErr w:type="spellStart"/>
      <w:r w:rsidRPr="00924E58">
        <w:rPr>
          <w:rFonts w:ascii="Calibri" w:hAnsi="Calibri" w:cs="Calibri"/>
        </w:rPr>
        <w:t>Pascual</w:t>
      </w:r>
      <w:proofErr w:type="spellEnd"/>
      <w:r w:rsidRPr="00924E58">
        <w:rPr>
          <w:rFonts w:ascii="Calibri" w:hAnsi="Calibri" w:cs="Calibri"/>
        </w:rPr>
        <w:t xml:space="preserve">-Leone A, et al. Reproducibility of cortical response modulation induced by intermittent and continuous theta-burst stimulation of the human motor cortex. Brain </w:t>
      </w:r>
      <w:proofErr w:type="spellStart"/>
      <w:r w:rsidRPr="00924E58">
        <w:rPr>
          <w:rFonts w:ascii="Calibri" w:hAnsi="Calibri" w:cs="Calibri"/>
        </w:rPr>
        <w:t>Stimul</w:t>
      </w:r>
      <w:proofErr w:type="spellEnd"/>
      <w:r w:rsidRPr="00924E58">
        <w:rPr>
          <w:rFonts w:ascii="Calibri" w:hAnsi="Calibri" w:cs="Calibri"/>
        </w:rPr>
        <w:t>. 2021</w:t>
      </w:r>
      <w:proofErr w:type="gramStart"/>
      <w:r w:rsidRPr="00924E58">
        <w:rPr>
          <w:rFonts w:ascii="Calibri" w:hAnsi="Calibri" w:cs="Calibri"/>
        </w:rPr>
        <w:t>;14:949</w:t>
      </w:r>
      <w:proofErr w:type="gramEnd"/>
      <w:r w:rsidRPr="00924E58">
        <w:rPr>
          <w:rFonts w:ascii="Calibri" w:hAnsi="Calibri" w:cs="Calibri"/>
        </w:rPr>
        <w:t xml:space="preserve">–64. </w:t>
      </w:r>
    </w:p>
    <w:p w14:paraId="079A97BE" w14:textId="280325E1" w:rsidR="0080370B" w:rsidRPr="0080370B" w:rsidRDefault="00924E58" w:rsidP="0080370B">
      <w:r>
        <w:fldChar w:fldCharType="end"/>
      </w:r>
    </w:p>
    <w:sectPr w:rsidR="0080370B" w:rsidRPr="00803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FD"/>
    <w:rsid w:val="00005384"/>
    <w:rsid w:val="00026EAD"/>
    <w:rsid w:val="00070D26"/>
    <w:rsid w:val="000810FD"/>
    <w:rsid w:val="000A6C56"/>
    <w:rsid w:val="000B37A8"/>
    <w:rsid w:val="000B43A7"/>
    <w:rsid w:val="000C06A6"/>
    <w:rsid w:val="001520C3"/>
    <w:rsid w:val="00152733"/>
    <w:rsid w:val="001706F5"/>
    <w:rsid w:val="001F0C9C"/>
    <w:rsid w:val="001F6629"/>
    <w:rsid w:val="00254C87"/>
    <w:rsid w:val="002F4A28"/>
    <w:rsid w:val="00300135"/>
    <w:rsid w:val="003179EA"/>
    <w:rsid w:val="00323B07"/>
    <w:rsid w:val="00341817"/>
    <w:rsid w:val="003755ED"/>
    <w:rsid w:val="003E2840"/>
    <w:rsid w:val="00413AEF"/>
    <w:rsid w:val="004431A1"/>
    <w:rsid w:val="00485238"/>
    <w:rsid w:val="004C6DFD"/>
    <w:rsid w:val="004D1E95"/>
    <w:rsid w:val="005024D4"/>
    <w:rsid w:val="0053178A"/>
    <w:rsid w:val="00531C85"/>
    <w:rsid w:val="00554DFA"/>
    <w:rsid w:val="005677F1"/>
    <w:rsid w:val="005729B3"/>
    <w:rsid w:val="005B0B53"/>
    <w:rsid w:val="005C4470"/>
    <w:rsid w:val="00600141"/>
    <w:rsid w:val="006522F0"/>
    <w:rsid w:val="006D02B0"/>
    <w:rsid w:val="00711FF1"/>
    <w:rsid w:val="00727829"/>
    <w:rsid w:val="00773B59"/>
    <w:rsid w:val="007A62A8"/>
    <w:rsid w:val="007F0711"/>
    <w:rsid w:val="0080370B"/>
    <w:rsid w:val="008059EC"/>
    <w:rsid w:val="00830662"/>
    <w:rsid w:val="0083510E"/>
    <w:rsid w:val="00846BD1"/>
    <w:rsid w:val="00873EDA"/>
    <w:rsid w:val="008D3800"/>
    <w:rsid w:val="00906C51"/>
    <w:rsid w:val="00911342"/>
    <w:rsid w:val="00924E58"/>
    <w:rsid w:val="00947E38"/>
    <w:rsid w:val="009648A6"/>
    <w:rsid w:val="009766EF"/>
    <w:rsid w:val="009B7535"/>
    <w:rsid w:val="009D18A9"/>
    <w:rsid w:val="009F52CE"/>
    <w:rsid w:val="00A02A64"/>
    <w:rsid w:val="00A607BD"/>
    <w:rsid w:val="00A60CBF"/>
    <w:rsid w:val="00A71363"/>
    <w:rsid w:val="00A73213"/>
    <w:rsid w:val="00AD6031"/>
    <w:rsid w:val="00AF1857"/>
    <w:rsid w:val="00B00CD8"/>
    <w:rsid w:val="00B22F57"/>
    <w:rsid w:val="00B32FB3"/>
    <w:rsid w:val="00BA4F5A"/>
    <w:rsid w:val="00BE2A7E"/>
    <w:rsid w:val="00BE6FF5"/>
    <w:rsid w:val="00C06A30"/>
    <w:rsid w:val="00C20BEB"/>
    <w:rsid w:val="00C50FFF"/>
    <w:rsid w:val="00C9658A"/>
    <w:rsid w:val="00CA40D8"/>
    <w:rsid w:val="00CB253A"/>
    <w:rsid w:val="00CC66E2"/>
    <w:rsid w:val="00CF492D"/>
    <w:rsid w:val="00D34725"/>
    <w:rsid w:val="00D47EA1"/>
    <w:rsid w:val="00D52107"/>
    <w:rsid w:val="00DD3873"/>
    <w:rsid w:val="00DF2375"/>
    <w:rsid w:val="00DF7303"/>
    <w:rsid w:val="00E46803"/>
    <w:rsid w:val="00E52E65"/>
    <w:rsid w:val="00E869EF"/>
    <w:rsid w:val="00E879FD"/>
    <w:rsid w:val="00EC5DFF"/>
    <w:rsid w:val="00ED2683"/>
    <w:rsid w:val="00F3202A"/>
    <w:rsid w:val="00F8618A"/>
    <w:rsid w:val="00F94DD7"/>
    <w:rsid w:val="00F96CC7"/>
    <w:rsid w:val="00FD0510"/>
    <w:rsid w:val="00FF1166"/>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982D"/>
  <w15:chartTrackingRefBased/>
  <w15:docId w15:val="{356CE060-A842-4D30-AA31-062E9A03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1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2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2A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6C5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BE2A7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52E65"/>
    <w:rPr>
      <w:color w:val="0563C1" w:themeColor="hyperlink"/>
      <w:u w:val="single"/>
    </w:rPr>
  </w:style>
  <w:style w:type="paragraph" w:styleId="Title">
    <w:name w:val="Title"/>
    <w:basedOn w:val="Normal"/>
    <w:next w:val="Normal"/>
    <w:link w:val="TitleChar"/>
    <w:uiPriority w:val="10"/>
    <w:qFormat/>
    <w:rsid w:val="00CB2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53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253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11FF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24E58"/>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5901">
      <w:bodyDiv w:val="1"/>
      <w:marLeft w:val="0"/>
      <w:marRight w:val="0"/>
      <w:marTop w:val="0"/>
      <w:marBottom w:val="0"/>
      <w:divBdr>
        <w:top w:val="none" w:sz="0" w:space="0" w:color="auto"/>
        <w:left w:val="none" w:sz="0" w:space="0" w:color="auto"/>
        <w:bottom w:val="none" w:sz="0" w:space="0" w:color="auto"/>
        <w:right w:val="none" w:sz="0" w:space="0" w:color="auto"/>
      </w:divBdr>
    </w:div>
    <w:div w:id="75444263">
      <w:bodyDiv w:val="1"/>
      <w:marLeft w:val="0"/>
      <w:marRight w:val="0"/>
      <w:marTop w:val="0"/>
      <w:marBottom w:val="0"/>
      <w:divBdr>
        <w:top w:val="none" w:sz="0" w:space="0" w:color="auto"/>
        <w:left w:val="none" w:sz="0" w:space="0" w:color="auto"/>
        <w:bottom w:val="none" w:sz="0" w:space="0" w:color="auto"/>
        <w:right w:val="none" w:sz="0" w:space="0" w:color="auto"/>
      </w:divBdr>
    </w:div>
    <w:div w:id="227497829">
      <w:bodyDiv w:val="1"/>
      <w:marLeft w:val="0"/>
      <w:marRight w:val="0"/>
      <w:marTop w:val="0"/>
      <w:marBottom w:val="0"/>
      <w:divBdr>
        <w:top w:val="none" w:sz="0" w:space="0" w:color="auto"/>
        <w:left w:val="none" w:sz="0" w:space="0" w:color="auto"/>
        <w:bottom w:val="none" w:sz="0" w:space="0" w:color="auto"/>
        <w:right w:val="none" w:sz="0" w:space="0" w:color="auto"/>
      </w:divBdr>
    </w:div>
    <w:div w:id="350184902">
      <w:bodyDiv w:val="1"/>
      <w:marLeft w:val="0"/>
      <w:marRight w:val="0"/>
      <w:marTop w:val="0"/>
      <w:marBottom w:val="0"/>
      <w:divBdr>
        <w:top w:val="none" w:sz="0" w:space="0" w:color="auto"/>
        <w:left w:val="none" w:sz="0" w:space="0" w:color="auto"/>
        <w:bottom w:val="none" w:sz="0" w:space="0" w:color="auto"/>
        <w:right w:val="none" w:sz="0" w:space="0" w:color="auto"/>
      </w:divBdr>
    </w:div>
    <w:div w:id="601451986">
      <w:bodyDiv w:val="1"/>
      <w:marLeft w:val="0"/>
      <w:marRight w:val="0"/>
      <w:marTop w:val="0"/>
      <w:marBottom w:val="0"/>
      <w:divBdr>
        <w:top w:val="none" w:sz="0" w:space="0" w:color="auto"/>
        <w:left w:val="none" w:sz="0" w:space="0" w:color="auto"/>
        <w:bottom w:val="none" w:sz="0" w:space="0" w:color="auto"/>
        <w:right w:val="none" w:sz="0" w:space="0" w:color="auto"/>
      </w:divBdr>
    </w:div>
    <w:div w:id="663897301">
      <w:bodyDiv w:val="1"/>
      <w:marLeft w:val="0"/>
      <w:marRight w:val="0"/>
      <w:marTop w:val="0"/>
      <w:marBottom w:val="0"/>
      <w:divBdr>
        <w:top w:val="none" w:sz="0" w:space="0" w:color="auto"/>
        <w:left w:val="none" w:sz="0" w:space="0" w:color="auto"/>
        <w:bottom w:val="none" w:sz="0" w:space="0" w:color="auto"/>
        <w:right w:val="none" w:sz="0" w:space="0" w:color="auto"/>
      </w:divBdr>
    </w:div>
    <w:div w:id="1209100738">
      <w:bodyDiv w:val="1"/>
      <w:marLeft w:val="0"/>
      <w:marRight w:val="0"/>
      <w:marTop w:val="0"/>
      <w:marBottom w:val="0"/>
      <w:divBdr>
        <w:top w:val="none" w:sz="0" w:space="0" w:color="auto"/>
        <w:left w:val="none" w:sz="0" w:space="0" w:color="auto"/>
        <w:bottom w:val="none" w:sz="0" w:space="0" w:color="auto"/>
        <w:right w:val="none" w:sz="0" w:space="0" w:color="auto"/>
      </w:divBdr>
      <w:divsChild>
        <w:div w:id="1410536565">
          <w:marLeft w:val="0"/>
          <w:marRight w:val="0"/>
          <w:marTop w:val="0"/>
          <w:marBottom w:val="0"/>
          <w:divBdr>
            <w:top w:val="none" w:sz="0" w:space="0" w:color="auto"/>
            <w:left w:val="none" w:sz="0" w:space="0" w:color="auto"/>
            <w:bottom w:val="none" w:sz="0" w:space="0" w:color="auto"/>
            <w:right w:val="none" w:sz="0" w:space="0" w:color="auto"/>
          </w:divBdr>
          <w:divsChild>
            <w:div w:id="4862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1429">
      <w:bodyDiv w:val="1"/>
      <w:marLeft w:val="0"/>
      <w:marRight w:val="0"/>
      <w:marTop w:val="0"/>
      <w:marBottom w:val="0"/>
      <w:divBdr>
        <w:top w:val="none" w:sz="0" w:space="0" w:color="auto"/>
        <w:left w:val="none" w:sz="0" w:space="0" w:color="auto"/>
        <w:bottom w:val="none" w:sz="0" w:space="0" w:color="auto"/>
        <w:right w:val="none" w:sz="0" w:space="0" w:color="auto"/>
      </w:divBdr>
    </w:div>
    <w:div w:id="1919290224">
      <w:bodyDiv w:val="1"/>
      <w:marLeft w:val="0"/>
      <w:marRight w:val="0"/>
      <w:marTop w:val="0"/>
      <w:marBottom w:val="0"/>
      <w:divBdr>
        <w:top w:val="none" w:sz="0" w:space="0" w:color="auto"/>
        <w:left w:val="none" w:sz="0" w:space="0" w:color="auto"/>
        <w:bottom w:val="none" w:sz="0" w:space="0" w:color="auto"/>
        <w:right w:val="none" w:sz="0" w:space="0" w:color="auto"/>
      </w:divBdr>
    </w:div>
    <w:div w:id="19491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Matthew (BIDMC - Roby - Neurology SF)</dc:creator>
  <cp:keywords/>
  <dc:description/>
  <cp:lastModifiedBy>Ning, Matthew (BIDMC - Roby - Neurology SF)</cp:lastModifiedBy>
  <cp:revision>8</cp:revision>
  <dcterms:created xsi:type="dcterms:W3CDTF">2025-09-17T15:30:00Z</dcterms:created>
  <dcterms:modified xsi:type="dcterms:W3CDTF">2025-09-17T15:36:00Z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id="uH1diLKZ"/&gt;&lt;style id="http://www.zotero.org/styles/journal-of-neuroengineering-and-rehabilitation" hasBibliography="1" bibliographyStyleHasBeenSet="1"/&gt;&lt;prefs&gt;&lt;pref name="fieldType" value="Field"</vt:lpwstr>
  </property>
  <property fmtid="{D5CDD505-2E9C-101B-9397-08002B2CF9AE}" pid="3" name="ZOTERO_PREF_2">
    <vt:lpwstr>/&gt;&lt;/prefs&gt;&lt;/data&gt;</vt:lpwstr>
  </property>
</Properties>
</file>