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2A8EDA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GB"/>
        </w:rPr>
      </w:pP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 xml:space="preserve">Figure S1- Frequency of symptoms in persistent Long COVID patients. </w:t>
      </w:r>
    </w:p>
    <w:p w14:paraId="69B72A8B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A</w:t>
      </w:r>
      <w:r w:rsidRPr="35C0FA9A">
        <w:rPr>
          <w:rFonts w:ascii="Arial" w:eastAsia="Arial" w:hAnsi="Arial" w:cs="Arial"/>
          <w:color w:val="000000" w:themeColor="text1"/>
          <w:lang w:val="en-US"/>
        </w:rPr>
        <w:t>) Frequency of symptoms of pLC patients.</w:t>
      </w:r>
    </w:p>
    <w:p w14:paraId="32E7FF2C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b/>
          <w:bCs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B</w:t>
      </w:r>
      <w:r w:rsidRPr="35C0FA9A">
        <w:rPr>
          <w:rFonts w:ascii="Arial" w:eastAsia="Arial" w:hAnsi="Arial" w:cs="Arial"/>
          <w:color w:val="000000" w:themeColor="text1"/>
          <w:lang w:val="en-US"/>
        </w:rPr>
        <w:t>) Frequency of symptoms disaggregated by sex (women, pink; men, blue).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 xml:space="preserve"> </w:t>
      </w:r>
    </w:p>
    <w:p w14:paraId="09350B50" w14:textId="77777777" w:rsidR="00C07C0B" w:rsidRPr="0016511B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highlight w:val="yellow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C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) </w:t>
      </w:r>
      <w:r w:rsidRPr="35C0FA9A">
        <w:rPr>
          <w:rFonts w:ascii="Arial" w:eastAsia="Arial" w:hAnsi="Arial" w:cs="Arial"/>
          <w:lang w:val="en-US"/>
        </w:rPr>
        <w:t>Work-related impacts of pLC.</w:t>
      </w:r>
    </w:p>
    <w:p w14:paraId="52FFA4BF" w14:textId="77777777" w:rsidR="00C07C0B" w:rsidRPr="0016511B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</w:p>
    <w:p w14:paraId="3460256E" w14:textId="77777777" w:rsidR="00C07C0B" w:rsidRPr="0016511B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GB"/>
        </w:rPr>
      </w:pP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Figure S2- Flow cytometric gating strategy.</w:t>
      </w:r>
    </w:p>
    <w:p w14:paraId="6788B1F8" w14:textId="77777777" w:rsidR="00C07C0B" w:rsidRPr="0016511B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A</w:t>
      </w:r>
      <w:r w:rsidRPr="35C0FA9A">
        <w:rPr>
          <w:rFonts w:ascii="Arial" w:eastAsia="Arial" w:hAnsi="Arial" w:cs="Arial"/>
          <w:color w:val="000000" w:themeColor="text1"/>
          <w:lang w:val="en-US"/>
        </w:rPr>
        <w:t>) Gating strategy for activated and memory CD4+ T cell subsets.</w:t>
      </w:r>
    </w:p>
    <w:p w14:paraId="02205C1A" w14:textId="77777777" w:rsidR="00C07C0B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B</w:t>
      </w:r>
      <w:r w:rsidRPr="35C0FA9A">
        <w:rPr>
          <w:rFonts w:ascii="Arial" w:eastAsia="Arial" w:hAnsi="Arial" w:cs="Arial"/>
          <w:color w:val="000000" w:themeColor="text1"/>
          <w:lang w:val="en-US"/>
        </w:rPr>
        <w:t>) Gating strategy for Granzyme B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>, Granzyme K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>, Perforin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 and NKG2D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 T cells CD8+ T cells.</w:t>
      </w:r>
    </w:p>
    <w:p w14:paraId="2E79FF3A" w14:textId="77777777" w:rsidR="00C07C0B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C</w:t>
      </w:r>
      <w:r w:rsidRPr="35C0FA9A">
        <w:rPr>
          <w:rFonts w:ascii="Arial" w:eastAsia="Arial" w:hAnsi="Arial" w:cs="Arial"/>
          <w:color w:val="000000" w:themeColor="text1"/>
          <w:lang w:val="en-US"/>
        </w:rPr>
        <w:t>) Gating strategy for Granzyme B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>, Granzyme K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>, Perforin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 and NKG2D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 CD56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 cells.</w:t>
      </w:r>
    </w:p>
    <w:p w14:paraId="19412D3D" w14:textId="77777777" w:rsidR="00C07C0B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vertAlign w:val="superscript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D</w:t>
      </w:r>
      <w:r w:rsidRPr="35C0FA9A">
        <w:rPr>
          <w:rFonts w:ascii="Arial" w:eastAsia="Arial" w:hAnsi="Arial" w:cs="Arial"/>
          <w:color w:val="000000" w:themeColor="text1"/>
          <w:lang w:val="en-US"/>
        </w:rPr>
        <w:t>) Gating strategy for CD19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>CD3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-</w:t>
      </w:r>
      <w:r w:rsidRPr="35C0FA9A">
        <w:rPr>
          <w:rFonts w:ascii="Arial" w:eastAsia="Arial" w:hAnsi="Arial" w:cs="Arial"/>
          <w:color w:val="000000" w:themeColor="text1"/>
          <w:lang w:val="en-US"/>
        </w:rPr>
        <w:t>CD27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 xml:space="preserve">+ </w:t>
      </w:r>
      <w:r w:rsidRPr="35C0FA9A">
        <w:rPr>
          <w:rFonts w:ascii="Arial" w:eastAsia="Arial" w:hAnsi="Arial" w:cs="Arial"/>
          <w:color w:val="000000" w:themeColor="text1"/>
          <w:lang w:val="en-US"/>
        </w:rPr>
        <w:t>and CD19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>CD3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-</w:t>
      </w:r>
      <w:r w:rsidRPr="35C0FA9A">
        <w:rPr>
          <w:rFonts w:ascii="Arial" w:eastAsia="Arial" w:hAnsi="Arial" w:cs="Arial"/>
          <w:color w:val="000000" w:themeColor="text1"/>
          <w:lang w:val="en-US"/>
        </w:rPr>
        <w:t>CD27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>CD38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 xml:space="preserve">+ </w:t>
      </w:r>
      <w:r w:rsidRPr="35C0FA9A">
        <w:rPr>
          <w:rFonts w:ascii="Arial" w:eastAsia="Arial" w:hAnsi="Arial" w:cs="Arial"/>
          <w:color w:val="000000" w:themeColor="text1"/>
          <w:lang w:val="en-US"/>
        </w:rPr>
        <w:t>Bcells.</w:t>
      </w:r>
    </w:p>
    <w:p w14:paraId="74714D7B" w14:textId="77777777" w:rsidR="00C07C0B" w:rsidRPr="0016511B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</w:p>
    <w:p w14:paraId="39B65D19" w14:textId="77777777" w:rsidR="00C07C0B" w:rsidRPr="0016511B" w:rsidRDefault="00C07C0B" w:rsidP="00C07C0B">
      <w:pPr>
        <w:spacing w:after="0" w:line="480" w:lineRule="auto"/>
        <w:jc w:val="both"/>
        <w:rPr>
          <w:rFonts w:ascii="Arial" w:eastAsia="Arial" w:hAnsi="Arial" w:cs="Arial"/>
          <w:b/>
          <w:bCs/>
          <w:color w:val="000000" w:themeColor="text1"/>
          <w:lang w:val="en-US"/>
        </w:rPr>
      </w:pP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Figure S3- Humoral and cellular responses in persistent Long COVID.</w:t>
      </w:r>
    </w:p>
    <w:p w14:paraId="241E53D6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GB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A</w:t>
      </w:r>
      <w:r w:rsidRPr="35C0FA9A">
        <w:rPr>
          <w:rFonts w:ascii="Arial" w:eastAsia="Arial" w:hAnsi="Arial" w:cs="Arial"/>
          <w:color w:val="000000" w:themeColor="text1"/>
          <w:lang w:val="en-US"/>
        </w:rPr>
        <w:t>) Frequency of CD4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 T cells in Ctr (n= 20) and pLCs (n= 15).</w:t>
      </w:r>
    </w:p>
    <w:p w14:paraId="3A8304B8" w14:textId="77777777" w:rsidR="00C07C0B" w:rsidRPr="006D3398" w:rsidRDefault="00C07C0B" w:rsidP="00C07C0B">
      <w:pPr>
        <w:spacing w:line="480" w:lineRule="auto"/>
        <w:jc w:val="both"/>
        <w:rPr>
          <w:rFonts w:ascii="Arial" w:eastAsia="Arial" w:hAnsi="Arial" w:cs="Arial"/>
          <w:color w:val="000000" w:themeColor="text1"/>
          <w:lang w:val="en-GB"/>
        </w:rPr>
      </w:pPr>
      <w:r w:rsidRPr="006D3398">
        <w:rPr>
          <w:rFonts w:ascii="Arial" w:eastAsia="Arial" w:hAnsi="Arial" w:cs="Arial"/>
          <w:color w:val="000000" w:themeColor="text1"/>
          <w:lang w:val="en-US"/>
        </w:rPr>
        <w:t>(</w:t>
      </w:r>
      <w:r w:rsidRPr="006D3398">
        <w:rPr>
          <w:rFonts w:ascii="Arial" w:eastAsia="Arial" w:hAnsi="Arial" w:cs="Arial"/>
          <w:b/>
          <w:bCs/>
          <w:color w:val="000000" w:themeColor="text1"/>
          <w:lang w:val="en-US"/>
        </w:rPr>
        <w:t>B</w:t>
      </w:r>
      <w:r w:rsidRPr="006D3398">
        <w:rPr>
          <w:rFonts w:ascii="Arial" w:eastAsia="Arial" w:hAnsi="Arial" w:cs="Arial"/>
          <w:color w:val="000000" w:themeColor="text1"/>
          <w:lang w:val="en-US"/>
        </w:rPr>
        <w:t>) Frequency of CD4</w:t>
      </w:r>
      <w:r w:rsidRPr="006D3398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006D3398">
        <w:rPr>
          <w:rFonts w:ascii="Arial" w:eastAsia="Arial" w:hAnsi="Arial" w:cs="Arial"/>
          <w:color w:val="000000" w:themeColor="text1"/>
          <w:lang w:val="en-US"/>
        </w:rPr>
        <w:t xml:space="preserve"> CD38</w:t>
      </w:r>
      <w:r w:rsidRPr="006D3398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006D3398">
        <w:rPr>
          <w:rFonts w:ascii="Arial" w:eastAsia="Arial" w:hAnsi="Arial" w:cs="Arial"/>
          <w:color w:val="000000" w:themeColor="text1"/>
          <w:lang w:val="en-US"/>
        </w:rPr>
        <w:t xml:space="preserve"> T cells in Ctr (n= 19) and pLCs (n= 13).</w:t>
      </w:r>
    </w:p>
    <w:p w14:paraId="4F58E7BA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GB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C</w:t>
      </w:r>
      <w:r w:rsidRPr="35C0FA9A">
        <w:rPr>
          <w:rFonts w:ascii="Arial" w:eastAsia="Arial" w:hAnsi="Arial" w:cs="Arial"/>
          <w:color w:val="000000" w:themeColor="text1"/>
          <w:lang w:val="en-US"/>
        </w:rPr>
        <w:t>) Frequency of CD4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 T effector memory (TEM) cells in Ctr (n= 15) and pLCs (n= 8).</w:t>
      </w:r>
    </w:p>
    <w:p w14:paraId="20BE9F17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GB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D</w:t>
      </w:r>
      <w:r w:rsidRPr="35C0FA9A">
        <w:rPr>
          <w:rFonts w:ascii="Arial" w:eastAsia="Arial" w:hAnsi="Arial" w:cs="Arial"/>
          <w:color w:val="000000" w:themeColor="text1"/>
          <w:lang w:val="en-US"/>
        </w:rPr>
        <w:t>) Frequency of CD4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 T central memory (TCM) cells in Ctr (n= 15) and pLCs (n= 8).</w:t>
      </w:r>
    </w:p>
    <w:p w14:paraId="4BEA0B00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GB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E</w:t>
      </w:r>
      <w:r w:rsidRPr="35C0FA9A">
        <w:rPr>
          <w:rFonts w:ascii="Arial" w:eastAsia="Arial" w:hAnsi="Arial" w:cs="Arial"/>
          <w:color w:val="000000" w:themeColor="text1"/>
          <w:lang w:val="en-US"/>
        </w:rPr>
        <w:t>) Frequency of CD4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 TMRA cells in Ctr (n= 15) and pLCs (n= 8).</w:t>
      </w:r>
    </w:p>
    <w:p w14:paraId="6CB4CA13" w14:textId="77777777" w:rsidR="00C07C0B" w:rsidRPr="006D3398" w:rsidRDefault="00C07C0B" w:rsidP="00C07C0B">
      <w:pPr>
        <w:spacing w:after="0" w:line="480" w:lineRule="auto"/>
        <w:contextualSpacing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F</w:t>
      </w:r>
      <w:r w:rsidRPr="35C0FA9A">
        <w:rPr>
          <w:rFonts w:ascii="Arial" w:eastAsia="Arial" w:hAnsi="Arial" w:cs="Arial"/>
          <w:color w:val="000000" w:themeColor="text1"/>
          <w:lang w:val="en-US"/>
        </w:rPr>
        <w:t>) Frequency of circulating B cells in Ctr (n= 20) and pLCs (n= 15).</w:t>
      </w:r>
    </w:p>
    <w:p w14:paraId="6EB93B41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G</w:t>
      </w:r>
      <w:r w:rsidRPr="35C0FA9A">
        <w:rPr>
          <w:rFonts w:ascii="Arial" w:eastAsia="Arial" w:hAnsi="Arial" w:cs="Arial"/>
          <w:color w:val="000000" w:themeColor="text1"/>
          <w:lang w:val="en-US"/>
        </w:rPr>
        <w:t>) Frequency of memory B cells in Ctr (n= 20) and pLCs (n= 15).</w:t>
      </w:r>
    </w:p>
    <w:p w14:paraId="53230C4C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H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) Frequency of plasmablasts B cells in Ctr (n= 19) and pLCs (n= 14). </w:t>
      </w:r>
    </w:p>
    <w:p w14:paraId="029B97CE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I</w:t>
      </w:r>
      <w:r w:rsidRPr="35C0FA9A">
        <w:rPr>
          <w:rFonts w:ascii="Arial" w:eastAsia="Arial" w:hAnsi="Arial" w:cs="Arial"/>
          <w:color w:val="000000" w:themeColor="text1"/>
          <w:lang w:val="en-US"/>
        </w:rPr>
        <w:t>) Anti-spike IgA endpoint titer (Ctr n=26; pLC n=34).</w:t>
      </w:r>
    </w:p>
    <w:p w14:paraId="261B654C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GB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J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) Anti-spike IgG endpoint titer (Ctr n=26; pLC n=34). </w:t>
      </w:r>
    </w:p>
    <w:p w14:paraId="0409D594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K</w:t>
      </w:r>
      <w:r w:rsidRPr="35C0FA9A">
        <w:rPr>
          <w:rFonts w:ascii="Arial" w:eastAsia="Arial" w:hAnsi="Arial" w:cs="Arial"/>
          <w:color w:val="000000" w:themeColor="text1"/>
          <w:lang w:val="en-US"/>
        </w:rPr>
        <w:t>) Anti-spike IgM endpoint titer (Ctr n=26; pLC n=34).</w:t>
      </w:r>
    </w:p>
    <w:p w14:paraId="08534564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L</w:t>
      </w:r>
      <w:r w:rsidRPr="35C0FA9A">
        <w:rPr>
          <w:rFonts w:ascii="Arial" w:eastAsia="Arial" w:hAnsi="Arial" w:cs="Arial"/>
          <w:color w:val="000000" w:themeColor="text1"/>
          <w:lang w:val="en-US"/>
        </w:rPr>
        <w:t>) Anti-Nucleocapsid IgA endpoint titer (Ctr n=26; pLC n=34).</w:t>
      </w:r>
    </w:p>
    <w:p w14:paraId="7D99D0C3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M</w:t>
      </w:r>
      <w:r w:rsidRPr="35C0FA9A">
        <w:rPr>
          <w:rFonts w:ascii="Arial" w:eastAsia="Arial" w:hAnsi="Arial" w:cs="Arial"/>
          <w:color w:val="000000" w:themeColor="text1"/>
          <w:lang w:val="en-US"/>
        </w:rPr>
        <w:t>) Anti-spike IgG endpoint titer (Ctr n=26; pLC n=34).</w:t>
      </w:r>
    </w:p>
    <w:p w14:paraId="10EAB4F7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lastRenderedPageBreak/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N</w:t>
      </w:r>
      <w:r w:rsidRPr="35C0FA9A">
        <w:rPr>
          <w:rFonts w:ascii="Arial" w:eastAsia="Arial" w:hAnsi="Arial" w:cs="Arial"/>
          <w:color w:val="000000" w:themeColor="text1"/>
          <w:lang w:val="en-US"/>
        </w:rPr>
        <w:t>) Anti-spike IgM endpoint titer (Ctr n=26; pLC n=34).</w:t>
      </w:r>
    </w:p>
    <w:p w14:paraId="172D1F68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Data represents mean ± SD. nd: not detectable; p values ns, not significant determined by parametric unpaired t test (A, C, D) and by non-parametric Mann-Whitney test (B, E-N).</w:t>
      </w:r>
    </w:p>
    <w:p w14:paraId="391A8AAF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</w:p>
    <w:p w14:paraId="4A47345D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GB"/>
        </w:rPr>
      </w:pP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 xml:space="preserve">Figure S4- </w:t>
      </w:r>
      <w:r w:rsidRPr="35C0FA9A">
        <w:rPr>
          <w:rFonts w:ascii="Arial" w:eastAsia="Arial" w:hAnsi="Arial" w:cs="Arial"/>
          <w:b/>
          <w:bCs/>
          <w:lang w:val="en-US"/>
        </w:rPr>
        <w:t>CD8⁺ T cell and NK cell characterization in controls and persistent Long COVID patients.</w:t>
      </w:r>
    </w:p>
    <w:p w14:paraId="28B0B6FE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GB"/>
        </w:rPr>
      </w:pPr>
      <w:r w:rsidRPr="35C0FA9A">
        <w:rPr>
          <w:rStyle w:val="normaltextrun"/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Style w:val="normaltextrun"/>
          <w:rFonts w:ascii="Arial" w:eastAsia="Arial" w:hAnsi="Arial" w:cs="Arial"/>
          <w:b/>
          <w:bCs/>
          <w:color w:val="000000" w:themeColor="text1"/>
          <w:lang w:val="en-US"/>
        </w:rPr>
        <w:t>A</w:t>
      </w:r>
      <w:r w:rsidRPr="35C0FA9A">
        <w:rPr>
          <w:rStyle w:val="normaltextrun"/>
          <w:rFonts w:ascii="Arial" w:eastAsia="Arial" w:hAnsi="Arial" w:cs="Arial"/>
          <w:color w:val="000000" w:themeColor="text1"/>
          <w:lang w:val="en-US"/>
        </w:rPr>
        <w:t>) Frequency of CD8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 T cells in Ctr (n= 21) and pLC (n= 29).</w:t>
      </w:r>
    </w:p>
    <w:p w14:paraId="1E68F4A2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GB"/>
        </w:rPr>
      </w:pPr>
      <w:r w:rsidRPr="35C0FA9A">
        <w:rPr>
          <w:rStyle w:val="normaltextrun"/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Style w:val="normaltextrun"/>
          <w:rFonts w:ascii="Arial" w:eastAsia="Arial" w:hAnsi="Arial" w:cs="Arial"/>
          <w:b/>
          <w:bCs/>
          <w:color w:val="000000" w:themeColor="text1"/>
          <w:lang w:val="en-US"/>
        </w:rPr>
        <w:t>B</w:t>
      </w:r>
      <w:r w:rsidRPr="35C0FA9A">
        <w:rPr>
          <w:rStyle w:val="normaltextrun"/>
          <w:rFonts w:ascii="Arial" w:eastAsia="Arial" w:hAnsi="Arial" w:cs="Arial"/>
          <w:color w:val="000000" w:themeColor="text1"/>
          <w:lang w:val="en-US"/>
        </w:rPr>
        <w:t>) Frequency of CD8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>Granzyme B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 cells in Ctr (n= 21) and pLC (n= 29).</w:t>
      </w:r>
    </w:p>
    <w:p w14:paraId="3B7DB3D5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GB"/>
        </w:rPr>
      </w:pPr>
      <w:r w:rsidRPr="35C0FA9A">
        <w:rPr>
          <w:rStyle w:val="normaltextrun"/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Style w:val="normaltextrun"/>
          <w:rFonts w:ascii="Arial" w:eastAsia="Arial" w:hAnsi="Arial" w:cs="Arial"/>
          <w:b/>
          <w:bCs/>
          <w:color w:val="000000" w:themeColor="text1"/>
          <w:lang w:val="en-US"/>
        </w:rPr>
        <w:t>C</w:t>
      </w:r>
      <w:r w:rsidRPr="35C0FA9A">
        <w:rPr>
          <w:rStyle w:val="normaltextrun"/>
          <w:rFonts w:ascii="Arial" w:eastAsia="Arial" w:hAnsi="Arial" w:cs="Arial"/>
          <w:color w:val="000000" w:themeColor="text1"/>
          <w:lang w:val="en-US"/>
        </w:rPr>
        <w:t>) Frequency of CD8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>Granzyme K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 cells in Ctr (n= 20) and pLC (n= 29).</w:t>
      </w:r>
    </w:p>
    <w:p w14:paraId="6068C912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GB"/>
        </w:rPr>
      </w:pPr>
      <w:r w:rsidRPr="35C0FA9A">
        <w:rPr>
          <w:rStyle w:val="normaltextrun"/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Style w:val="normaltextrun"/>
          <w:rFonts w:ascii="Arial" w:eastAsia="Arial" w:hAnsi="Arial" w:cs="Arial"/>
          <w:b/>
          <w:bCs/>
          <w:color w:val="000000" w:themeColor="text1"/>
          <w:lang w:val="en-US"/>
        </w:rPr>
        <w:t>D</w:t>
      </w:r>
      <w:r w:rsidRPr="35C0FA9A">
        <w:rPr>
          <w:rStyle w:val="normaltextrun"/>
          <w:rFonts w:ascii="Arial" w:eastAsia="Arial" w:hAnsi="Arial" w:cs="Arial"/>
          <w:color w:val="000000" w:themeColor="text1"/>
          <w:lang w:val="en-US"/>
        </w:rPr>
        <w:t>) Frequency of CD8</w:t>
      </w:r>
      <w:r w:rsidRPr="35C0FA9A">
        <w:rPr>
          <w:rFonts w:ascii="Arial" w:eastAsia="Arial" w:hAnsi="Arial" w:cs="Arial"/>
          <w:color w:val="000000" w:themeColor="text1"/>
          <w:lang w:val="en-US"/>
        </w:rPr>
        <w:t>Perforin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 cells in Ctr (n= 20) and pLC (n= 28).</w:t>
      </w:r>
    </w:p>
    <w:p w14:paraId="2EF69773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GB"/>
        </w:rPr>
      </w:pPr>
      <w:r w:rsidRPr="35C0FA9A">
        <w:rPr>
          <w:rStyle w:val="normaltextrun"/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Style w:val="normaltextrun"/>
          <w:rFonts w:ascii="Arial" w:eastAsia="Arial" w:hAnsi="Arial" w:cs="Arial"/>
          <w:b/>
          <w:bCs/>
          <w:color w:val="000000" w:themeColor="text1"/>
          <w:lang w:val="en-US"/>
        </w:rPr>
        <w:t>E</w:t>
      </w:r>
      <w:r w:rsidRPr="35C0FA9A">
        <w:rPr>
          <w:rStyle w:val="normaltextrun"/>
          <w:rFonts w:ascii="Arial" w:eastAsia="Arial" w:hAnsi="Arial" w:cs="Arial"/>
          <w:color w:val="000000" w:themeColor="text1"/>
          <w:lang w:val="en-US"/>
        </w:rPr>
        <w:t>) Frequency of CD8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 NKG2D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 cells in Ctr (n= 21) and pLC (n= 29).</w:t>
      </w:r>
    </w:p>
    <w:p w14:paraId="451CDD6F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GB"/>
        </w:rPr>
      </w:pPr>
      <w:r w:rsidRPr="35C0FA9A">
        <w:rPr>
          <w:rStyle w:val="normaltextrun"/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Style w:val="normaltextrun"/>
          <w:rFonts w:ascii="Arial" w:eastAsia="Arial" w:hAnsi="Arial" w:cs="Arial"/>
          <w:b/>
          <w:bCs/>
          <w:color w:val="000000" w:themeColor="text1"/>
          <w:lang w:val="en-US"/>
        </w:rPr>
        <w:t>F</w:t>
      </w:r>
      <w:r w:rsidRPr="35C0FA9A">
        <w:rPr>
          <w:rStyle w:val="normaltextrun"/>
          <w:rFonts w:ascii="Arial" w:eastAsia="Arial" w:hAnsi="Arial" w:cs="Arial"/>
          <w:color w:val="000000" w:themeColor="text1"/>
          <w:lang w:val="en-US"/>
        </w:rPr>
        <w:t>) Frequency of CD56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 cells in Ctr (n= 21) and pLC (n= 27).</w:t>
      </w:r>
    </w:p>
    <w:p w14:paraId="7F67D02D" w14:textId="77777777" w:rsidR="00C07C0B" w:rsidRPr="0016511B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GB"/>
        </w:rPr>
      </w:pPr>
      <w:r w:rsidRPr="35C0FA9A">
        <w:rPr>
          <w:rStyle w:val="normaltextrun"/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Style w:val="normaltextrun"/>
          <w:rFonts w:ascii="Arial" w:eastAsia="Arial" w:hAnsi="Arial" w:cs="Arial"/>
          <w:b/>
          <w:bCs/>
          <w:color w:val="000000" w:themeColor="text1"/>
          <w:lang w:val="en-US"/>
        </w:rPr>
        <w:t>G</w:t>
      </w:r>
      <w:r w:rsidRPr="35C0FA9A">
        <w:rPr>
          <w:rStyle w:val="normaltextrun"/>
          <w:rFonts w:ascii="Arial" w:eastAsia="Arial" w:hAnsi="Arial" w:cs="Arial"/>
          <w:color w:val="000000" w:themeColor="text1"/>
          <w:lang w:val="en-US"/>
        </w:rPr>
        <w:t>) Frequency of CD56</w:t>
      </w:r>
      <w:r w:rsidRPr="35C0FA9A">
        <w:rPr>
          <w:rFonts w:ascii="Arial" w:eastAsia="Arial" w:hAnsi="Arial" w:cs="Arial"/>
          <w:color w:val="000000" w:themeColor="text1"/>
          <w:lang w:val="en-US"/>
        </w:rPr>
        <w:t>Granzyme B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 cells in Ctr (n= 21) and pLC (n= 26).</w:t>
      </w:r>
    </w:p>
    <w:p w14:paraId="4CAA3AEB" w14:textId="77777777" w:rsidR="00C07C0B" w:rsidRPr="0016511B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GB"/>
        </w:rPr>
      </w:pPr>
      <w:r w:rsidRPr="35C0FA9A">
        <w:rPr>
          <w:rStyle w:val="normaltextrun"/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Style w:val="normaltextrun"/>
          <w:rFonts w:ascii="Arial" w:eastAsia="Arial" w:hAnsi="Arial" w:cs="Arial"/>
          <w:b/>
          <w:bCs/>
          <w:color w:val="000000" w:themeColor="text1"/>
          <w:lang w:val="en-US"/>
        </w:rPr>
        <w:t>H</w:t>
      </w:r>
      <w:r w:rsidRPr="35C0FA9A">
        <w:rPr>
          <w:rStyle w:val="normaltextrun"/>
          <w:rFonts w:ascii="Arial" w:eastAsia="Arial" w:hAnsi="Arial" w:cs="Arial"/>
          <w:color w:val="000000" w:themeColor="text1"/>
          <w:lang w:val="en-US"/>
        </w:rPr>
        <w:t>) Frequency of CD56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>Granzyme K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 cells in Ctr (n= 20) and pLC (n= 26).</w:t>
      </w:r>
    </w:p>
    <w:p w14:paraId="39A32ADA" w14:textId="77777777" w:rsidR="00C07C0B" w:rsidRPr="0016511B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GB"/>
        </w:rPr>
      </w:pPr>
      <w:r w:rsidRPr="35C0FA9A">
        <w:rPr>
          <w:rStyle w:val="normaltextrun"/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Style w:val="normaltextrun"/>
          <w:rFonts w:ascii="Arial" w:eastAsia="Arial" w:hAnsi="Arial" w:cs="Arial"/>
          <w:b/>
          <w:bCs/>
          <w:color w:val="000000" w:themeColor="text1"/>
          <w:lang w:val="en-US"/>
        </w:rPr>
        <w:t>I</w:t>
      </w:r>
      <w:r w:rsidRPr="35C0FA9A">
        <w:rPr>
          <w:rStyle w:val="normaltextrun"/>
          <w:rFonts w:ascii="Arial" w:eastAsia="Arial" w:hAnsi="Arial" w:cs="Arial"/>
          <w:color w:val="000000" w:themeColor="text1"/>
          <w:lang w:val="en-US"/>
        </w:rPr>
        <w:t>) Frequency of CD56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>Perforin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 cells in Ctr (n= 20) and pLC (n= 25).</w:t>
      </w:r>
    </w:p>
    <w:p w14:paraId="43AFD319" w14:textId="77777777" w:rsidR="00C07C0B" w:rsidRPr="0016511B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GB"/>
        </w:rPr>
      </w:pPr>
      <w:r w:rsidRPr="35C0FA9A">
        <w:rPr>
          <w:rStyle w:val="normaltextrun"/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Style w:val="normaltextrun"/>
          <w:rFonts w:ascii="Arial" w:eastAsia="Arial" w:hAnsi="Arial" w:cs="Arial"/>
          <w:b/>
          <w:bCs/>
          <w:color w:val="000000" w:themeColor="text1"/>
          <w:lang w:val="en-US"/>
        </w:rPr>
        <w:t>J</w:t>
      </w:r>
      <w:r w:rsidRPr="35C0FA9A">
        <w:rPr>
          <w:rStyle w:val="normaltextrun"/>
          <w:rFonts w:ascii="Arial" w:eastAsia="Arial" w:hAnsi="Arial" w:cs="Arial"/>
          <w:color w:val="000000" w:themeColor="text1"/>
          <w:lang w:val="en-US"/>
        </w:rPr>
        <w:t>) Frequency of CD56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 NKG2D</w:t>
      </w:r>
      <w:r w:rsidRPr="35C0FA9A">
        <w:rPr>
          <w:rFonts w:ascii="Arial" w:eastAsia="Arial" w:hAnsi="Arial" w:cs="Arial"/>
          <w:color w:val="000000" w:themeColor="text1"/>
          <w:vertAlign w:val="superscript"/>
          <w:lang w:val="en-US"/>
        </w:rPr>
        <w:t>+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 cells in Ctr (n= 21) and pLC (n= 26).</w:t>
      </w:r>
    </w:p>
    <w:p w14:paraId="4B42411F" w14:textId="77777777" w:rsidR="00C07C0B" w:rsidRPr="0016511B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Data represents mean ± SD. p values *p &lt; 0.05, **p &lt; 0.01; ns, not significant determined by parametric unpaired t test (A-D, G, H, J) and by non-parametric Mann-Whitney test (E, F, I).</w:t>
      </w:r>
    </w:p>
    <w:p w14:paraId="47C91056" w14:textId="77777777" w:rsidR="00C07C0B" w:rsidRPr="0016511B" w:rsidRDefault="00C07C0B" w:rsidP="00C07C0B">
      <w:pPr>
        <w:spacing w:after="0" w:line="480" w:lineRule="auto"/>
        <w:jc w:val="both"/>
        <w:rPr>
          <w:rFonts w:ascii="Arial" w:eastAsia="Arial" w:hAnsi="Arial" w:cs="Arial"/>
          <w:b/>
          <w:bCs/>
          <w:color w:val="000000" w:themeColor="text1"/>
          <w:lang w:val="en-GB"/>
        </w:rPr>
      </w:pPr>
    </w:p>
    <w:p w14:paraId="0784976D" w14:textId="77777777" w:rsidR="00C07C0B" w:rsidRPr="0016511B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GB"/>
        </w:rPr>
      </w:pP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 xml:space="preserve">Figure S5- </w:t>
      </w:r>
      <w:r w:rsidRPr="35C0FA9A">
        <w:rPr>
          <w:rFonts w:ascii="Arial" w:eastAsia="Arial" w:hAnsi="Arial" w:cs="Arial"/>
          <w:b/>
          <w:bCs/>
          <w:lang w:val="en-US"/>
        </w:rPr>
        <w:t>Inflammatory plasma profile in controls and persistent Long COVID patients.</w:t>
      </w:r>
    </w:p>
    <w:p w14:paraId="04B1DE75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A</w:t>
      </w:r>
      <w:r w:rsidRPr="35C0FA9A">
        <w:rPr>
          <w:rFonts w:ascii="Arial" w:eastAsia="Arial" w:hAnsi="Arial" w:cs="Arial"/>
          <w:color w:val="000000" w:themeColor="text1"/>
          <w:lang w:val="en-US"/>
        </w:rPr>
        <w:t>) Plasma concentration of TNF-</w:t>
      </w:r>
      <w:r w:rsidRPr="35C0FA9A">
        <w:rPr>
          <w:rFonts w:ascii="Symbol" w:eastAsia="Symbol" w:hAnsi="Symbol" w:cs="Symbol"/>
          <w:color w:val="000000" w:themeColor="text1"/>
          <w:lang w:val="en-US"/>
        </w:rPr>
        <w:t>a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 (pg/ml) in Ctr (n= 22) and pLC (n= 32).</w:t>
      </w:r>
    </w:p>
    <w:p w14:paraId="36AFE846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B</w:t>
      </w:r>
      <w:r w:rsidRPr="35C0FA9A">
        <w:rPr>
          <w:rFonts w:ascii="Arial" w:eastAsia="Arial" w:hAnsi="Arial" w:cs="Arial"/>
          <w:color w:val="000000" w:themeColor="text1"/>
          <w:lang w:val="en-US"/>
        </w:rPr>
        <w:t>) Plasma concentration of IL-10 (pg/ml) in Ctr (n= 24) and pLC (n= 32).</w:t>
      </w:r>
    </w:p>
    <w:p w14:paraId="156EA0FF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C</w:t>
      </w:r>
      <w:r w:rsidRPr="35C0FA9A">
        <w:rPr>
          <w:rFonts w:ascii="Arial" w:eastAsia="Arial" w:hAnsi="Arial" w:cs="Arial"/>
          <w:color w:val="000000" w:themeColor="text1"/>
          <w:lang w:val="en-US"/>
        </w:rPr>
        <w:t>) Plasma concentration of sCD40L (pg/ml) in Ctr (n= 24) and pLC (n= 30).</w:t>
      </w:r>
    </w:p>
    <w:p w14:paraId="502308C3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D</w:t>
      </w:r>
      <w:r w:rsidRPr="35C0FA9A">
        <w:rPr>
          <w:rFonts w:ascii="Arial" w:eastAsia="Arial" w:hAnsi="Arial" w:cs="Arial"/>
          <w:color w:val="000000" w:themeColor="text1"/>
          <w:lang w:val="en-US"/>
        </w:rPr>
        <w:t>) Plasma concentration of sFAS (pg/ml) in Ctr (n= 24) and pLC (n= 32).</w:t>
      </w:r>
    </w:p>
    <w:p w14:paraId="6B140E88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E</w:t>
      </w:r>
      <w:r w:rsidRPr="35C0FA9A">
        <w:rPr>
          <w:rFonts w:ascii="Arial" w:eastAsia="Arial" w:hAnsi="Arial" w:cs="Arial"/>
          <w:color w:val="000000" w:themeColor="text1"/>
          <w:lang w:val="en-US"/>
        </w:rPr>
        <w:t>) Plasma concentration of Perforin (pg/ml) in Ctr (n= 24) and pLC (n= 32).</w:t>
      </w:r>
    </w:p>
    <w:p w14:paraId="7B7E749C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F</w:t>
      </w:r>
      <w:r w:rsidRPr="35C0FA9A">
        <w:rPr>
          <w:rFonts w:ascii="Arial" w:eastAsia="Arial" w:hAnsi="Arial" w:cs="Arial"/>
          <w:color w:val="000000" w:themeColor="text1"/>
          <w:lang w:val="en-US"/>
        </w:rPr>
        <w:t>) Plasma concentration of Granzyme A (pg/ml) in Ctr (n= 24) and pLC (n= 32).</w:t>
      </w:r>
    </w:p>
    <w:p w14:paraId="3D4C7298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lastRenderedPageBreak/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G</w:t>
      </w:r>
      <w:r w:rsidRPr="35C0FA9A">
        <w:rPr>
          <w:rFonts w:ascii="Arial" w:eastAsia="Arial" w:hAnsi="Arial" w:cs="Arial"/>
          <w:color w:val="000000" w:themeColor="text1"/>
          <w:lang w:val="en-US"/>
        </w:rPr>
        <w:t>) Plasma concentration of Granzyme B (pg/ml) in Ctr (n= 24) and pLC (n= 32).</w:t>
      </w:r>
    </w:p>
    <w:p w14:paraId="38D4F6AE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H</w:t>
      </w:r>
      <w:r w:rsidRPr="35C0FA9A">
        <w:rPr>
          <w:rFonts w:ascii="Arial" w:eastAsia="Arial" w:hAnsi="Arial" w:cs="Arial"/>
          <w:color w:val="000000" w:themeColor="text1"/>
          <w:lang w:val="en-US"/>
        </w:rPr>
        <w:t xml:space="preserve">) </w:t>
      </w:r>
      <w:r w:rsidRPr="35C0FA9A">
        <w:rPr>
          <w:rFonts w:ascii="Arial" w:eastAsia="Arial" w:hAnsi="Arial" w:cs="Arial"/>
          <w:lang w:val="en-US"/>
        </w:rPr>
        <w:t>Correlation between plasma TNF-α concentration (pg/mL) and elapsed time (months) between pLC diagnosis and sample collection (n = 32).</w:t>
      </w:r>
    </w:p>
    <w:p w14:paraId="5D08334C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I</w:t>
      </w:r>
      <w:r w:rsidRPr="35C0FA9A">
        <w:rPr>
          <w:rFonts w:ascii="Arial" w:eastAsia="Arial" w:hAnsi="Arial" w:cs="Arial"/>
          <w:color w:val="000000" w:themeColor="text1"/>
          <w:lang w:val="en-US"/>
        </w:rPr>
        <w:t>) As in H for IL-10 (n= 32).</w:t>
      </w:r>
    </w:p>
    <w:p w14:paraId="1EA4CC65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J</w:t>
      </w:r>
      <w:r w:rsidRPr="35C0FA9A">
        <w:rPr>
          <w:rFonts w:ascii="Arial" w:eastAsia="Arial" w:hAnsi="Arial" w:cs="Arial"/>
          <w:color w:val="000000" w:themeColor="text1"/>
          <w:lang w:val="en-US"/>
        </w:rPr>
        <w:t>) As in H for sCD40L (n= 30).</w:t>
      </w:r>
    </w:p>
    <w:p w14:paraId="3341F3BE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K</w:t>
      </w:r>
      <w:r w:rsidRPr="35C0FA9A">
        <w:rPr>
          <w:rFonts w:ascii="Arial" w:eastAsia="Arial" w:hAnsi="Arial" w:cs="Arial"/>
          <w:color w:val="000000" w:themeColor="text1"/>
          <w:lang w:val="en-US"/>
        </w:rPr>
        <w:t>) As in H for sFAS (n= 32).</w:t>
      </w:r>
    </w:p>
    <w:p w14:paraId="04308A95" w14:textId="77777777" w:rsidR="00C07C0B" w:rsidRPr="006D3398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L</w:t>
      </w:r>
      <w:r w:rsidRPr="35C0FA9A">
        <w:rPr>
          <w:rFonts w:ascii="Arial" w:eastAsia="Arial" w:hAnsi="Arial" w:cs="Arial"/>
          <w:color w:val="000000" w:themeColor="text1"/>
          <w:lang w:val="en-US"/>
        </w:rPr>
        <w:t>) As in H for Perforin (n= 32).</w:t>
      </w:r>
    </w:p>
    <w:p w14:paraId="55411F57" w14:textId="77777777" w:rsidR="00C07C0B" w:rsidRPr="0016511B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highlight w:val="yellow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(</w:t>
      </w:r>
      <w:r w:rsidRPr="35C0FA9A">
        <w:rPr>
          <w:rFonts w:ascii="Arial" w:eastAsia="Arial" w:hAnsi="Arial" w:cs="Arial"/>
          <w:b/>
          <w:bCs/>
          <w:color w:val="000000" w:themeColor="text1"/>
          <w:lang w:val="en-US"/>
        </w:rPr>
        <w:t>M</w:t>
      </w:r>
      <w:r w:rsidRPr="35C0FA9A">
        <w:rPr>
          <w:rFonts w:ascii="Arial" w:eastAsia="Arial" w:hAnsi="Arial" w:cs="Arial"/>
          <w:color w:val="000000" w:themeColor="text1"/>
          <w:lang w:val="en-US"/>
        </w:rPr>
        <w:t>) As in H for Granzyme A (n= 32).</w:t>
      </w:r>
    </w:p>
    <w:p w14:paraId="3E5C22B3" w14:textId="77777777" w:rsidR="00C07C0B" w:rsidRPr="00F15B73" w:rsidRDefault="00C07C0B" w:rsidP="00C07C0B">
      <w:pPr>
        <w:spacing w:after="0" w:line="480" w:lineRule="auto"/>
        <w:jc w:val="both"/>
        <w:rPr>
          <w:rFonts w:ascii="Arial" w:eastAsia="Arial" w:hAnsi="Arial" w:cs="Arial"/>
          <w:color w:val="000000" w:themeColor="text1"/>
          <w:lang w:val="en-US"/>
        </w:rPr>
      </w:pPr>
      <w:r w:rsidRPr="35C0FA9A">
        <w:rPr>
          <w:rFonts w:ascii="Arial" w:eastAsia="Arial" w:hAnsi="Arial" w:cs="Arial"/>
          <w:color w:val="000000" w:themeColor="text1"/>
          <w:lang w:val="en-US"/>
        </w:rPr>
        <w:t>Data represents mean ± SD. p values *p &lt; 0.05, **p &lt; 0.01, ***p&lt;0.0001; ns, not significant determined by non-parametric Mann-Whitney test (A-G). Spearman correlation (H-M).</w:t>
      </w:r>
    </w:p>
    <w:p w14:paraId="68D93FEC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C0B"/>
    <w:rsid w:val="000F5BB2"/>
    <w:rsid w:val="002E281E"/>
    <w:rsid w:val="003201BB"/>
    <w:rsid w:val="0083265A"/>
    <w:rsid w:val="00865217"/>
    <w:rsid w:val="00C07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5993A4"/>
  <w15:chartTrackingRefBased/>
  <w15:docId w15:val="{12E45500-53E5-4E74-B4B8-D02474EE6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7C0B"/>
    <w:pPr>
      <w:spacing w:line="259" w:lineRule="auto"/>
    </w:pPr>
    <w:rPr>
      <w:kern w:val="0"/>
      <w:sz w:val="22"/>
      <w:szCs w:val="22"/>
      <w:lang w:val="pt-P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7C0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7C0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7C0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7C0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7C0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7C0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7C0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7C0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7C0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7C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7C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7C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7C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7C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7C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7C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7C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7C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7C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07C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7C0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07C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7C0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07C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7C0B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07C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7C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7C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7C0B"/>
    <w:rPr>
      <w:b/>
      <w:bCs/>
      <w:smallCaps/>
      <w:color w:val="0F4761" w:themeColor="accent1" w:themeShade="BF"/>
      <w:spacing w:val="5"/>
    </w:rPr>
  </w:style>
  <w:style w:type="character" w:customStyle="1" w:styleId="normaltextrun">
    <w:name w:val="normaltextrun"/>
    <w:basedOn w:val="DefaultParagraphFont"/>
    <w:uiPriority w:val="1"/>
    <w:rsid w:val="00C07C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685</Words>
  <Characters>3109</Characters>
  <Application>Microsoft Office Word</Application>
  <DocSecurity>0</DocSecurity>
  <Lines>61</Lines>
  <Paragraphs>52</Paragraphs>
  <ScaleCrop>false</ScaleCrop>
  <Company>Springer Nature</Company>
  <LinksUpToDate>false</LinksUpToDate>
  <CharactersWithSpaces>3746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2025-10-10T08:48:00Z</dcterms:created>
  <dcterms:modified xsi:type="dcterms:W3CDTF">2025-10-10T08:48:00Z</dcterms:modified>
</cp:coreProperties>
</file>