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0CB2" w:rsidRPr="00DF13C4" w:rsidRDefault="00D70CB2" w:rsidP="00D70CB2">
      <w:pPr>
        <w:spacing w:line="480" w:lineRule="auto"/>
        <w:jc w:val="center"/>
        <w:rPr>
          <w:rFonts w:ascii="Times New Roman" w:hAnsi="Times New Roman"/>
          <w:sz w:val="24"/>
        </w:rPr>
      </w:pPr>
      <w:r w:rsidRPr="00DF13C4">
        <w:rPr>
          <w:rFonts w:ascii="Times New Roman" w:hAnsi="Times New Roman"/>
          <w:sz w:val="24"/>
        </w:rPr>
        <w:t>Supplementary Table 1. Clinical comparison between anastomotic leakage and non- anastomotic leakage groups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2"/>
        <w:gridCol w:w="1198"/>
        <w:gridCol w:w="846"/>
        <w:gridCol w:w="564"/>
      </w:tblGrid>
      <w:tr w:rsidR="00D70CB2" w:rsidRPr="00DF13C4" w:rsidTr="00EE4D40">
        <w:trPr>
          <w:trHeight w:val="29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sz w:val="24"/>
              </w:rPr>
              <w:t>Variables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F13C4">
              <w:rPr>
                <w:rFonts w:ascii="Times New Roman" w:hAnsi="Times New Roman"/>
                <w:sz w:val="24"/>
              </w:rPr>
              <w:t>Anastomotic leakage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DF13C4">
              <w:rPr>
                <w:rFonts w:ascii="Times New Roman" w:hAnsi="Times New Roman"/>
                <w:i/>
                <w:iCs/>
                <w:sz w:val="24"/>
              </w:rPr>
              <w:t>P</w:t>
            </w:r>
          </w:p>
        </w:tc>
      </w:tr>
      <w:tr w:rsidR="00D70CB2" w:rsidRPr="00DF13C4" w:rsidTr="00EE4D40">
        <w:trPr>
          <w:trHeight w:val="29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sz w:val="24"/>
              </w:rPr>
            </w:pPr>
            <w:r w:rsidRPr="00DF13C4">
              <w:rPr>
                <w:rFonts w:ascii="Times New Roman" w:hAnsi="Times New Roman"/>
                <w:sz w:val="24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D70CB2" w:rsidRPr="00DF13C4" w:rsidTr="00EE4D40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F13C4">
              <w:rPr>
                <w:rFonts w:ascii="Times New Roman" w:hAnsi="Times New Roman"/>
                <w:sz w:val="24"/>
              </w:rPr>
              <w:t>Postoperative 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sz w:val="24"/>
              </w:rPr>
              <w:t>0.136</w:t>
            </w:r>
          </w:p>
        </w:tc>
      </w:tr>
      <w:tr w:rsidR="00D70CB2" w:rsidRPr="00DF13C4" w:rsidTr="00EE4D40">
        <w:trPr>
          <w:trHeight w:val="581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sz w:val="24"/>
              </w:rPr>
              <w:t>Continuous positive airway pressure (CPAP)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D70CB2" w:rsidRPr="00DF13C4" w:rsidRDefault="00D70CB2" w:rsidP="00EE4D40">
            <w:pPr>
              <w:widowControl/>
              <w:spacing w:line="480" w:lineRule="auto"/>
              <w:jc w:val="center"/>
              <w:textAlignment w:val="bottom"/>
              <w:rPr>
                <w:rFonts w:ascii="Times New Roman" w:hAnsi="Times New Roman"/>
                <w:color w:val="000000"/>
                <w:sz w:val="24"/>
              </w:rPr>
            </w:pPr>
            <w:r w:rsidRPr="00DF13C4">
              <w:rPr>
                <w:rFonts w:ascii="Times New Roman" w:hAnsi="Times New Roman"/>
                <w:color w:val="000000"/>
                <w:sz w:val="24"/>
              </w:rPr>
              <w:t>0.957</w:t>
            </w:r>
          </w:p>
        </w:tc>
      </w:tr>
    </w:tbl>
    <w:p w:rsidR="00D70CB2" w:rsidRPr="00DF13C4" w:rsidRDefault="00D70CB2" w:rsidP="00D70CB2">
      <w:pPr>
        <w:spacing w:line="480" w:lineRule="auto"/>
        <w:rPr>
          <w:rFonts w:ascii="Times New Roman" w:hAnsi="Times New Roman"/>
          <w:sz w:val="24"/>
        </w:rPr>
      </w:pPr>
    </w:p>
    <w:p w:rsidR="00755780" w:rsidRDefault="00755780">
      <w:bookmarkStart w:id="0" w:name="_GoBack"/>
      <w:bookmarkEnd w:id="0"/>
    </w:p>
    <w:sectPr w:rsidR="00755780" w:rsidSect="00E15C09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CB2"/>
    <w:rsid w:val="00755780"/>
    <w:rsid w:val="00D7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C442C9-00D7-495C-AD28-DD46B2154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CB2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D70C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Springer Nature IT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2021-08-04T09:01:00Z</dcterms:created>
  <dcterms:modified xsi:type="dcterms:W3CDTF">2021-08-04T09:02:00Z</dcterms:modified>
</cp:coreProperties>
</file>