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9AF63">
      <w:pPr>
        <w:pStyle w:val="10"/>
        <w:kinsoku w:val="0"/>
        <w:overflowPunct w:val="0"/>
        <w:snapToGrid w:val="0"/>
        <w:spacing w:line="360" w:lineRule="auto"/>
        <w:jc w:val="center"/>
        <w:rPr>
          <w:b/>
          <w:bCs/>
          <w:color w:val="auto"/>
        </w:rPr>
      </w:pPr>
      <w:bookmarkStart w:id="0" w:name="_Hlk182099271"/>
      <w:r>
        <w:rPr>
          <w:b/>
          <w:bCs/>
          <w:color w:val="auto"/>
        </w:rPr>
        <w:t>Supplement</w:t>
      </w:r>
    </w:p>
    <w:p w14:paraId="7A0A1385">
      <w:pPr>
        <w:pStyle w:val="10"/>
        <w:kinsoku w:val="0"/>
        <w:overflowPunct w:val="0"/>
        <w:snapToGrid w:val="0"/>
        <w:spacing w:line="360" w:lineRule="auto"/>
        <w:rPr>
          <w:color w:val="auto"/>
        </w:rPr>
      </w:pPr>
    </w:p>
    <w:p w14:paraId="42051379">
      <w:pPr>
        <w:pStyle w:val="10"/>
        <w:kinsoku w:val="0"/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b/>
          <w:bCs/>
        </w:rPr>
        <w:t>Fig</w:t>
      </w:r>
      <w:r>
        <w:rPr>
          <w:rFonts w:hint="eastAsia" w:eastAsia="宋体"/>
          <w:b/>
          <w:bCs/>
        </w:rPr>
        <w:t>ure S</w:t>
      </w:r>
      <w:r>
        <w:rPr>
          <w:rFonts w:eastAsia="宋体"/>
          <w:b/>
          <w:bCs/>
        </w:rPr>
        <w:t>1</w:t>
      </w:r>
      <w:r>
        <w:rPr>
          <w:rFonts w:hint="eastAsia" w:eastAsia="宋体"/>
          <w:b/>
          <w:bCs/>
        </w:rPr>
        <w:t>.</w:t>
      </w:r>
      <w:r>
        <w:rPr>
          <w:rFonts w:eastAsia="宋体"/>
          <w:b/>
          <w:bCs/>
        </w:rPr>
        <w:t xml:space="preserve"> </w:t>
      </w:r>
      <w:r>
        <w:rPr>
          <w:rFonts w:eastAsia="宋体"/>
        </w:rPr>
        <w:t>Distribution of standardi</w:t>
      </w:r>
      <w:r>
        <w:rPr>
          <w:rFonts w:hint="eastAsia" w:eastAsia="宋体"/>
        </w:rPr>
        <w:t>z</w:t>
      </w:r>
      <w:r>
        <w:rPr>
          <w:rFonts w:eastAsia="宋体"/>
        </w:rPr>
        <w:t>ed mean difference of variables before and after adjustment with PSM, IPTW, and overlap weighting.</w:t>
      </w:r>
    </w:p>
    <w:p w14:paraId="57C8DFDF">
      <w:pPr>
        <w:pStyle w:val="10"/>
        <w:kinsoku w:val="0"/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b/>
          <w:bCs/>
        </w:rPr>
        <w:t>Fig</w:t>
      </w:r>
      <w:r>
        <w:rPr>
          <w:rFonts w:hint="eastAsia" w:eastAsia="宋体"/>
          <w:b/>
          <w:bCs/>
        </w:rPr>
        <w:t>ure</w:t>
      </w:r>
      <w:r>
        <w:rPr>
          <w:rFonts w:eastAsia="宋体"/>
          <w:b/>
          <w:bCs/>
        </w:rPr>
        <w:t xml:space="preserve"> </w:t>
      </w:r>
      <w:r>
        <w:rPr>
          <w:rFonts w:hint="eastAsia" w:eastAsia="宋体"/>
          <w:b/>
          <w:bCs/>
        </w:rPr>
        <w:t>S</w:t>
      </w:r>
      <w:r>
        <w:rPr>
          <w:rFonts w:eastAsia="宋体"/>
          <w:b/>
          <w:bCs/>
        </w:rPr>
        <w:t>2</w:t>
      </w:r>
      <w:r>
        <w:rPr>
          <w:rFonts w:hint="eastAsia" w:eastAsia="宋体"/>
          <w:b/>
          <w:bCs/>
        </w:rPr>
        <w:t>.</w:t>
      </w:r>
      <w:r>
        <w:rPr>
          <w:rFonts w:eastAsia="宋体"/>
          <w:b/>
          <w:bCs/>
        </w:rPr>
        <w:t xml:space="preserve"> </w:t>
      </w:r>
      <w:r>
        <w:rPr>
          <w:rFonts w:eastAsia="Segoe UI"/>
          <w:color w:val="0D0D0D"/>
          <w:shd w:val="clear" w:color="auto" w:fill="FFFFFF"/>
        </w:rPr>
        <w:t xml:space="preserve">Probability </w:t>
      </w:r>
      <w:r>
        <w:rPr>
          <w:color w:val="0D0D0D"/>
          <w:shd w:val="clear" w:color="auto" w:fill="FFFFFF"/>
        </w:rPr>
        <w:t>d</w:t>
      </w:r>
      <w:r>
        <w:rPr>
          <w:rFonts w:eastAsia="Segoe UI"/>
          <w:color w:val="0D0D0D"/>
          <w:shd w:val="clear" w:color="auto" w:fill="FFFFFF"/>
        </w:rPr>
        <w:t xml:space="preserve">ensity </w:t>
      </w:r>
      <w:r>
        <w:rPr>
          <w:color w:val="0D0D0D"/>
          <w:shd w:val="clear" w:color="auto" w:fill="FFFFFF"/>
        </w:rPr>
        <w:t>d</w:t>
      </w:r>
      <w:r>
        <w:rPr>
          <w:rFonts w:eastAsia="Segoe UI"/>
          <w:color w:val="0D0D0D"/>
          <w:shd w:val="clear" w:color="auto" w:fill="FFFFFF"/>
        </w:rPr>
        <w:t>istribution</w:t>
      </w:r>
      <w:r>
        <w:rPr>
          <w:color w:val="0D0D0D"/>
          <w:shd w:val="clear" w:color="auto" w:fill="FFFFFF"/>
        </w:rPr>
        <w:t xml:space="preserve"> p</w:t>
      </w:r>
      <w:r>
        <w:rPr>
          <w:rFonts w:eastAsia="Segoe UI"/>
          <w:color w:val="0D0D0D"/>
          <w:shd w:val="clear" w:color="auto" w:fill="FFFFFF"/>
        </w:rPr>
        <w:t>lot</w:t>
      </w:r>
      <w:r>
        <w:rPr>
          <w:rFonts w:eastAsia="宋体"/>
          <w:color w:val="0D0D0D"/>
          <w:shd w:val="clear" w:color="auto" w:fill="FFFFFF"/>
        </w:rPr>
        <w:t xml:space="preserve"> </w:t>
      </w:r>
      <w:r>
        <w:rPr>
          <w:rFonts w:eastAsia="宋体"/>
        </w:rPr>
        <w:t>before and after adjustment with PSM, IPTW, and overlap weighting.</w:t>
      </w:r>
    </w:p>
    <w:p w14:paraId="1FE33DD3">
      <w:pPr>
        <w:snapToGrid w:val="0"/>
        <w:spacing w:after="78" w:afterLines="25" w:line="360" w:lineRule="auto"/>
        <w:rPr>
          <w:rFonts w:ascii="Times New Roman" w:hAnsi="Times New Roman" w:eastAsia="宋体" w:cs="Times New Roman"/>
          <w:sz w:val="24"/>
        </w:rPr>
      </w:pPr>
      <w:bookmarkStart w:id="1" w:name="_Hlk199921762"/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</w:rPr>
        <w:t>S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1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ascii="Times New Roman" w:hAnsi="Times New Roman" w:eastAsia="宋体" w:cs="Times New Roman"/>
          <w:sz w:val="24"/>
        </w:rPr>
        <w:t xml:space="preserve">Patient baseline characteristics in IPTW and overlap weighting adjusted cohorts. </w:t>
      </w:r>
    </w:p>
    <w:p w14:paraId="7A50409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sz w:val="24"/>
        </w:rPr>
        <w:t>S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Exploratory </w:t>
      </w:r>
      <w:r>
        <w:rPr>
          <w:rFonts w:ascii="Times New Roman" w:hAnsi="Times New Roman" w:eastAsia="宋体" w:cs="Times New Roman"/>
          <w:sz w:val="24"/>
        </w:rPr>
        <w:t>outcomes in the IPTW and overlap weighting adjusted cohorts.</w:t>
      </w:r>
    </w:p>
    <w:p w14:paraId="50B1AE99">
      <w:pPr>
        <w:pStyle w:val="10"/>
        <w:kinsoku w:val="0"/>
        <w:overflowPunct w:val="0"/>
        <w:snapToGrid w:val="0"/>
        <w:spacing w:line="360" w:lineRule="auto"/>
        <w:rPr>
          <w:rFonts w:eastAsia="宋体"/>
        </w:rPr>
      </w:pPr>
    </w:p>
    <w:bookmarkEnd w:id="1"/>
    <w:p w14:paraId="67F06F85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7FBDA63">
      <w:pPr>
        <w:widowControl/>
        <w:spacing w:line="276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t xml:space="preserve">Figure S1. </w:t>
      </w:r>
      <w:r>
        <w:rPr>
          <w:rFonts w:ascii="Times New Roman" w:hAnsi="Times New Roman" w:eastAsia="宋体" w:cs="Times New Roman"/>
          <w:sz w:val="20"/>
          <w:szCs w:val="20"/>
        </w:rPr>
        <w:t>Distribution of standardi</w:t>
      </w:r>
      <w:r>
        <w:rPr>
          <w:rFonts w:hint="eastAsia" w:ascii="Times New Roman" w:hAnsi="Times New Roman" w:eastAsia="宋体" w:cs="Times New Roman"/>
          <w:sz w:val="20"/>
          <w:szCs w:val="20"/>
        </w:rPr>
        <w:t>z</w:t>
      </w:r>
      <w:r>
        <w:rPr>
          <w:rFonts w:ascii="Times New Roman" w:hAnsi="Times New Roman" w:eastAsia="宋体" w:cs="Times New Roman"/>
          <w:sz w:val="20"/>
          <w:szCs w:val="20"/>
        </w:rPr>
        <w:t>ed mean difference of variables before and after adjustment with PSM, IPTW, and overlap weighting.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Abbreviations: ASPECT, </w:t>
      </w:r>
      <w:r>
        <w:rPr>
          <w:rFonts w:ascii="Times New Roman" w:hAnsi="Times New Roman" w:eastAsia="宋体" w:cs="Times New Roman"/>
          <w:sz w:val="20"/>
          <w:szCs w:val="20"/>
        </w:rPr>
        <w:t>Alberta Stroke Program Early CT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; NIHSS, </w:t>
      </w:r>
      <w:r>
        <w:rPr>
          <w:rFonts w:ascii="Times New Roman" w:hAnsi="Times New Roman" w:eastAsia="宋体" w:cs="Times New Roman"/>
          <w:sz w:val="20"/>
          <w:szCs w:val="20"/>
        </w:rPr>
        <w:t>National Institutes of Health Stroke Scale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; IPTW, </w:t>
      </w:r>
      <w:r>
        <w:rPr>
          <w:rFonts w:ascii="Times New Roman" w:hAnsi="Times New Roman" w:cs="Times New Roman"/>
          <w:sz w:val="20"/>
          <w:szCs w:val="20"/>
        </w:rPr>
        <w:t>inverse probability of treatment weighting</w:t>
      </w:r>
      <w:r>
        <w:rPr>
          <w:rFonts w:hint="eastAsia" w:ascii="Times New Roman" w:hAnsi="Times New Roman" w:eastAsia="宋体" w:cs="Times New Roman"/>
          <w:sz w:val="20"/>
          <w:szCs w:val="20"/>
        </w:rPr>
        <w:t>; OW, overlap weighting; PSM, propensity score matching.</w:t>
      </w:r>
    </w:p>
    <w:p w14:paraId="1280E9A5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39370</wp:posOffset>
            </wp:positionV>
            <wp:extent cx="5065395" cy="4857115"/>
            <wp:effectExtent l="0" t="0" r="1905" b="635"/>
            <wp:wrapSquare wrapText="bothSides"/>
            <wp:docPr id="9635821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82143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5395" cy="4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C72F4C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50F418D">
      <w:pPr>
        <w:widowControl/>
        <w:spacing w:line="276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t xml:space="preserve">Figure S2. </w:t>
      </w:r>
      <w:r>
        <w:rPr>
          <w:rFonts w:ascii="Times New Roman" w:hAnsi="Times New Roman" w:eastAsia="Segoe UI" w:cs="Times New Roman"/>
          <w:color w:val="0D0D0D"/>
          <w:sz w:val="20"/>
          <w:szCs w:val="20"/>
          <w:shd w:val="clear" w:color="auto" w:fill="FFFFFF"/>
        </w:rPr>
        <w:t xml:space="preserve">Probability </w:t>
      </w:r>
      <w:r>
        <w:rPr>
          <w:rFonts w:ascii="Times New Roman" w:hAnsi="Times New Roman" w:cs="Times New Roman"/>
          <w:color w:val="0D0D0D"/>
          <w:sz w:val="20"/>
          <w:szCs w:val="20"/>
          <w:shd w:val="clear" w:color="auto" w:fill="FFFFFF"/>
        </w:rPr>
        <w:t>d</w:t>
      </w:r>
      <w:r>
        <w:rPr>
          <w:rFonts w:ascii="Times New Roman" w:hAnsi="Times New Roman" w:eastAsia="Segoe UI" w:cs="Times New Roman"/>
          <w:color w:val="0D0D0D"/>
          <w:sz w:val="20"/>
          <w:szCs w:val="20"/>
          <w:shd w:val="clear" w:color="auto" w:fill="FFFFFF"/>
        </w:rPr>
        <w:t xml:space="preserve">ensity </w:t>
      </w:r>
      <w:r>
        <w:rPr>
          <w:rFonts w:ascii="Times New Roman" w:hAnsi="Times New Roman" w:cs="Times New Roman"/>
          <w:color w:val="0D0D0D"/>
          <w:sz w:val="20"/>
          <w:szCs w:val="20"/>
          <w:shd w:val="clear" w:color="auto" w:fill="FFFFFF"/>
        </w:rPr>
        <w:t>d</w:t>
      </w:r>
      <w:r>
        <w:rPr>
          <w:rFonts w:ascii="Times New Roman" w:hAnsi="Times New Roman" w:eastAsia="Segoe UI" w:cs="Times New Roman"/>
          <w:color w:val="0D0D0D"/>
          <w:sz w:val="20"/>
          <w:szCs w:val="20"/>
          <w:shd w:val="clear" w:color="auto" w:fill="FFFFFF"/>
        </w:rPr>
        <w:t>istribution</w:t>
      </w:r>
      <w:r>
        <w:rPr>
          <w:rFonts w:ascii="Times New Roman" w:hAnsi="Times New Roman" w:cs="Times New Roman"/>
          <w:color w:val="0D0D0D"/>
          <w:sz w:val="20"/>
          <w:szCs w:val="20"/>
          <w:shd w:val="clear" w:color="auto" w:fill="FFFFFF"/>
        </w:rPr>
        <w:t xml:space="preserve"> p</w:t>
      </w:r>
      <w:r>
        <w:rPr>
          <w:rFonts w:ascii="Times New Roman" w:hAnsi="Times New Roman" w:eastAsia="Segoe UI" w:cs="Times New Roman"/>
          <w:color w:val="0D0D0D"/>
          <w:sz w:val="20"/>
          <w:szCs w:val="20"/>
          <w:shd w:val="clear" w:color="auto" w:fill="FFFFFF"/>
        </w:rPr>
        <w:t>lot</w:t>
      </w:r>
      <w:r>
        <w:rPr>
          <w:rFonts w:ascii="Times New Roman" w:hAnsi="Times New Roman" w:eastAsia="宋体" w:cs="Times New Roman"/>
          <w:color w:val="0D0D0D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eastAsia="宋体" w:cs="Times New Roman"/>
          <w:sz w:val="20"/>
          <w:szCs w:val="20"/>
        </w:rPr>
        <w:t>before and after adjustment with PSM, IPTW, and overlap weighting.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IPTW, </w:t>
      </w:r>
      <w:r>
        <w:rPr>
          <w:rFonts w:ascii="Times New Roman" w:hAnsi="Times New Roman" w:cs="Times New Roman"/>
          <w:sz w:val="20"/>
          <w:szCs w:val="20"/>
        </w:rPr>
        <w:t>inverse probability of treatment weighting</w:t>
      </w:r>
      <w:r>
        <w:rPr>
          <w:rFonts w:hint="eastAsia" w:ascii="Times New Roman" w:hAnsi="Times New Roman" w:eastAsia="宋体" w:cs="Times New Roman"/>
          <w:sz w:val="20"/>
          <w:szCs w:val="20"/>
        </w:rPr>
        <w:t>; PSM, propensity score matching.</w:t>
      </w:r>
    </w:p>
    <w:p w14:paraId="1C952ED0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F340E52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drawing>
          <wp:inline distT="0" distB="0" distL="0" distR="0">
            <wp:extent cx="6645275" cy="6061710"/>
            <wp:effectExtent l="0" t="0" r="3175" b="0"/>
            <wp:docPr id="15821122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112204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471" cy="606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DB096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D5C9DF8">
      <w:pPr>
        <w:snapToGrid w:val="0"/>
        <w:spacing w:after="78" w:afterLines="25" w:line="276" w:lineRule="auto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S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sz w:val="20"/>
          <w:szCs w:val="20"/>
        </w:rPr>
        <w:t>Patient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baseline characteristics </w:t>
      </w:r>
      <w:r>
        <w:rPr>
          <w:rFonts w:ascii="Times New Roman" w:hAnsi="Times New Roman" w:eastAsia="宋体" w:cs="Times New Roman"/>
          <w:sz w:val="20"/>
          <w:szCs w:val="20"/>
        </w:rPr>
        <w:t xml:space="preserve">in IPTW and overlap 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weighting </w:t>
      </w:r>
      <w:r>
        <w:rPr>
          <w:rFonts w:ascii="Times New Roman" w:hAnsi="Times New Roman" w:eastAsia="宋体" w:cs="Times New Roman"/>
          <w:sz w:val="20"/>
          <w:szCs w:val="20"/>
        </w:rPr>
        <w:t>adjusted cohorts.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ASPECT: </w:t>
      </w:r>
      <w:r>
        <w:rPr>
          <w:rFonts w:ascii="Times New Roman" w:hAnsi="Times New Roman" w:eastAsia="宋体" w:cs="Times New Roman"/>
          <w:sz w:val="20"/>
          <w:szCs w:val="20"/>
        </w:rPr>
        <w:t>Alberta Stroke Program Early CT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; CE, cardioembolism; IQR, </w:t>
      </w:r>
      <w:bookmarkStart w:id="2" w:name="_Hlk181931114"/>
      <w:r>
        <w:rPr>
          <w:rFonts w:hint="eastAsia" w:ascii="Times New Roman" w:hAnsi="Times New Roman" w:eastAsia="宋体" w:cs="Times New Roman"/>
          <w:sz w:val="20"/>
          <w:szCs w:val="20"/>
        </w:rPr>
        <w:t>interquartile range</w:t>
      </w:r>
      <w:bookmarkEnd w:id="2"/>
      <w:r>
        <w:rPr>
          <w:rFonts w:hint="eastAsia" w:ascii="Times New Roman" w:hAnsi="Times New Roman" w:eastAsia="宋体" w:cs="Times New Roman"/>
          <w:sz w:val="20"/>
          <w:szCs w:val="20"/>
        </w:rPr>
        <w:t>; LAA, large artery atherosclerosis; NIHSS,</w:t>
      </w:r>
      <w:r>
        <w:rPr>
          <w:rFonts w:ascii="Times New Roman" w:hAnsi="Times New Roman" w:eastAsia="宋体" w:cs="Times New Roman"/>
          <w:sz w:val="20"/>
          <w:szCs w:val="20"/>
        </w:rPr>
        <w:t xml:space="preserve"> National Institutes of Health Stroke Scale</w:t>
      </w:r>
      <w:r>
        <w:rPr>
          <w:rFonts w:hint="eastAsia" w:ascii="Times New Roman" w:hAnsi="Times New Roman" w:eastAsia="宋体" w:cs="Times New Roman"/>
          <w:sz w:val="20"/>
          <w:szCs w:val="20"/>
        </w:rPr>
        <w:t>; PSM, propensity score matching; SD, standard deviation; SMD, standardized mean difference; SVO, small vessel occlusion.</w:t>
      </w:r>
    </w:p>
    <w:tbl>
      <w:tblPr>
        <w:tblStyle w:val="5"/>
        <w:tblW w:w="1049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1559"/>
        <w:gridCol w:w="1276"/>
        <w:gridCol w:w="850"/>
        <w:gridCol w:w="1418"/>
        <w:gridCol w:w="1417"/>
        <w:gridCol w:w="992"/>
      </w:tblGrid>
      <w:tr w14:paraId="0D2C4F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978" w:type="dxa"/>
            <w:tcBorders>
              <w:bottom w:val="nil"/>
            </w:tcBorders>
            <w:vAlign w:val="center"/>
          </w:tcPr>
          <w:p w14:paraId="75E41020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color="auto" w:sz="6" w:space="0"/>
            </w:tcBorders>
            <w:vAlign w:val="center"/>
          </w:tcPr>
          <w:p w14:paraId="39278C14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IPTW adjusted</w:t>
            </w:r>
          </w:p>
        </w:tc>
        <w:tc>
          <w:tcPr>
            <w:tcW w:w="850" w:type="dxa"/>
            <w:vMerge w:val="restart"/>
            <w:vAlign w:val="center"/>
          </w:tcPr>
          <w:p w14:paraId="4D00BEF5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  <w:p w14:paraId="6DB3EC76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SMD</w:t>
            </w:r>
          </w:p>
        </w:tc>
        <w:tc>
          <w:tcPr>
            <w:tcW w:w="2835" w:type="dxa"/>
            <w:gridSpan w:val="2"/>
            <w:tcBorders>
              <w:bottom w:val="single" w:color="auto" w:sz="6" w:space="0"/>
            </w:tcBorders>
            <w:vAlign w:val="center"/>
          </w:tcPr>
          <w:p w14:paraId="1243A53C">
            <w:pPr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Overlap weighting adjusted</w:t>
            </w:r>
          </w:p>
        </w:tc>
        <w:tc>
          <w:tcPr>
            <w:tcW w:w="992" w:type="dxa"/>
            <w:vMerge w:val="restart"/>
            <w:vAlign w:val="center"/>
          </w:tcPr>
          <w:p w14:paraId="5B1389D4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  <w:p w14:paraId="3B6A89D2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SMD</w:t>
            </w:r>
          </w:p>
        </w:tc>
      </w:tr>
      <w:tr w14:paraId="5136257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78" w:type="dxa"/>
            <w:tcBorders>
              <w:top w:val="nil"/>
              <w:bottom w:val="single" w:color="auto" w:sz="6" w:space="0"/>
            </w:tcBorders>
            <w:vAlign w:val="center"/>
          </w:tcPr>
          <w:p w14:paraId="0EEB597A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8CAD27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Night-onset (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=286)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8C4A56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Day-onset</w:t>
            </w:r>
          </w:p>
          <w:p w14:paraId="44314E97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=426)</w:t>
            </w:r>
          </w:p>
        </w:tc>
        <w:tc>
          <w:tcPr>
            <w:tcW w:w="850" w:type="dxa"/>
            <w:vMerge w:val="continue"/>
            <w:tcBorders>
              <w:bottom w:val="single" w:color="auto" w:sz="6" w:space="0"/>
            </w:tcBorders>
            <w:vAlign w:val="center"/>
          </w:tcPr>
          <w:p w14:paraId="54AF2E0B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3F307B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Night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-onset</w:t>
            </w:r>
          </w:p>
          <w:p w14:paraId="5E5B4661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=2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86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B50B8B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Day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-onset</w:t>
            </w:r>
          </w:p>
          <w:p w14:paraId="5932E1E5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=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426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continue"/>
            <w:tcBorders>
              <w:bottom w:val="single" w:color="auto" w:sz="6" w:space="0"/>
            </w:tcBorders>
            <w:vAlign w:val="center"/>
          </w:tcPr>
          <w:p w14:paraId="32F0AAB9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</w:p>
        </w:tc>
      </w:tr>
      <w:tr w14:paraId="5B4A49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78" w:type="dxa"/>
            <w:tcBorders>
              <w:top w:val="single" w:color="auto" w:sz="6" w:space="0"/>
              <w:bottom w:val="nil"/>
            </w:tcBorders>
            <w:vAlign w:val="center"/>
          </w:tcPr>
          <w:p w14:paraId="51F45B56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Demographic</w:t>
            </w:r>
          </w:p>
        </w:tc>
        <w:tc>
          <w:tcPr>
            <w:tcW w:w="1559" w:type="dxa"/>
            <w:tcBorders>
              <w:top w:val="single" w:color="auto" w:sz="6" w:space="0"/>
              <w:bottom w:val="nil"/>
            </w:tcBorders>
            <w:vAlign w:val="center"/>
          </w:tcPr>
          <w:p w14:paraId="22AFC45E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nil"/>
            </w:tcBorders>
            <w:vAlign w:val="center"/>
          </w:tcPr>
          <w:p w14:paraId="5D7F9D74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nil"/>
            </w:tcBorders>
            <w:vAlign w:val="center"/>
          </w:tcPr>
          <w:p w14:paraId="56FD3B30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6" w:space="0"/>
              <w:bottom w:val="nil"/>
            </w:tcBorders>
            <w:vAlign w:val="center"/>
          </w:tcPr>
          <w:p w14:paraId="06DCF2C3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bottom w:val="nil"/>
            </w:tcBorders>
            <w:vAlign w:val="center"/>
          </w:tcPr>
          <w:p w14:paraId="209C7A18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nil"/>
            </w:tcBorders>
            <w:vAlign w:val="center"/>
          </w:tcPr>
          <w:p w14:paraId="0CFC7CD9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i/>
                <w:iCs/>
                <w:sz w:val="20"/>
                <w:szCs w:val="20"/>
              </w:rPr>
            </w:pPr>
          </w:p>
        </w:tc>
      </w:tr>
      <w:tr w14:paraId="632638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3562D819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Age, y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C09036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69 (57, 76)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0D596A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69 (57, 75)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86E8BC9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3F584D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69 (57, 76.4)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CF54E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69 (57, 76)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2A5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51FE1F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7F402B46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Sex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BC90FF8">
            <w:pPr>
              <w:snapToGrid w:val="0"/>
              <w:spacing w:line="276" w:lineRule="auto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B767A87">
            <w:pPr>
              <w:snapToGrid w:val="0"/>
              <w:spacing w:line="276" w:lineRule="auto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B477A4A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02B3C48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5B45000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DF2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41C9C7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1657A92D">
            <w:pPr>
              <w:snapToGrid w:val="0"/>
              <w:spacing w:line="276" w:lineRule="auto"/>
              <w:ind w:firstLine="200" w:firstLine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Female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C01E0A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F13BD62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3552F39">
            <w:pPr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60150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B71CB4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7910716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BBE0A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584209FD">
            <w:pPr>
              <w:snapToGrid w:val="0"/>
              <w:spacing w:line="276" w:lineRule="auto"/>
              <w:ind w:firstLine="200" w:firstLineChars="1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Male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40C548F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5DCF35B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85C20CA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60A5F8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B72C9D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4E45661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BDB46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42DC3C4E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Medical history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5C19C67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C922699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C883C1C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F45A101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ECBA0DA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F501C3B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483E3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452F031D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Hypertension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4506F3F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68ACF665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F2E4369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0.007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59DFC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454D1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DD99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42DE97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5C825352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Diabetes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D8A947D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64B12B01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1E16BD7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0.026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2E556A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492CD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6AD90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2A4E52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239CB2FA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Coronary artery disease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E2544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5E8197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AB8FFCF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0.008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4B0E67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711C0F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48930A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7CD5DA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6F6EC4BB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Peripheral vascular disease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ABCD24F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2E088FD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A8DCD92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B4D73E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807CFA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6FB7E2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14A584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2B7EA4A5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Atrial fibrillation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7E2544A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589AB763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60E7851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44C9F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F368C1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287AE01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0A7866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39344192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Transient ischemic attack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5DA352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23312C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F1A4A44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136B03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3F83A5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4441D14D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2EE6BF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15EB586C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Current smoking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20A6651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0840E89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1EE79C7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3E832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1F23D4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0869E8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53B9E7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2C14D27E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Hyperlipidemia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AE56DE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CC20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D006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EC5F5F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CA9ABF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23884A9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11B039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40BE8027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Prestroke antiplatelet use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71AC44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06AFCC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C5D1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7FBAF1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C0F0E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12B394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573CDD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793254FE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Prestroke statin use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48814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46328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EAD1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ED8785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01F33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698F158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3301E8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49B5ACC8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Stroke subtype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BEA50F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C8E73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530A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0.033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5808DCD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1B31067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4265DD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563D52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57DAD4EF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LAA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46E86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842B2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3DA1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3E773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33964F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76D75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272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38F81AE3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B6900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5DDDE5F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DED6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5DE8D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81300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BCB26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8DD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3F63CEB2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SVO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5C7D20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B20D1F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2CB8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D139A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E17E51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2AC40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762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13809AEE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Other-determined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1D9037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0D249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4402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60DA9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FD86E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14D68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101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37326D60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Undetermined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3514F8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51781D5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5E02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FFBEA6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A56A6D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3D15F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9AA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1E8D29B2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Clinical characteristic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8856570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0913003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8F2BCB1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33DD534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628EBF4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42BD14F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C62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033D0F48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Onset-to-door time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, median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h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879686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2.1 (1.6, 2.6)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E6BF9E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2.0 (1.7, 2.5)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F1B08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8C1EF8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2.2 (1.7, 2.7)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B98212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2.1 (1.7, 2.6)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22CAFB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29A150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4C542461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Door-to-needle time, min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7E4093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48 (42, 55)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EA2D1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48 (42, 55)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86D2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3E7F6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48 (42, 55)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AB84C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48 (42, 55)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32FD08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1AF773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1933236F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NIHSS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score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F648A08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6.9 (2, 13)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65CCC29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 (2, 13)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49E76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184D8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6.7 (2, 13)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E7ADBC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 (2, 13)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710FB7D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34AD2E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0DA08E6D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ASPECT score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ADCA318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9 (7, 10)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DEC4643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9 (8, 10)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D49688D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0.003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4F8348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9 (7, 10)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EA124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9 (8, 10)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588B7F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tr w14:paraId="1676BC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l2br w:val="nil"/>
              <w:tr2bl w:val="nil"/>
            </w:tcBorders>
            <w:vAlign w:val="center"/>
          </w:tcPr>
          <w:p w14:paraId="6ACCE688">
            <w:pPr>
              <w:snapToGrid w:val="0"/>
              <w:spacing w:line="276" w:lineRule="auto"/>
              <w:ind w:firstLine="100" w:firstLineChars="5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ndovascular thrombectomy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06C957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58ECB8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AB30F65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0.004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80568E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A382C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60AFF38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0.001</w:t>
            </w:r>
          </w:p>
        </w:tc>
      </w:tr>
      <w:bookmarkEnd w:id="0"/>
    </w:tbl>
    <w:p w14:paraId="6445D767">
      <w:pPr>
        <w:snapToGrid w:val="0"/>
        <w:spacing w:line="276" w:lineRule="auto"/>
        <w:rPr>
          <w:rFonts w:ascii="Times New Roman" w:hAnsi="Times New Roman" w:eastAsia="宋体" w:cs="Times New Roman"/>
          <w:sz w:val="20"/>
          <w:szCs w:val="20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4EBDD94A">
      <w:pPr>
        <w:snapToGrid w:val="0"/>
        <w:spacing w:line="276" w:lineRule="auto"/>
        <w:rPr>
          <w:rFonts w:ascii="Times New Roman" w:hAnsi="Times New Roman" w:eastAsia="宋体" w:cs="Times New Roman"/>
          <w:sz w:val="20"/>
          <w:szCs w:val="20"/>
        </w:rPr>
      </w:pPr>
    </w:p>
    <w:p w14:paraId="4CF8DA52">
      <w:pPr>
        <w:snapToGrid w:val="0"/>
        <w:spacing w:before="78" w:beforeLines="25" w:line="300" w:lineRule="auto"/>
        <w:rPr>
          <w:rFonts w:ascii="Times New Roman" w:hAnsi="Times New Roman" w:eastAsia="宋体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S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.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bookmarkStart w:id="3" w:name="OLE_LINK1"/>
      <w:r>
        <w:rPr>
          <w:rFonts w:hint="eastAsia" w:ascii="Times New Roman" w:hAnsi="Times New Roman" w:cs="Times New Roman"/>
          <w:sz w:val="20"/>
          <w:szCs w:val="20"/>
        </w:rPr>
        <w:t xml:space="preserve">Exploratory </w:t>
      </w:r>
      <w:r>
        <w:rPr>
          <w:rFonts w:ascii="Times New Roman" w:hAnsi="Times New Roman" w:eastAsia="宋体" w:cs="Times New Roman"/>
          <w:sz w:val="20"/>
          <w:szCs w:val="20"/>
        </w:rPr>
        <w:t xml:space="preserve">outcomes in </w:t>
      </w:r>
      <w:r>
        <w:rPr>
          <w:rFonts w:hint="eastAsia" w:ascii="Times New Roman" w:hAnsi="Times New Roman" w:eastAsia="宋体" w:cs="Times New Roman"/>
          <w:sz w:val="20"/>
          <w:szCs w:val="20"/>
        </w:rPr>
        <w:t>the IPTW</w:t>
      </w:r>
      <w:r>
        <w:rPr>
          <w:rFonts w:ascii="Times New Roman" w:hAnsi="Times New Roman" w:eastAsia="宋体" w:cs="Times New Roman"/>
          <w:sz w:val="20"/>
          <w:szCs w:val="20"/>
        </w:rPr>
        <w:t xml:space="preserve"> and </w:t>
      </w:r>
      <w:r>
        <w:rPr>
          <w:rFonts w:hint="eastAsia" w:ascii="Times New Roman" w:hAnsi="Times New Roman" w:eastAsia="宋体" w:cs="Times New Roman"/>
          <w:sz w:val="20"/>
          <w:szCs w:val="20"/>
        </w:rPr>
        <w:t>overlap weighting</w:t>
      </w:r>
      <w:r>
        <w:rPr>
          <w:rFonts w:ascii="Times New Roman" w:hAnsi="Times New Roman" w:eastAsia="宋体" w:cs="Times New Roman"/>
          <w:sz w:val="20"/>
          <w:szCs w:val="20"/>
        </w:rPr>
        <w:t xml:space="preserve"> adjusted cohorts.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</w:t>
      </w:r>
      <w:bookmarkStart w:id="4" w:name="_Hlk181938549"/>
      <w:r>
        <w:rPr>
          <w:rStyle w:val="7"/>
          <w:rFonts w:ascii="Times New Roman" w:hAnsi="Times New Roman" w:eastAsia="宋体" w:cs="Times New Roman"/>
          <w:b w:val="0"/>
          <w:sz w:val="20"/>
          <w:szCs w:val="20"/>
        </w:rPr>
        <w:t>CI</w:t>
      </w:r>
      <w:r>
        <w:rPr>
          <w:rFonts w:ascii="Times New Roman" w:hAnsi="Times New Roman" w:eastAsia="宋体" w:cs="Times New Roman"/>
          <w:sz w:val="20"/>
          <w:szCs w:val="20"/>
        </w:rPr>
        <w:t xml:space="preserve">, confidence interval; 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IPTW, </w:t>
      </w:r>
      <w:r>
        <w:rPr>
          <w:rFonts w:ascii="Times New Roman" w:hAnsi="Times New Roman" w:cs="Times New Roman"/>
          <w:sz w:val="20"/>
          <w:szCs w:val="20"/>
        </w:rPr>
        <w:t>inverse probability of treatment weighting</w:t>
      </w:r>
      <w:r>
        <w:rPr>
          <w:rFonts w:hint="eastAsia" w:ascii="Times New Roman" w:hAnsi="Times New Roman" w:eastAsia="宋体" w:cs="Times New Roman"/>
          <w:sz w:val="20"/>
          <w:szCs w:val="20"/>
        </w:rPr>
        <w:t>; IQR, interquartile range</w:t>
      </w:r>
      <w:r>
        <w:rPr>
          <w:rFonts w:ascii="Times New Roman" w:hAnsi="Times New Roman" w:eastAsia="宋体" w:cs="Times New Roman"/>
          <w:sz w:val="20"/>
          <w:szCs w:val="20"/>
        </w:rPr>
        <w:t>.</w:t>
      </w:r>
      <w:bookmarkEnd w:id="4"/>
    </w:p>
    <w:bookmarkEnd w:id="3"/>
    <w:tbl>
      <w:tblPr>
        <w:tblStyle w:val="5"/>
        <w:tblW w:w="1530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1559"/>
        <w:gridCol w:w="1418"/>
        <w:gridCol w:w="1843"/>
        <w:gridCol w:w="1134"/>
        <w:gridCol w:w="1559"/>
        <w:gridCol w:w="1559"/>
        <w:gridCol w:w="1701"/>
        <w:gridCol w:w="992"/>
      </w:tblGrid>
      <w:tr w14:paraId="5CAA43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 w14:paraId="01DC6B7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color="auto" w:sz="6" w:space="0"/>
            </w:tcBorders>
          </w:tcPr>
          <w:p w14:paraId="1CB59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IPTW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 xml:space="preserve"> adjusted, </w:t>
            </w:r>
          </w:p>
          <w:p w14:paraId="00124D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Median (IQR)</w:t>
            </w:r>
          </w:p>
        </w:tc>
        <w:tc>
          <w:tcPr>
            <w:tcW w:w="1843" w:type="dxa"/>
          </w:tcPr>
          <w:p w14:paraId="59350378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D2F1BF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single" w:color="auto" w:sz="6" w:space="0"/>
            </w:tcBorders>
          </w:tcPr>
          <w:p w14:paraId="5AAB3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verlap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 xml:space="preserve"> weighting adjusted, </w:t>
            </w:r>
          </w:p>
          <w:p w14:paraId="74910F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Median (IQR)</w:t>
            </w:r>
          </w:p>
        </w:tc>
        <w:tc>
          <w:tcPr>
            <w:tcW w:w="1701" w:type="dxa"/>
          </w:tcPr>
          <w:p w14:paraId="7C0D20B4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EAC8D0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B8A9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bottom w:val="single" w:color="auto" w:sz="6" w:space="0"/>
            </w:tcBorders>
          </w:tcPr>
          <w:p w14:paraId="0AF3BF7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04C36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Night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 xml:space="preserve">-onset 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=286)</w:t>
            </w:r>
          </w:p>
        </w:tc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4ACF7B">
            <w:pPr>
              <w:snapToGrid w:val="0"/>
              <w:spacing w:line="276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Day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-onset</w:t>
            </w:r>
          </w:p>
          <w:p w14:paraId="05C8D602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=426)</w:t>
            </w:r>
          </w:p>
        </w:tc>
        <w:tc>
          <w:tcPr>
            <w:tcW w:w="1843" w:type="dxa"/>
            <w:tcBorders>
              <w:bottom w:val="single" w:color="auto" w:sz="6" w:space="0"/>
            </w:tcBorders>
          </w:tcPr>
          <w:p w14:paraId="04C6B5D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 xml:space="preserve"> or difference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bottom w:val="single" w:color="auto" w:sz="6" w:space="0"/>
            </w:tcBorders>
          </w:tcPr>
          <w:p w14:paraId="5639B10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49F3F2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Night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 xml:space="preserve">-onset 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=286)</w:t>
            </w: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207BE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Day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 xml:space="preserve">-onset 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=426)</w:t>
            </w:r>
          </w:p>
        </w:tc>
        <w:tc>
          <w:tcPr>
            <w:tcW w:w="1701" w:type="dxa"/>
            <w:tcBorders>
              <w:bottom w:val="single" w:color="auto" w:sz="6" w:space="0"/>
            </w:tcBorders>
          </w:tcPr>
          <w:p w14:paraId="573E49D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 xml:space="preserve"> or difference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bottom w:val="single" w:color="auto" w:sz="6" w:space="0"/>
            </w:tcBorders>
          </w:tcPr>
          <w:p w14:paraId="0BA2F5B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</w:p>
        </w:tc>
      </w:tr>
      <w:tr w14:paraId="529AE7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single" w:color="auto" w:sz="6" w:space="0"/>
              <w:tl2br w:val="nil"/>
              <w:tr2bl w:val="nil"/>
            </w:tcBorders>
          </w:tcPr>
          <w:p w14:paraId="185A9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Hemorrhagic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transformation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, No (%)</w:t>
            </w:r>
          </w:p>
        </w:tc>
        <w:tc>
          <w:tcPr>
            <w:tcW w:w="1559" w:type="dxa"/>
            <w:tcBorders>
              <w:top w:val="single" w:color="auto" w:sz="6" w:space="0"/>
              <w:tl2br w:val="nil"/>
              <w:tr2bl w:val="nil"/>
            </w:tcBorders>
          </w:tcPr>
          <w:p w14:paraId="664009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418" w:type="dxa"/>
            <w:tcBorders>
              <w:top w:val="single" w:color="auto" w:sz="6" w:space="0"/>
              <w:tl2br w:val="nil"/>
              <w:tr2bl w:val="nil"/>
            </w:tcBorders>
          </w:tcPr>
          <w:p w14:paraId="41CB763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43" w:type="dxa"/>
            <w:tcBorders>
              <w:top w:val="single" w:color="auto" w:sz="6" w:space="0"/>
              <w:tl2br w:val="nil"/>
              <w:tr2bl w:val="nil"/>
            </w:tcBorders>
          </w:tcPr>
          <w:p w14:paraId="3581FC6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1.20 (0.74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1.95)</w:t>
            </w:r>
          </w:p>
        </w:tc>
        <w:tc>
          <w:tcPr>
            <w:tcW w:w="1134" w:type="dxa"/>
            <w:tcBorders>
              <w:top w:val="single" w:color="auto" w:sz="6" w:space="0"/>
              <w:tl2br w:val="nil"/>
              <w:tr2bl w:val="nil"/>
            </w:tcBorders>
          </w:tcPr>
          <w:p w14:paraId="56BC197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0.460</w:t>
            </w:r>
          </w:p>
        </w:tc>
        <w:tc>
          <w:tcPr>
            <w:tcW w:w="1559" w:type="dxa"/>
            <w:tcBorders>
              <w:top w:val="single" w:color="auto" w:sz="6" w:space="0"/>
              <w:tl2br w:val="nil"/>
              <w:tr2bl w:val="nil"/>
            </w:tcBorders>
          </w:tcPr>
          <w:p w14:paraId="092A9AB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12.9</w:t>
            </w:r>
          </w:p>
        </w:tc>
        <w:tc>
          <w:tcPr>
            <w:tcW w:w="1559" w:type="dxa"/>
            <w:tcBorders>
              <w:top w:val="single" w:color="auto" w:sz="6" w:space="0"/>
              <w:tl2br w:val="nil"/>
              <w:tr2bl w:val="nil"/>
            </w:tcBorders>
          </w:tcPr>
          <w:p w14:paraId="427F25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701" w:type="dxa"/>
            <w:tcBorders>
              <w:top w:val="single" w:color="auto" w:sz="6" w:space="0"/>
              <w:tl2br w:val="nil"/>
              <w:tr2bl w:val="nil"/>
            </w:tcBorders>
          </w:tcPr>
          <w:p w14:paraId="22D5D9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1.14 (0.71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1.85)</w:t>
            </w:r>
          </w:p>
        </w:tc>
        <w:tc>
          <w:tcPr>
            <w:tcW w:w="992" w:type="dxa"/>
            <w:tcBorders>
              <w:top w:val="single" w:color="auto" w:sz="6" w:space="0"/>
              <w:tl2br w:val="nil"/>
              <w:tr2bl w:val="nil"/>
            </w:tcBorders>
          </w:tcPr>
          <w:p w14:paraId="010FB4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0.575</w:t>
            </w:r>
          </w:p>
        </w:tc>
      </w:tr>
      <w:tr w14:paraId="269716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l2br w:val="nil"/>
              <w:tr2bl w:val="nil"/>
            </w:tcBorders>
          </w:tcPr>
          <w:p w14:paraId="1BB278A0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Collateral score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28CA53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16 (13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19)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7504DDC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17 (14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19)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56BD4FC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0.00 (-0.03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0.02)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7AB0E9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0.699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385C7E2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16 (13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19)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4F6014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17 (14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19)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33FF622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0.00 (-0.03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0.02)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764F1A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0.763</w:t>
            </w:r>
          </w:p>
        </w:tc>
      </w:tr>
      <w:tr w14:paraId="4A9C41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l2br w:val="nil"/>
              <w:tr2bl w:val="nil"/>
            </w:tcBorders>
          </w:tcPr>
          <w:p w14:paraId="0D41DC4F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32AD73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 (1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18.9)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432593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 (0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17)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139199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0.76 (0.57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0.95)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3C1DA2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4EDB66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 (1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19.6)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51F0B1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3.0 (0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17)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19D65C4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0.76 (0.58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0.94)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4FA0104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14:paraId="37F779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l2br w:val="nil"/>
              <w:tr2bl w:val="nil"/>
            </w:tcBorders>
          </w:tcPr>
          <w:p w14:paraId="67770128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Mismatch-ratio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5B74390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4.4 (0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12.5)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14BD28D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 (0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14)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37D4DC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0.15 (-0.10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0.39)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C0CD86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0.247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13D6535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4.4 (0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12.6)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2047F05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4.1 (0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14)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02DD361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0.15 (-0.10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0.39)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7B70F86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0.234</w:t>
            </w:r>
          </w:p>
        </w:tc>
      </w:tr>
      <w:tr w14:paraId="7D331F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l2br w:val="nil"/>
              <w:tr2bl w:val="nil"/>
            </w:tcBorders>
          </w:tcPr>
          <w:p w14:paraId="2BF40670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Penumbra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volumes 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4BA7BD4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48 (0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87)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7D14DDF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35 (0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83)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493A3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0.13 (-0.13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0.40)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F06422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0.334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3E23A81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48.0 (0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86.8)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78F3FB0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35.0 (0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83)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14:paraId="42F22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0.08 (-0.19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Symbol" w:char="002D"/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0.35)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FD1583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0.547</w:t>
            </w:r>
          </w:p>
        </w:tc>
      </w:tr>
    </w:tbl>
    <w:p w14:paraId="6B629E2F">
      <w:pPr>
        <w:snapToGrid w:val="0"/>
        <w:spacing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eastAsia="宋体" w:cs="Times New Roman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20"/>
          <w:szCs w:val="20"/>
        </w:rPr>
        <w:t>D</w:t>
      </w:r>
      <w:r>
        <w:rPr>
          <w:rFonts w:ascii="Times New Roman" w:hAnsi="Times New Roman" w:eastAsia="宋体" w:cs="Times New Roman"/>
          <w:bCs/>
          <w:sz w:val="20"/>
          <w:szCs w:val="20"/>
        </w:rPr>
        <w:t xml:space="preserve">ifference </w:t>
      </w:r>
      <w:r>
        <w:rPr>
          <w:rFonts w:hint="eastAsia" w:ascii="Times New Roman" w:hAnsi="Times New Roman" w:eastAsia="宋体" w:cs="Times New Roman"/>
          <w:bCs/>
          <w:sz w:val="20"/>
          <w:szCs w:val="20"/>
        </w:rPr>
        <w:t>is</w:t>
      </w:r>
      <w:r>
        <w:rPr>
          <w:rFonts w:ascii="Times New Roman" w:hAnsi="Times New Roman" w:eastAsia="宋体" w:cs="Times New Roman"/>
          <w:bCs/>
          <w:sz w:val="20"/>
          <w:szCs w:val="20"/>
        </w:rPr>
        <w:t xml:space="preserve"> presented after Log</w:t>
      </w:r>
      <w:r>
        <w:rPr>
          <w:rFonts w:ascii="Times New Roman" w:hAnsi="Times New Roman" w:eastAsia="宋体" w:cs="Times New Roman"/>
          <w:bCs/>
          <w:sz w:val="20"/>
          <w:szCs w:val="20"/>
          <w:vertAlign w:val="subscript"/>
        </w:rPr>
        <w:t>10</w:t>
      </w:r>
      <w:r>
        <w:rPr>
          <w:rFonts w:ascii="Times New Roman" w:hAnsi="Times New Roman" w:eastAsia="宋体" w:cs="Times New Roman"/>
          <w:bCs/>
          <w:sz w:val="20"/>
          <w:szCs w:val="20"/>
        </w:rPr>
        <w:t xml:space="preserve"> transformation.</w:t>
      </w:r>
    </w:p>
    <w:p w14:paraId="487082EA">
      <w:pPr>
        <w:snapToGrid w:val="0"/>
        <w:spacing w:line="276" w:lineRule="auto"/>
        <w:rPr>
          <w:sz w:val="20"/>
          <w:szCs w:val="20"/>
        </w:rPr>
      </w:pPr>
      <w:bookmarkStart w:id="5" w:name="_GoBack"/>
      <w:bookmarkEnd w:id="5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4ZDRmOTJlOWZmYzZjYTZmODM4MTFhNTcxY2JkMDAifQ=="/>
    <w:docVar w:name="KY_MEDREF_DOCUID" w:val="{E49EC219-2E26-49B3-AF4F-BACE2462514B}"/>
    <w:docVar w:name="KY_MEDREF_VERSION" w:val="3"/>
  </w:docVars>
  <w:rsids>
    <w:rsidRoot w:val="00B047D0"/>
    <w:rsid w:val="00011EDA"/>
    <w:rsid w:val="00024CE8"/>
    <w:rsid w:val="0003441F"/>
    <w:rsid w:val="00034A22"/>
    <w:rsid w:val="00065029"/>
    <w:rsid w:val="000A2AC5"/>
    <w:rsid w:val="000E6C80"/>
    <w:rsid w:val="000F2823"/>
    <w:rsid w:val="000F60C9"/>
    <w:rsid w:val="00106B49"/>
    <w:rsid w:val="00112F68"/>
    <w:rsid w:val="00121CE8"/>
    <w:rsid w:val="0012464B"/>
    <w:rsid w:val="001324DB"/>
    <w:rsid w:val="00147FB5"/>
    <w:rsid w:val="00151B7A"/>
    <w:rsid w:val="00172BA6"/>
    <w:rsid w:val="001E3C58"/>
    <w:rsid w:val="002003E2"/>
    <w:rsid w:val="0020321E"/>
    <w:rsid w:val="002039AB"/>
    <w:rsid w:val="00204664"/>
    <w:rsid w:val="002203CF"/>
    <w:rsid w:val="00231A3D"/>
    <w:rsid w:val="00251027"/>
    <w:rsid w:val="002515EA"/>
    <w:rsid w:val="00261A18"/>
    <w:rsid w:val="00287CCC"/>
    <w:rsid w:val="00293EEE"/>
    <w:rsid w:val="002B6A07"/>
    <w:rsid w:val="002D666D"/>
    <w:rsid w:val="00303F39"/>
    <w:rsid w:val="00347243"/>
    <w:rsid w:val="00350CA6"/>
    <w:rsid w:val="00357BF1"/>
    <w:rsid w:val="003622A2"/>
    <w:rsid w:val="00364EBB"/>
    <w:rsid w:val="003E1A40"/>
    <w:rsid w:val="003E69EC"/>
    <w:rsid w:val="003F1B17"/>
    <w:rsid w:val="0040222E"/>
    <w:rsid w:val="00443332"/>
    <w:rsid w:val="00444834"/>
    <w:rsid w:val="00473263"/>
    <w:rsid w:val="004817E5"/>
    <w:rsid w:val="004854EE"/>
    <w:rsid w:val="004921CC"/>
    <w:rsid w:val="00493280"/>
    <w:rsid w:val="004A4966"/>
    <w:rsid w:val="004A703D"/>
    <w:rsid w:val="004D1B5E"/>
    <w:rsid w:val="004D7CCB"/>
    <w:rsid w:val="004F3730"/>
    <w:rsid w:val="00503274"/>
    <w:rsid w:val="00510BFC"/>
    <w:rsid w:val="005319D6"/>
    <w:rsid w:val="00532E87"/>
    <w:rsid w:val="00575067"/>
    <w:rsid w:val="0058090B"/>
    <w:rsid w:val="00587E25"/>
    <w:rsid w:val="00593FB0"/>
    <w:rsid w:val="005E7504"/>
    <w:rsid w:val="005F02D0"/>
    <w:rsid w:val="005F6BA5"/>
    <w:rsid w:val="0061625E"/>
    <w:rsid w:val="00617DA6"/>
    <w:rsid w:val="006253DF"/>
    <w:rsid w:val="0064074C"/>
    <w:rsid w:val="0064167A"/>
    <w:rsid w:val="00665D49"/>
    <w:rsid w:val="006705B2"/>
    <w:rsid w:val="00674258"/>
    <w:rsid w:val="0067478F"/>
    <w:rsid w:val="00690E14"/>
    <w:rsid w:val="0069729F"/>
    <w:rsid w:val="00697921"/>
    <w:rsid w:val="006C28BA"/>
    <w:rsid w:val="006D3D2C"/>
    <w:rsid w:val="00707F24"/>
    <w:rsid w:val="00715B42"/>
    <w:rsid w:val="00716E05"/>
    <w:rsid w:val="00727E57"/>
    <w:rsid w:val="00732C15"/>
    <w:rsid w:val="00733E06"/>
    <w:rsid w:val="0075249D"/>
    <w:rsid w:val="00797611"/>
    <w:rsid w:val="00806D85"/>
    <w:rsid w:val="0085446D"/>
    <w:rsid w:val="008570B2"/>
    <w:rsid w:val="008607D9"/>
    <w:rsid w:val="00870EF6"/>
    <w:rsid w:val="00882FFC"/>
    <w:rsid w:val="00895276"/>
    <w:rsid w:val="008C416A"/>
    <w:rsid w:val="008E41E6"/>
    <w:rsid w:val="008E64B0"/>
    <w:rsid w:val="008F4AC8"/>
    <w:rsid w:val="008F6E42"/>
    <w:rsid w:val="00901CB2"/>
    <w:rsid w:val="00924088"/>
    <w:rsid w:val="0092538E"/>
    <w:rsid w:val="00935BA2"/>
    <w:rsid w:val="00937543"/>
    <w:rsid w:val="00981CE8"/>
    <w:rsid w:val="00983CF1"/>
    <w:rsid w:val="00992E53"/>
    <w:rsid w:val="009C051C"/>
    <w:rsid w:val="009C188F"/>
    <w:rsid w:val="009C4223"/>
    <w:rsid w:val="009E4E3B"/>
    <w:rsid w:val="009E79D3"/>
    <w:rsid w:val="009F67C9"/>
    <w:rsid w:val="00A25ADA"/>
    <w:rsid w:val="00A36016"/>
    <w:rsid w:val="00A43554"/>
    <w:rsid w:val="00A607C9"/>
    <w:rsid w:val="00A630AA"/>
    <w:rsid w:val="00A65C67"/>
    <w:rsid w:val="00A91D0C"/>
    <w:rsid w:val="00AB2A38"/>
    <w:rsid w:val="00AB514A"/>
    <w:rsid w:val="00AD3057"/>
    <w:rsid w:val="00AF2B5C"/>
    <w:rsid w:val="00B047D0"/>
    <w:rsid w:val="00B2121D"/>
    <w:rsid w:val="00B42854"/>
    <w:rsid w:val="00B71596"/>
    <w:rsid w:val="00B847A0"/>
    <w:rsid w:val="00B95FAA"/>
    <w:rsid w:val="00B95FBE"/>
    <w:rsid w:val="00B95FC7"/>
    <w:rsid w:val="00BA0CE6"/>
    <w:rsid w:val="00BC580A"/>
    <w:rsid w:val="00BE7C52"/>
    <w:rsid w:val="00C01E58"/>
    <w:rsid w:val="00C255AD"/>
    <w:rsid w:val="00C26308"/>
    <w:rsid w:val="00C66EB7"/>
    <w:rsid w:val="00C7147C"/>
    <w:rsid w:val="00C72F16"/>
    <w:rsid w:val="00C7307B"/>
    <w:rsid w:val="00C77519"/>
    <w:rsid w:val="00C8072F"/>
    <w:rsid w:val="00CA7FF9"/>
    <w:rsid w:val="00CB2DD9"/>
    <w:rsid w:val="00CE5742"/>
    <w:rsid w:val="00D13B11"/>
    <w:rsid w:val="00D42468"/>
    <w:rsid w:val="00D54D93"/>
    <w:rsid w:val="00D66385"/>
    <w:rsid w:val="00D7134E"/>
    <w:rsid w:val="00D96E24"/>
    <w:rsid w:val="00DB3C94"/>
    <w:rsid w:val="00DD547C"/>
    <w:rsid w:val="00DE173E"/>
    <w:rsid w:val="00DE6DE3"/>
    <w:rsid w:val="00E231C2"/>
    <w:rsid w:val="00E3133F"/>
    <w:rsid w:val="00E6755F"/>
    <w:rsid w:val="00EF7258"/>
    <w:rsid w:val="00F4340F"/>
    <w:rsid w:val="00F46506"/>
    <w:rsid w:val="00F50A74"/>
    <w:rsid w:val="00F53618"/>
    <w:rsid w:val="00F87B01"/>
    <w:rsid w:val="00F90195"/>
    <w:rsid w:val="00F92EDA"/>
    <w:rsid w:val="00F93CEA"/>
    <w:rsid w:val="00FB7CBA"/>
    <w:rsid w:val="00FC7AC3"/>
    <w:rsid w:val="00FF53CD"/>
    <w:rsid w:val="0131176A"/>
    <w:rsid w:val="01505F15"/>
    <w:rsid w:val="02897931"/>
    <w:rsid w:val="02F079B0"/>
    <w:rsid w:val="03FF6BB4"/>
    <w:rsid w:val="04011D9C"/>
    <w:rsid w:val="04B073F7"/>
    <w:rsid w:val="04E86B91"/>
    <w:rsid w:val="06AE5BB8"/>
    <w:rsid w:val="07375BAD"/>
    <w:rsid w:val="07C02047"/>
    <w:rsid w:val="08F57ACE"/>
    <w:rsid w:val="09F63AFE"/>
    <w:rsid w:val="0F435158"/>
    <w:rsid w:val="10B95885"/>
    <w:rsid w:val="1122342A"/>
    <w:rsid w:val="11B85B3D"/>
    <w:rsid w:val="12575356"/>
    <w:rsid w:val="12E0534B"/>
    <w:rsid w:val="1300779B"/>
    <w:rsid w:val="138E4DA7"/>
    <w:rsid w:val="14D0319D"/>
    <w:rsid w:val="15793835"/>
    <w:rsid w:val="17872239"/>
    <w:rsid w:val="179761F4"/>
    <w:rsid w:val="18B0286F"/>
    <w:rsid w:val="1AD5150D"/>
    <w:rsid w:val="1C3404B6"/>
    <w:rsid w:val="1D085BCA"/>
    <w:rsid w:val="1D335784"/>
    <w:rsid w:val="1F334A54"/>
    <w:rsid w:val="1F973235"/>
    <w:rsid w:val="208C266E"/>
    <w:rsid w:val="2096173F"/>
    <w:rsid w:val="211C60E8"/>
    <w:rsid w:val="22E449E3"/>
    <w:rsid w:val="240370EB"/>
    <w:rsid w:val="243820D7"/>
    <w:rsid w:val="26A30712"/>
    <w:rsid w:val="27570D86"/>
    <w:rsid w:val="27DD7C53"/>
    <w:rsid w:val="2C7A1F15"/>
    <w:rsid w:val="2E6F53B4"/>
    <w:rsid w:val="2F4A3E20"/>
    <w:rsid w:val="311F12DD"/>
    <w:rsid w:val="32204C57"/>
    <w:rsid w:val="332B3F69"/>
    <w:rsid w:val="33812C35"/>
    <w:rsid w:val="39C84E23"/>
    <w:rsid w:val="3B183024"/>
    <w:rsid w:val="3B381919"/>
    <w:rsid w:val="3F4D5267"/>
    <w:rsid w:val="3F5B5BD6"/>
    <w:rsid w:val="3FEE6A4A"/>
    <w:rsid w:val="40297A82"/>
    <w:rsid w:val="41731397"/>
    <w:rsid w:val="41D13F2D"/>
    <w:rsid w:val="42941C3E"/>
    <w:rsid w:val="43183E34"/>
    <w:rsid w:val="49E35145"/>
    <w:rsid w:val="4BC15012"/>
    <w:rsid w:val="4C0373D9"/>
    <w:rsid w:val="4C7C718B"/>
    <w:rsid w:val="4E513D1D"/>
    <w:rsid w:val="4F6208BA"/>
    <w:rsid w:val="500905A7"/>
    <w:rsid w:val="51D6733E"/>
    <w:rsid w:val="51FC6DA4"/>
    <w:rsid w:val="5ABA77FD"/>
    <w:rsid w:val="5CD66444"/>
    <w:rsid w:val="620B6B90"/>
    <w:rsid w:val="62CA07F9"/>
    <w:rsid w:val="63D27965"/>
    <w:rsid w:val="65271F32"/>
    <w:rsid w:val="65444892"/>
    <w:rsid w:val="657D1B52"/>
    <w:rsid w:val="69C4048A"/>
    <w:rsid w:val="6A505A87"/>
    <w:rsid w:val="6C2C6080"/>
    <w:rsid w:val="6D855A48"/>
    <w:rsid w:val="6E970B65"/>
    <w:rsid w:val="6F5367B4"/>
    <w:rsid w:val="6F571666"/>
    <w:rsid w:val="6FFE1AE2"/>
    <w:rsid w:val="708244C1"/>
    <w:rsid w:val="717608FC"/>
    <w:rsid w:val="72442376"/>
    <w:rsid w:val="736600CA"/>
    <w:rsid w:val="73DE5EB2"/>
    <w:rsid w:val="745B5755"/>
    <w:rsid w:val="749604AB"/>
    <w:rsid w:val="751D0C5C"/>
    <w:rsid w:val="767638C9"/>
    <w:rsid w:val="76766876"/>
    <w:rsid w:val="77C3377A"/>
    <w:rsid w:val="77D5581E"/>
    <w:rsid w:val="78C64775"/>
    <w:rsid w:val="7A262361"/>
    <w:rsid w:val="7B6C163A"/>
    <w:rsid w:val="7B915F00"/>
    <w:rsid w:val="7B9B0B2D"/>
    <w:rsid w:val="7C2F7BF3"/>
    <w:rsid w:val="7CAB2FF1"/>
    <w:rsid w:val="7CC04CEF"/>
    <w:rsid w:val="7DA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Default"/>
    <w:link w:val="1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character" w:customStyle="1" w:styleId="11">
    <w:name w:val="Default Char"/>
    <w:basedOn w:val="6"/>
    <w:link w:val="10"/>
    <w:qFormat/>
    <w:uiPriority w:val="0"/>
    <w:rPr>
      <w:rFonts w:eastAsiaTheme="minorEastAsia"/>
      <w:color w:val="000000"/>
      <w:sz w:val="24"/>
      <w:szCs w:val="24"/>
    </w:rPr>
  </w:style>
  <w:style w:type="paragraph" w:customStyle="1" w:styleId="12">
    <w:name w:val="TableTitle"/>
    <w:basedOn w:val="1"/>
    <w:qFormat/>
    <w:uiPriority w:val="0"/>
    <w:pPr>
      <w:widowControl/>
      <w:spacing w:line="300" w:lineRule="exact"/>
      <w:jc w:val="left"/>
    </w:pPr>
    <w:rPr>
      <w:rFonts w:ascii="Times New Roman" w:hAnsi="Times New Roman" w:eastAsia="等线" w:cs="Times New Roman"/>
      <w:kern w:val="0"/>
      <w:sz w:val="24"/>
      <w:szCs w:val="20"/>
      <w:lang w:val="en-GB" w:eastAsia="en-US"/>
    </w:rPr>
  </w:style>
  <w:style w:type="paragraph" w:customStyle="1" w:styleId="13">
    <w:name w:val="TableHeader"/>
    <w:basedOn w:val="1"/>
    <w:qFormat/>
    <w:uiPriority w:val="0"/>
    <w:pPr>
      <w:widowControl/>
      <w:spacing w:before="120"/>
      <w:jc w:val="left"/>
    </w:pPr>
    <w:rPr>
      <w:rFonts w:ascii="Times New Roman" w:hAnsi="Times New Roman" w:eastAsia="等线" w:cs="Times New Roman"/>
      <w:b/>
      <w:kern w:val="0"/>
      <w:sz w:val="24"/>
      <w:szCs w:val="20"/>
      <w:lang w:val="en-GB" w:eastAsia="en-US"/>
    </w:rPr>
  </w:style>
  <w:style w:type="paragraph" w:customStyle="1" w:styleId="14">
    <w:name w:val="TableSubHead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1132</Words>
  <Characters>6378</Characters>
  <Lines>546</Lines>
  <Paragraphs>386</Paragraphs>
  <TotalTime>20</TotalTime>
  <ScaleCrop>false</ScaleCrop>
  <LinksUpToDate>false</LinksUpToDate>
  <CharactersWithSpaces>7190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2025-06-04T05:30:00Z</dcterms:created>
  <dc:creator>22100</dc:creator>
  <cp:lastModifiedBy>王怡青</cp:lastModifiedBy>
  <dcterms:modified xsi:type="dcterms:W3CDTF">2025-08-11T01:42:37Z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6169492F3BEC4E7EAF6BB5830A1F2445_12</vt:lpwstr>
  </property>
  <property fmtid="{D5CDD505-2E9C-101B-9397-08002B2CF9AE}" pid="4" name="KSOTemplateDocerSaveRecord">
    <vt:lpwstr>eyJoZGlkIjoiN2FlN2I5ZTQ2M2IxNTdkNWQwMzQyNGRhMzdjYjQ4NGIiLCJ1c2VySWQiOiIyMzg3Mzk0MjkifQ==</vt:lpwstr>
  </property>
</Properties>
</file>