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FD6D4" w14:textId="2FECA3DF" w:rsidR="00503D48" w:rsidRPr="00503D48" w:rsidRDefault="00503D48" w:rsidP="00503D4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3D48">
        <w:rPr>
          <w:rFonts w:asciiTheme="majorBidi" w:hAnsiTheme="majorBidi" w:cstheme="majorBidi"/>
          <w:sz w:val="24"/>
          <w:szCs w:val="24"/>
        </w:rPr>
        <w:t xml:space="preserve">This study introduces a novel electroactive biomaterial strategy that meaningfully advances the field of ovarian tissue engineering by </w:t>
      </w:r>
      <w:r w:rsidRPr="00503D48">
        <w:rPr>
          <w:rFonts w:asciiTheme="majorBidi" w:hAnsiTheme="majorBidi" w:cstheme="majorBidi"/>
          <w:sz w:val="24"/>
          <w:szCs w:val="24"/>
        </w:rPr>
        <w:t xml:space="preserve">integrating </w:t>
      </w:r>
      <w:r>
        <w:rPr>
          <w:rFonts w:asciiTheme="majorBidi" w:hAnsiTheme="majorBidi" w:cstheme="majorBidi"/>
          <w:sz w:val="24"/>
          <w:szCs w:val="24"/>
        </w:rPr>
        <w:t>conductive</w:t>
      </w:r>
      <w:r w:rsidRPr="00503D48">
        <w:rPr>
          <w:rFonts w:asciiTheme="majorBidi" w:hAnsiTheme="majorBidi" w:cstheme="majorBidi"/>
          <w:sz w:val="24"/>
          <w:szCs w:val="24"/>
        </w:rPr>
        <w:t xml:space="preserve"> scaffold design with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3D48">
        <w:rPr>
          <w:rFonts w:asciiTheme="majorBidi" w:hAnsiTheme="majorBidi" w:cstheme="majorBidi"/>
          <w:sz w:val="24"/>
          <w:szCs w:val="24"/>
        </w:rPr>
        <w:t>physiologically relevant electrical stimulation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3D48">
        <w:rPr>
          <w:rFonts w:asciiTheme="majorBidi" w:hAnsiTheme="majorBidi" w:cstheme="majorBidi"/>
          <w:sz w:val="24"/>
          <w:szCs w:val="24"/>
        </w:rPr>
        <w:t xml:space="preserve">a combination not previously explored in human ovarian cortex culture. While 3D hydrogel systems (e.g., alginate, fibrin, Matrigel) have improved follicle survival over 2D platforms, and decellularized scaffolds or fragment-based cultures better preserve stromal context, none have incorporated bioelectrical cues to actively modulate stromal behavior and follicular progression in a controlled, biomimetic manner. Our </w:t>
      </w:r>
      <w:proofErr w:type="spellStart"/>
      <w:r w:rsidRPr="00503D48">
        <w:rPr>
          <w:rFonts w:asciiTheme="majorBidi" w:hAnsiTheme="majorBidi" w:cstheme="majorBidi"/>
          <w:sz w:val="24"/>
          <w:szCs w:val="24"/>
        </w:rPr>
        <w:t>PPy</w:t>
      </w:r>
      <w:proofErr w:type="spellEnd"/>
      <w:r w:rsidRPr="00503D48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03D48">
        <w:rPr>
          <w:rFonts w:asciiTheme="majorBidi" w:hAnsiTheme="majorBidi" w:cstheme="majorBidi"/>
          <w:sz w:val="24"/>
          <w:szCs w:val="24"/>
        </w:rPr>
        <w:t>Alg</w:t>
      </w:r>
      <w:proofErr w:type="spellEnd"/>
      <w:r w:rsidRPr="00503D48">
        <w:rPr>
          <w:rFonts w:asciiTheme="majorBidi" w:hAnsiTheme="majorBidi" w:cstheme="majorBidi"/>
          <w:sz w:val="24"/>
          <w:szCs w:val="24"/>
        </w:rPr>
        <w:t xml:space="preserve">–CMC hybrid scaffold bridges this gap by providing not only structural and mechanical support but also dynamic </w:t>
      </w:r>
      <w:r w:rsidRPr="00503D48">
        <w:rPr>
          <w:rFonts w:asciiTheme="majorBidi" w:hAnsiTheme="majorBidi" w:cstheme="majorBidi"/>
          <w:sz w:val="24"/>
          <w:szCs w:val="24"/>
        </w:rPr>
        <w:t xml:space="preserve">electroconductivity </w:t>
      </w:r>
      <w:r>
        <w:rPr>
          <w:rFonts w:asciiTheme="majorBidi" w:hAnsiTheme="majorBidi" w:cstheme="majorBidi"/>
          <w:sz w:val="24"/>
          <w:szCs w:val="24"/>
        </w:rPr>
        <w:t>enabling</w:t>
      </w:r>
      <w:r w:rsidRPr="00503D48">
        <w:rPr>
          <w:rFonts w:asciiTheme="majorBidi" w:hAnsiTheme="majorBidi" w:cstheme="majorBidi"/>
          <w:sz w:val="24"/>
          <w:szCs w:val="24"/>
        </w:rPr>
        <w:t xml:space="preserve"> precise delivery of low-voltage stimulation that mimics endogenous bioelectric signaling in ovarian tissue.</w:t>
      </w:r>
    </w:p>
    <w:p w14:paraId="0BF38874" w14:textId="4A4AA0CB" w:rsidR="00503D48" w:rsidRPr="00503D48" w:rsidRDefault="00503D48" w:rsidP="00503D4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3D48">
        <w:rPr>
          <w:rFonts w:asciiTheme="majorBidi" w:hAnsiTheme="majorBidi" w:cstheme="majorBidi"/>
          <w:sz w:val="24"/>
          <w:szCs w:val="24"/>
        </w:rPr>
        <w:t>The novelty lies not only in the material itself but in its functional synergy: the scaffold’s conductivity enables targeted activation of stromal cells toward a pro-regenerative, α-SMA</w:t>
      </w:r>
      <w:r w:rsidRPr="00503D48">
        <w:rPr>
          <w:rFonts w:ascii="Cambria Math" w:hAnsi="Cambria Math" w:cs="Cambria Math"/>
          <w:sz w:val="24"/>
          <w:szCs w:val="24"/>
        </w:rPr>
        <w:t>⁺</w:t>
      </w:r>
      <w:r w:rsidRPr="00503D48">
        <w:rPr>
          <w:rFonts w:asciiTheme="majorBidi" w:hAnsiTheme="majorBidi" w:cstheme="majorBidi"/>
          <w:sz w:val="24"/>
          <w:szCs w:val="24"/>
        </w:rPr>
        <w:t xml:space="preserve"> phenotype </w:t>
      </w:r>
      <w:r w:rsidRPr="00503D48">
        <w:rPr>
          <w:rFonts w:ascii="Times New Roman" w:hAnsi="Times New Roman" w:cs="Times New Roman"/>
          <w:sz w:val="24"/>
          <w:szCs w:val="24"/>
        </w:rPr>
        <w:t>—</w:t>
      </w:r>
      <w:r w:rsidRPr="00503D48">
        <w:rPr>
          <w:rFonts w:asciiTheme="majorBidi" w:hAnsiTheme="majorBidi" w:cstheme="majorBidi"/>
          <w:sz w:val="24"/>
          <w:szCs w:val="24"/>
        </w:rPr>
        <w:t xml:space="preserve">and ECM remodeling </w:t>
      </w:r>
      <w:r w:rsidRPr="00503D48">
        <w:rPr>
          <w:rFonts w:ascii="Times New Roman" w:hAnsi="Times New Roman" w:cs="Times New Roman"/>
          <w:sz w:val="24"/>
          <w:szCs w:val="24"/>
        </w:rPr>
        <w:t>—</w:t>
      </w:r>
      <w:r w:rsidRPr="00503D48">
        <w:rPr>
          <w:rFonts w:asciiTheme="majorBidi" w:hAnsiTheme="majorBidi" w:cstheme="majorBidi"/>
          <w:sz w:val="24"/>
          <w:szCs w:val="24"/>
        </w:rPr>
        <w:t xml:space="preserve"> while simultaneously promoting granulosa and follicular proliferation (Ki-67</w:t>
      </w:r>
      <w:r w:rsidRPr="00503D48">
        <w:rPr>
          <w:rFonts w:ascii="Cambria Math" w:hAnsi="Cambria Math" w:cs="Cambria Math"/>
          <w:sz w:val="24"/>
          <w:szCs w:val="24"/>
        </w:rPr>
        <w:t>⁺</w:t>
      </w:r>
      <w:r w:rsidRPr="00503D48">
        <w:rPr>
          <w:rFonts w:asciiTheme="majorBidi" w:hAnsiTheme="majorBidi" w:cstheme="majorBidi"/>
          <w:sz w:val="24"/>
          <w:szCs w:val="24"/>
        </w:rPr>
        <w:t>) without inducing stress (p53</w:t>
      </w:r>
      <w:r w:rsidRPr="00503D48">
        <w:rPr>
          <w:rFonts w:ascii="Cambria Math" w:hAnsi="Cambria Math" w:cs="Cambria Math"/>
          <w:sz w:val="24"/>
          <w:szCs w:val="24"/>
        </w:rPr>
        <w:t>⁻</w:t>
      </w:r>
      <w:r w:rsidRPr="00503D48">
        <w:rPr>
          <w:rFonts w:asciiTheme="majorBidi" w:hAnsiTheme="majorBidi" w:cstheme="majorBidi"/>
          <w:sz w:val="24"/>
          <w:szCs w:val="24"/>
        </w:rPr>
        <w:t xml:space="preserve">). This dual action </w:t>
      </w:r>
      <w:r w:rsidRPr="00503D48">
        <w:rPr>
          <w:rFonts w:ascii="Times New Roman" w:hAnsi="Times New Roman" w:cs="Times New Roman"/>
          <w:sz w:val="24"/>
          <w:szCs w:val="24"/>
        </w:rPr>
        <w:t>—</w:t>
      </w:r>
      <w:r w:rsidRPr="00503D48">
        <w:rPr>
          <w:rFonts w:asciiTheme="majorBidi" w:hAnsiTheme="majorBidi" w:cstheme="majorBidi"/>
          <w:sz w:val="24"/>
          <w:szCs w:val="24"/>
        </w:rPr>
        <w:t xml:space="preserve"> structural preservation + bioelectrical activation </w:t>
      </w:r>
      <w:r w:rsidRPr="00503D48">
        <w:rPr>
          <w:rFonts w:ascii="Times New Roman" w:hAnsi="Times New Roman" w:cs="Times New Roman"/>
          <w:sz w:val="24"/>
          <w:szCs w:val="24"/>
        </w:rPr>
        <w:t>—</w:t>
      </w:r>
      <w:r w:rsidRPr="00503D48">
        <w:rPr>
          <w:rFonts w:asciiTheme="majorBidi" w:hAnsiTheme="majorBidi" w:cstheme="majorBidi"/>
          <w:sz w:val="24"/>
          <w:szCs w:val="24"/>
        </w:rPr>
        <w:t xml:space="preserve"> creates a self-reinforcing niche that supports primordial-to-preantral follicle transition, a critical bottleneck in current in vitro systems.</w:t>
      </w:r>
    </w:p>
    <w:p w14:paraId="18C67B25" w14:textId="77777777" w:rsidR="00503D48" w:rsidRPr="00503D48" w:rsidRDefault="00503D48" w:rsidP="00503D4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3D48">
        <w:rPr>
          <w:rFonts w:asciiTheme="majorBidi" w:hAnsiTheme="majorBidi" w:cstheme="majorBidi"/>
          <w:sz w:val="24"/>
          <w:szCs w:val="24"/>
        </w:rPr>
        <w:t>Compared to existing platforms:</w:t>
      </w:r>
    </w:p>
    <w:p w14:paraId="116F0C57" w14:textId="670063E7" w:rsidR="00503D48" w:rsidRPr="00503D48" w:rsidRDefault="00503D48" w:rsidP="00503D4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3D48">
        <w:rPr>
          <w:rFonts w:asciiTheme="majorBidi" w:hAnsiTheme="majorBidi" w:cstheme="majorBidi"/>
          <w:sz w:val="24"/>
          <w:szCs w:val="24"/>
        </w:rPr>
        <w:t>- Isolated follicle encapsulation (e.g., alginate beads): Allows follicle growth but severs stromal-paracrine networks, limiting long-term viability and developmental competence.</w:t>
      </w:r>
    </w:p>
    <w:p w14:paraId="2EEFAB97" w14:textId="3B3062CA" w:rsidR="00503D48" w:rsidRPr="00503D48" w:rsidRDefault="00503D48" w:rsidP="00503D4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3D48">
        <w:rPr>
          <w:rFonts w:asciiTheme="majorBidi" w:hAnsiTheme="majorBidi" w:cstheme="majorBidi"/>
          <w:sz w:val="24"/>
          <w:szCs w:val="24"/>
        </w:rPr>
        <w:t>- Fragment culture in passive hydrogels: Maintains tissue context but offers no active stimulation to drive stromal reorganization or accelerate follicle activation.</w:t>
      </w:r>
    </w:p>
    <w:p w14:paraId="18F55179" w14:textId="09896A10" w:rsidR="00503D48" w:rsidRPr="00503D48" w:rsidRDefault="00503D48" w:rsidP="00503D4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3D48">
        <w:rPr>
          <w:rFonts w:asciiTheme="majorBidi" w:hAnsiTheme="majorBidi" w:cstheme="majorBidi"/>
          <w:sz w:val="24"/>
          <w:szCs w:val="24"/>
        </w:rPr>
        <w:t xml:space="preserve">Our system uniquely combines architectural </w:t>
      </w:r>
      <w:r w:rsidRPr="00503D48">
        <w:rPr>
          <w:rFonts w:asciiTheme="majorBidi" w:hAnsiTheme="majorBidi" w:cstheme="majorBidi"/>
          <w:sz w:val="24"/>
          <w:szCs w:val="24"/>
        </w:rPr>
        <w:t>fidelity</w:t>
      </w:r>
      <w:r>
        <w:rPr>
          <w:rFonts w:asciiTheme="majorBidi" w:hAnsiTheme="majorBidi" w:cstheme="majorBidi"/>
          <w:sz w:val="24"/>
          <w:szCs w:val="24"/>
        </w:rPr>
        <w:t>,</w:t>
      </w:r>
      <w:r w:rsidRPr="00503D48">
        <w:rPr>
          <w:rFonts w:asciiTheme="majorBidi" w:hAnsiTheme="majorBidi" w:cstheme="majorBidi"/>
          <w:sz w:val="24"/>
          <w:szCs w:val="24"/>
        </w:rPr>
        <w:t xml:space="preserve"> electroactive</w:t>
      </w:r>
      <w:bookmarkStart w:id="0" w:name="_GoBack"/>
      <w:bookmarkEnd w:id="0"/>
      <w:r w:rsidRPr="00503D48">
        <w:rPr>
          <w:rFonts w:asciiTheme="majorBidi" w:hAnsiTheme="majorBidi" w:cstheme="majorBidi"/>
          <w:sz w:val="24"/>
          <w:szCs w:val="24"/>
        </w:rPr>
        <w:t xml:space="preserve"> tunability, and biological responsiveness — features essential for clinical translation. The absence of fibrosis, apoptosis, or cytotoxicity under stimulation further underscores its safety profile for human tissue applications.</w:t>
      </w:r>
    </w:p>
    <w:p w14:paraId="1643431C" w14:textId="77777777" w:rsidR="00503D48" w:rsidRPr="00503D48" w:rsidRDefault="00503D48" w:rsidP="00503D4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3D48">
        <w:rPr>
          <w:rFonts w:asciiTheme="majorBidi" w:hAnsiTheme="majorBidi" w:cstheme="majorBidi"/>
          <w:sz w:val="24"/>
          <w:szCs w:val="24"/>
        </w:rPr>
        <w:t>Looking ahead, key challenges include scaling up culture duration to support antral follicle development, integrating real-time monitoring of electrical and metabolic responses, and validating oocyte competence post-maturation. Future work should also compare this platform head-to-head with leading clinical-grade systems (e.g., fibrin-alginate composites, dynamic perfusion bioreactors) to quantify gains in follicle yield, hormone output, and epigenetic stability.</w:t>
      </w:r>
    </w:p>
    <w:p w14:paraId="75750CF8" w14:textId="4CD35C63" w:rsidR="00A417DA" w:rsidRPr="00A417DA" w:rsidRDefault="00503D48" w:rsidP="00503D48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3D48">
        <w:rPr>
          <w:rFonts w:asciiTheme="majorBidi" w:hAnsiTheme="majorBidi" w:cstheme="majorBidi"/>
          <w:sz w:val="24"/>
          <w:szCs w:val="24"/>
        </w:rPr>
        <w:lastRenderedPageBreak/>
        <w:t>Ultimately, this research lays the foundation for a next-generation fertility preservation platform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03D48">
        <w:rPr>
          <w:rFonts w:asciiTheme="majorBidi" w:hAnsiTheme="majorBidi" w:cstheme="majorBidi"/>
          <w:sz w:val="24"/>
          <w:szCs w:val="24"/>
        </w:rPr>
        <w:t>one that doesn’t just maintain ovarian tissue, but actively engineers its microenvironment to enhance regenerative potential. For pediatric cancer patients and women facing premature ovarian failure, such a system could transform in vitro culture from a passive holding strategy into an active developmental accelerator bringing us closer to reliable, clinically viable restoration of fertility.</w:t>
      </w:r>
    </w:p>
    <w:p w14:paraId="267F7A76" w14:textId="77777777" w:rsidR="00A417DA" w:rsidRPr="00A417DA" w:rsidRDefault="00A417DA" w:rsidP="00A417D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56A29AF" w14:textId="78FA0C68" w:rsidR="00A417DA" w:rsidRPr="00A417DA" w:rsidRDefault="00A417DA" w:rsidP="00A417D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DDECE3D" w14:textId="2ECAACF2" w:rsidR="00A417DA" w:rsidRPr="00A417DA" w:rsidRDefault="00A417DA" w:rsidP="00A417D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417DA" w:rsidRPr="00A41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DA"/>
    <w:rsid w:val="00503D48"/>
    <w:rsid w:val="00A4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C6F9F"/>
  <w15:chartTrackingRefBased/>
  <w15:docId w15:val="{2648BB1A-4AF0-4180-9ED4-6F55B867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</dc:creator>
  <cp:keywords/>
  <dc:description/>
  <cp:lastModifiedBy>NCS</cp:lastModifiedBy>
  <cp:revision>1</cp:revision>
  <dcterms:created xsi:type="dcterms:W3CDTF">2025-09-08T06:48:00Z</dcterms:created>
  <dcterms:modified xsi:type="dcterms:W3CDTF">2025-09-08T07:06:00Z</dcterms:modified>
</cp:coreProperties>
</file>