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8522"/>
      </w:tblGrid>
      <w:tr w:rsidR="00ED79C7" w:rsidRPr="00ED79C7" w14:paraId="4002319D" w14:textId="77777777">
        <w:tc>
          <w:tcPr>
            <w:tcW w:w="8522" w:type="dxa"/>
            <w:tcBorders>
              <w:top w:val="nil"/>
              <w:left w:val="nil"/>
              <w:bottom w:val="nil"/>
              <w:right w:val="nil"/>
            </w:tcBorders>
            <w:hideMark/>
          </w:tcPr>
          <w:p w14:paraId="7763856A" w14:textId="49C1964B" w:rsidR="00ED79C7" w:rsidRPr="00ED79C7" w:rsidRDefault="00ED79C7" w:rsidP="00ED79C7">
            <w:pPr>
              <w:spacing w:after="160" w:line="278" w:lineRule="auto"/>
              <w:rPr>
                <w:lang w:val="en-US"/>
              </w:rPr>
            </w:pPr>
          </w:p>
        </w:tc>
      </w:tr>
    </w:tbl>
    <w:p w14:paraId="2F36227D" w14:textId="77777777" w:rsidR="00ED79C7" w:rsidRPr="00ED79C7" w:rsidRDefault="00ED79C7" w:rsidP="00ED79C7">
      <w:pPr>
        <w:rPr>
          <w:lang w:val="en-US"/>
        </w:rPr>
      </w:pPr>
    </w:p>
    <w:tbl>
      <w:tblPr>
        <w:tblStyle w:val="TableGrid"/>
        <w:tblW w:w="0" w:type="auto"/>
        <w:tblLook w:val="04A0" w:firstRow="1" w:lastRow="0" w:firstColumn="1" w:lastColumn="0" w:noHBand="0" w:noVBand="1"/>
      </w:tblPr>
      <w:tblGrid>
        <w:gridCol w:w="8526"/>
      </w:tblGrid>
      <w:tr w:rsidR="00ED79C7" w:rsidRPr="00ED79C7" w14:paraId="078E125F" w14:textId="77777777">
        <w:tc>
          <w:tcPr>
            <w:tcW w:w="8522" w:type="dxa"/>
            <w:tcBorders>
              <w:top w:val="nil"/>
              <w:left w:val="nil"/>
              <w:bottom w:val="nil"/>
              <w:right w:val="nil"/>
            </w:tcBorders>
            <w:hideMark/>
          </w:tcPr>
          <w:p w14:paraId="4AD5CFB4" w14:textId="3009D001" w:rsidR="00ED79C7" w:rsidRPr="00ED79C7" w:rsidRDefault="00ED79C7" w:rsidP="00ED79C7">
            <w:pPr>
              <w:spacing w:after="160" w:line="278" w:lineRule="auto"/>
              <w:rPr>
                <w:lang w:val="en-US"/>
              </w:rPr>
            </w:pPr>
            <w:r w:rsidRPr="00ED79C7">
              <w:rPr>
                <w:lang w:val="en-US"/>
              </w:rPr>
              <w:drawing>
                <wp:inline distT="0" distB="0" distL="0" distR="0" wp14:anchorId="0E34CB5C" wp14:editId="38F1073E">
                  <wp:extent cx="5270500" cy="4546600"/>
                  <wp:effectExtent l="0" t="0" r="6350" b="6350"/>
                  <wp:docPr id="18100630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0500" cy="4546600"/>
                          </a:xfrm>
                          <a:prstGeom prst="rect">
                            <a:avLst/>
                          </a:prstGeom>
                          <a:noFill/>
                          <a:ln>
                            <a:noFill/>
                          </a:ln>
                        </pic:spPr>
                      </pic:pic>
                    </a:graphicData>
                  </a:graphic>
                </wp:inline>
              </w:drawing>
            </w:r>
          </w:p>
        </w:tc>
      </w:tr>
      <w:tr w:rsidR="00ED79C7" w:rsidRPr="00ED79C7" w14:paraId="3485027D" w14:textId="77777777">
        <w:tc>
          <w:tcPr>
            <w:tcW w:w="8522" w:type="dxa"/>
            <w:tcBorders>
              <w:top w:val="nil"/>
              <w:left w:val="nil"/>
              <w:bottom w:val="nil"/>
              <w:right w:val="nil"/>
            </w:tcBorders>
            <w:hideMark/>
          </w:tcPr>
          <w:p w14:paraId="70638227" w14:textId="77777777" w:rsidR="00ED79C7" w:rsidRPr="00ED79C7" w:rsidRDefault="00ED79C7" w:rsidP="00ED79C7">
            <w:pPr>
              <w:spacing w:after="160" w:line="278" w:lineRule="auto"/>
              <w:rPr>
                <w:lang w:val="en-US"/>
              </w:rPr>
            </w:pPr>
            <w:r w:rsidRPr="00ED79C7">
              <w:rPr>
                <w:b/>
                <w:bCs/>
                <w:lang w:val="en-US"/>
              </w:rPr>
              <w:t xml:space="preserve">Supplementary figure 1. Reflecting the data processing and quality control process. (A </w:t>
            </w:r>
            <w:r w:rsidRPr="00ED79C7">
              <w:rPr>
                <w:lang w:val="en-US"/>
              </w:rPr>
              <w:t xml:space="preserve">and </w:t>
            </w:r>
            <w:r w:rsidRPr="00ED79C7">
              <w:rPr>
                <w:b/>
                <w:bCs/>
                <w:lang w:val="en-US"/>
              </w:rPr>
              <w:t xml:space="preserve">B) </w:t>
            </w:r>
            <w:r w:rsidRPr="00ED79C7">
              <w:rPr>
                <w:lang w:val="en-US"/>
              </w:rPr>
              <w:t xml:space="preserve">Violin plots illustrating the number of detected features, total RNA counts and mitochondrial gene percentages in condylar samples from the NC and OA groups, compared before (A) and after (B) quality control. </w:t>
            </w:r>
            <w:r w:rsidRPr="00ED79C7">
              <w:rPr>
                <w:b/>
                <w:bCs/>
                <w:lang w:val="en-US"/>
              </w:rPr>
              <w:t xml:space="preserve">(C) </w:t>
            </w:r>
            <w:r w:rsidRPr="00ED79C7">
              <w:rPr>
                <w:lang w:val="en-US"/>
              </w:rPr>
              <w:t xml:space="preserve">Mean-variance plot showing selection of highly variable genes (HVGs), with 2,000 genes (in red) exhibiting high standardized variance across cells. </w:t>
            </w:r>
            <w:r w:rsidRPr="00ED79C7">
              <w:rPr>
                <w:b/>
                <w:bCs/>
                <w:lang w:val="en-US"/>
              </w:rPr>
              <w:t xml:space="preserve">(D) </w:t>
            </w:r>
            <w:r w:rsidRPr="00ED79C7">
              <w:rPr>
                <w:lang w:val="en-US"/>
              </w:rPr>
              <w:t xml:space="preserve">PCA plot showing the distribution of cells from the NC and OA groups along the PC1 and PC2 dimensions. </w:t>
            </w:r>
            <w:r w:rsidRPr="00ED79C7">
              <w:rPr>
                <w:b/>
                <w:bCs/>
                <w:lang w:val="en-US"/>
              </w:rPr>
              <w:t xml:space="preserve">(E) </w:t>
            </w:r>
            <w:r w:rsidRPr="00ED79C7">
              <w:rPr>
                <w:lang w:val="en-US"/>
              </w:rPr>
              <w:t xml:space="preserve">The elbow plot shows that the first 30 principal components account for the majority of variance, with a plateau observed thereafter. </w:t>
            </w:r>
            <w:r w:rsidRPr="00ED79C7">
              <w:rPr>
                <w:b/>
                <w:bCs/>
                <w:lang w:val="en-US"/>
              </w:rPr>
              <w:t xml:space="preserve">(F) </w:t>
            </w:r>
            <w:proofErr w:type="spellStart"/>
            <w:r w:rsidRPr="00ED79C7">
              <w:rPr>
                <w:lang w:val="en-US"/>
              </w:rPr>
              <w:t>JackStraw</w:t>
            </w:r>
            <w:proofErr w:type="spellEnd"/>
            <w:r w:rsidRPr="00ED79C7">
              <w:rPr>
                <w:lang w:val="en-US"/>
              </w:rPr>
              <w:t xml:space="preserve"> analysis revealed that the first 30 principal components exhibit significantly lower p-values, indicating strong biological relevance.</w:t>
            </w:r>
          </w:p>
        </w:tc>
      </w:tr>
    </w:tbl>
    <w:p w14:paraId="6DBD33AC" w14:textId="77777777" w:rsidR="00ED79C7" w:rsidRPr="00ED79C7" w:rsidRDefault="00ED79C7" w:rsidP="00ED79C7">
      <w:pPr>
        <w:rPr>
          <w:lang w:val="en-US"/>
        </w:rPr>
      </w:pPr>
    </w:p>
    <w:tbl>
      <w:tblPr>
        <w:tblStyle w:val="TableGrid"/>
        <w:tblW w:w="0" w:type="auto"/>
        <w:tblLook w:val="04A0" w:firstRow="1" w:lastRow="0" w:firstColumn="1" w:lastColumn="0" w:noHBand="0" w:noVBand="1"/>
      </w:tblPr>
      <w:tblGrid>
        <w:gridCol w:w="8522"/>
      </w:tblGrid>
      <w:tr w:rsidR="00ED79C7" w:rsidRPr="00ED79C7" w14:paraId="1E81CE83" w14:textId="77777777">
        <w:tc>
          <w:tcPr>
            <w:tcW w:w="8522" w:type="dxa"/>
            <w:tcBorders>
              <w:top w:val="nil"/>
              <w:left w:val="nil"/>
              <w:bottom w:val="nil"/>
              <w:right w:val="nil"/>
            </w:tcBorders>
            <w:hideMark/>
          </w:tcPr>
          <w:p w14:paraId="0E744B84" w14:textId="0F1DB1D4" w:rsidR="00ED79C7" w:rsidRPr="00ED79C7" w:rsidRDefault="00ED79C7" w:rsidP="00ED79C7">
            <w:pPr>
              <w:spacing w:after="160" w:line="278" w:lineRule="auto"/>
              <w:rPr>
                <w:lang w:val="en-US"/>
              </w:rPr>
            </w:pPr>
            <w:r w:rsidRPr="00ED79C7">
              <w:rPr>
                <w:lang w:val="en-US"/>
              </w:rPr>
              <w:lastRenderedPageBreak/>
              <w:drawing>
                <wp:inline distT="0" distB="0" distL="0" distR="0" wp14:anchorId="1A6A3442" wp14:editId="1177B896">
                  <wp:extent cx="4984750" cy="8858250"/>
                  <wp:effectExtent l="0" t="0" r="6350" b="0"/>
                  <wp:docPr id="2011903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84750" cy="8858250"/>
                          </a:xfrm>
                          <a:prstGeom prst="rect">
                            <a:avLst/>
                          </a:prstGeom>
                          <a:noFill/>
                          <a:ln>
                            <a:noFill/>
                          </a:ln>
                        </pic:spPr>
                      </pic:pic>
                    </a:graphicData>
                  </a:graphic>
                </wp:inline>
              </w:drawing>
            </w:r>
          </w:p>
        </w:tc>
      </w:tr>
      <w:tr w:rsidR="00ED79C7" w:rsidRPr="00ED79C7" w14:paraId="401BFDF0" w14:textId="77777777">
        <w:tc>
          <w:tcPr>
            <w:tcW w:w="8522" w:type="dxa"/>
            <w:tcBorders>
              <w:top w:val="nil"/>
              <w:left w:val="nil"/>
              <w:bottom w:val="nil"/>
              <w:right w:val="nil"/>
            </w:tcBorders>
            <w:hideMark/>
          </w:tcPr>
          <w:p w14:paraId="74DC3CF8" w14:textId="77777777" w:rsidR="00ED79C7" w:rsidRPr="00ED79C7" w:rsidRDefault="00ED79C7" w:rsidP="00ED79C7">
            <w:pPr>
              <w:spacing w:after="160" w:line="278" w:lineRule="auto"/>
              <w:rPr>
                <w:lang w:val="en-US"/>
              </w:rPr>
            </w:pPr>
            <w:r w:rsidRPr="00ED79C7">
              <w:rPr>
                <w:b/>
                <w:bCs/>
                <w:lang w:val="en-US"/>
              </w:rPr>
              <w:lastRenderedPageBreak/>
              <w:t xml:space="preserve">Supplementary figure 2. Cell-cell communication analysis. (A </w:t>
            </w:r>
            <w:r w:rsidRPr="00ED79C7">
              <w:rPr>
                <w:lang w:val="en-US"/>
              </w:rPr>
              <w:t>and</w:t>
            </w:r>
            <w:r w:rsidRPr="00ED79C7">
              <w:rPr>
                <w:b/>
                <w:bCs/>
                <w:lang w:val="en-US"/>
              </w:rPr>
              <w:t xml:space="preserve"> B) </w:t>
            </w:r>
            <w:proofErr w:type="spellStart"/>
            <w:r w:rsidRPr="00ED79C7">
              <w:rPr>
                <w:lang w:val="en-US"/>
              </w:rPr>
              <w:t>NetVisual_circle</w:t>
            </w:r>
            <w:proofErr w:type="spellEnd"/>
            <w:r w:rsidRPr="00ED79C7">
              <w:rPr>
                <w:lang w:val="en-US"/>
              </w:rPr>
              <w:t xml:space="preserve"> plot </w:t>
            </w:r>
            <w:proofErr w:type="gramStart"/>
            <w:r w:rsidRPr="00ED79C7">
              <w:rPr>
                <w:lang w:val="en-US"/>
              </w:rPr>
              <w:t>illustrating</w:t>
            </w:r>
            <w:proofErr w:type="gramEnd"/>
            <w:r w:rsidRPr="00ED79C7">
              <w:rPr>
                <w:lang w:val="en-US"/>
              </w:rPr>
              <w:t xml:space="preserve"> the number (A) and strength (B) of cell-cell interactions among major cell types in the TMJ of the NC group. </w:t>
            </w:r>
            <w:r w:rsidRPr="00ED79C7">
              <w:rPr>
                <w:b/>
                <w:bCs/>
                <w:lang w:val="en-US"/>
              </w:rPr>
              <w:t xml:space="preserve">(C </w:t>
            </w:r>
            <w:r w:rsidRPr="00ED79C7">
              <w:rPr>
                <w:lang w:val="en-US"/>
              </w:rPr>
              <w:t>and</w:t>
            </w:r>
            <w:r w:rsidRPr="00ED79C7">
              <w:rPr>
                <w:b/>
                <w:bCs/>
                <w:lang w:val="en-US"/>
              </w:rPr>
              <w:t xml:space="preserve"> D) </w:t>
            </w:r>
            <w:proofErr w:type="spellStart"/>
            <w:r w:rsidRPr="00ED79C7">
              <w:rPr>
                <w:lang w:val="en-US"/>
              </w:rPr>
              <w:t>NetVisual_circle</w:t>
            </w:r>
            <w:proofErr w:type="spellEnd"/>
            <w:r w:rsidRPr="00ED79C7">
              <w:rPr>
                <w:lang w:val="en-US"/>
              </w:rPr>
              <w:t xml:space="preserve"> plot illustrating the number (C) and strength (D) of cell-cell interactions among major cell types in the TMJ of the OA group. </w:t>
            </w:r>
            <w:r w:rsidRPr="00ED79C7">
              <w:rPr>
                <w:b/>
                <w:bCs/>
                <w:lang w:val="en-US"/>
              </w:rPr>
              <w:t xml:space="preserve">(E </w:t>
            </w:r>
            <w:r w:rsidRPr="00ED79C7">
              <w:rPr>
                <w:lang w:val="en-US"/>
              </w:rPr>
              <w:t>and</w:t>
            </w:r>
            <w:r w:rsidRPr="00ED79C7">
              <w:rPr>
                <w:b/>
                <w:bCs/>
                <w:lang w:val="en-US"/>
              </w:rPr>
              <w:t xml:space="preserve"> F) </w:t>
            </w:r>
            <w:r w:rsidRPr="00ED79C7">
              <w:rPr>
                <w:lang w:val="en-US"/>
              </w:rPr>
              <w:t xml:space="preserve">The </w:t>
            </w:r>
            <w:proofErr w:type="spellStart"/>
            <w:r w:rsidRPr="00ED79C7">
              <w:rPr>
                <w:lang w:val="en-US"/>
              </w:rPr>
              <w:t>circo</w:t>
            </w:r>
            <w:proofErr w:type="spellEnd"/>
            <w:r w:rsidRPr="00ED79C7">
              <w:rPr>
                <w:lang w:val="en-US"/>
              </w:rPr>
              <w:t xml:space="preserve"> plot </w:t>
            </w:r>
            <w:proofErr w:type="gramStart"/>
            <w:r w:rsidRPr="00ED79C7">
              <w:rPr>
                <w:lang w:val="en-US"/>
              </w:rPr>
              <w:t>illustrating</w:t>
            </w:r>
            <w:proofErr w:type="gramEnd"/>
            <w:r w:rsidRPr="00ED79C7">
              <w:rPr>
                <w:lang w:val="en-US"/>
              </w:rPr>
              <w:t xml:space="preserve"> the number (E) and strength (F) of cell-cell communication among chondrocyte subsets in the NC group. </w:t>
            </w:r>
            <w:r w:rsidRPr="00ED79C7">
              <w:rPr>
                <w:b/>
                <w:bCs/>
                <w:lang w:val="en-US"/>
              </w:rPr>
              <w:t xml:space="preserve">(G </w:t>
            </w:r>
            <w:r w:rsidRPr="00ED79C7">
              <w:rPr>
                <w:lang w:val="en-US"/>
              </w:rPr>
              <w:t>and</w:t>
            </w:r>
            <w:r w:rsidRPr="00ED79C7">
              <w:rPr>
                <w:b/>
                <w:bCs/>
                <w:lang w:val="en-US"/>
              </w:rPr>
              <w:t xml:space="preserve"> H) </w:t>
            </w:r>
            <w:r w:rsidRPr="00ED79C7">
              <w:rPr>
                <w:lang w:val="en-US"/>
              </w:rPr>
              <w:t xml:space="preserve">The </w:t>
            </w:r>
            <w:proofErr w:type="spellStart"/>
            <w:r w:rsidRPr="00ED79C7">
              <w:rPr>
                <w:lang w:val="en-US"/>
              </w:rPr>
              <w:t>circo</w:t>
            </w:r>
            <w:proofErr w:type="spellEnd"/>
            <w:r w:rsidRPr="00ED79C7">
              <w:rPr>
                <w:lang w:val="en-US"/>
              </w:rPr>
              <w:t xml:space="preserve"> plot </w:t>
            </w:r>
            <w:proofErr w:type="gramStart"/>
            <w:r w:rsidRPr="00ED79C7">
              <w:rPr>
                <w:lang w:val="en-US"/>
              </w:rPr>
              <w:t>illustrating</w:t>
            </w:r>
            <w:proofErr w:type="gramEnd"/>
            <w:r w:rsidRPr="00ED79C7">
              <w:rPr>
                <w:lang w:val="en-US"/>
              </w:rPr>
              <w:t xml:space="preserve"> the number (G) and strength (H) of cell-cell communication among chondrocyte subsets in the OA group.</w:t>
            </w:r>
          </w:p>
        </w:tc>
      </w:tr>
    </w:tbl>
    <w:p w14:paraId="0CE9C62B" w14:textId="77777777" w:rsidR="00ED79C7" w:rsidRPr="00ED79C7" w:rsidRDefault="00ED79C7" w:rsidP="00ED79C7">
      <w:pPr>
        <w:rPr>
          <w:lang w:val="en-US"/>
        </w:rPr>
      </w:pPr>
    </w:p>
    <w:tbl>
      <w:tblPr>
        <w:tblStyle w:val="TableGrid"/>
        <w:tblW w:w="0" w:type="auto"/>
        <w:tblLook w:val="04A0" w:firstRow="1" w:lastRow="0" w:firstColumn="1" w:lastColumn="0" w:noHBand="0" w:noVBand="1"/>
      </w:tblPr>
      <w:tblGrid>
        <w:gridCol w:w="8526"/>
      </w:tblGrid>
      <w:tr w:rsidR="00ED79C7" w14:paraId="191C2CB3" w14:textId="77777777" w:rsidTr="00ED79C7">
        <w:tc>
          <w:tcPr>
            <w:tcW w:w="8526" w:type="dxa"/>
            <w:tcBorders>
              <w:top w:val="nil"/>
              <w:left w:val="nil"/>
              <w:bottom w:val="nil"/>
              <w:right w:val="nil"/>
            </w:tcBorders>
            <w:hideMark/>
          </w:tcPr>
          <w:p w14:paraId="7CB3CF14" w14:textId="53A26434" w:rsidR="00ED79C7" w:rsidRDefault="00ED79C7">
            <w:pPr>
              <w:spacing w:line="480" w:lineRule="auto"/>
              <w:jc w:val="center"/>
              <w:rPr>
                <w:rFonts w:ascii="Times New Roman" w:hAnsi="Times New Roman" w:cs="Times New Roman"/>
                <w:b/>
                <w:bCs/>
                <w:color w:val="000000" w:themeColor="text1"/>
                <w:sz w:val="28"/>
                <w:szCs w:val="28"/>
              </w:rPr>
            </w:pPr>
            <w:r>
              <w:rPr>
                <w:rFonts w:ascii="Times New Roman" w:hAnsi="Times New Roman" w:cs="Times New Roman"/>
                <w:b/>
                <w:noProof/>
                <w:color w:val="000000" w:themeColor="text1"/>
                <w:sz w:val="28"/>
                <w:szCs w:val="28"/>
              </w:rPr>
              <w:lastRenderedPageBreak/>
              <w:drawing>
                <wp:inline distT="0" distB="0" distL="0" distR="0" wp14:anchorId="213B5836" wp14:editId="4433C775">
                  <wp:extent cx="5270500" cy="7664450"/>
                  <wp:effectExtent l="0" t="0" r="6350" b="0"/>
                  <wp:docPr id="1827906194" name="Picture 5" descr="A diagram of a pie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906194" name="Picture 5" descr="A diagram of a pie chart&#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0500" cy="7664450"/>
                          </a:xfrm>
                          <a:prstGeom prst="rect">
                            <a:avLst/>
                          </a:prstGeom>
                          <a:noFill/>
                          <a:ln>
                            <a:noFill/>
                          </a:ln>
                        </pic:spPr>
                      </pic:pic>
                    </a:graphicData>
                  </a:graphic>
                </wp:inline>
              </w:drawing>
            </w:r>
          </w:p>
        </w:tc>
      </w:tr>
      <w:tr w:rsidR="00ED79C7" w14:paraId="329AAB41" w14:textId="77777777" w:rsidTr="00ED79C7">
        <w:tc>
          <w:tcPr>
            <w:tcW w:w="8526" w:type="dxa"/>
            <w:tcBorders>
              <w:top w:val="nil"/>
              <w:left w:val="nil"/>
              <w:bottom w:val="nil"/>
              <w:right w:val="nil"/>
            </w:tcBorders>
            <w:hideMark/>
          </w:tcPr>
          <w:p w14:paraId="68EBA15F" w14:textId="77777777" w:rsidR="00ED79C7" w:rsidRDefault="00ED79C7">
            <w:pPr>
              <w:spacing w:line="480" w:lineRule="auto"/>
              <w:rPr>
                <w:rFonts w:ascii="Times New Roman" w:hAnsi="Times New Roman" w:cs="Times New Roman"/>
                <w:b/>
                <w:bCs/>
                <w:color w:val="000000" w:themeColor="text1"/>
                <w:sz w:val="28"/>
                <w:szCs w:val="28"/>
              </w:rPr>
            </w:pPr>
            <w:r>
              <w:rPr>
                <w:rFonts w:ascii="Times New Roman" w:eastAsia="SimSun" w:hAnsi="Times New Roman" w:cs="Times New Roman"/>
                <w:b/>
                <w:bCs/>
                <w:szCs w:val="21"/>
              </w:rPr>
              <w:t xml:space="preserve">Supplementary figure 3. Demonstration of the heterogeneity among subsets of condylar chondrocytes. </w:t>
            </w:r>
            <w:r>
              <w:rPr>
                <w:rFonts w:ascii="Times New Roman" w:hAnsi="Times New Roman" w:cs="Times New Roman"/>
                <w:b/>
                <w:bCs/>
                <w:szCs w:val="21"/>
              </w:rPr>
              <w:t xml:space="preserve">(A) </w:t>
            </w:r>
            <w:r>
              <w:rPr>
                <w:rFonts w:ascii="Times New Roman" w:eastAsia="SimSun" w:hAnsi="Times New Roman" w:cs="Times New Roman"/>
                <w:szCs w:val="21"/>
              </w:rPr>
              <w:t xml:space="preserve">Circular heatmap illustrating the GO enrichment results </w:t>
            </w:r>
            <w:r>
              <w:rPr>
                <w:rFonts w:ascii="Times New Roman" w:eastAsia="SimSun" w:hAnsi="Times New Roman" w:cs="Times New Roman"/>
                <w:szCs w:val="21"/>
              </w:rPr>
              <w:lastRenderedPageBreak/>
              <w:t xml:space="preserve">of </w:t>
            </w:r>
            <w:proofErr w:type="spellStart"/>
            <w:r>
              <w:rPr>
                <w:rFonts w:ascii="Times New Roman" w:eastAsia="SimSun" w:hAnsi="Times New Roman" w:cs="Times New Roman"/>
                <w:szCs w:val="21"/>
              </w:rPr>
              <w:t>HomCs</w:t>
            </w:r>
            <w:proofErr w:type="spellEnd"/>
            <w:r>
              <w:rPr>
                <w:rFonts w:ascii="Times New Roman" w:eastAsia="SimSun" w:hAnsi="Times New Roman" w:cs="Times New Roman"/>
                <w:szCs w:val="21"/>
              </w:rPr>
              <w:t xml:space="preserve">, with pathways </w:t>
            </w:r>
            <w:proofErr w:type="spellStart"/>
            <w:r>
              <w:rPr>
                <w:rFonts w:ascii="Times New Roman" w:eastAsia="SimSun" w:hAnsi="Times New Roman" w:cs="Times New Roman"/>
                <w:szCs w:val="21"/>
              </w:rPr>
              <w:t>colored</w:t>
            </w:r>
            <w:proofErr w:type="spellEnd"/>
            <w:r>
              <w:rPr>
                <w:rFonts w:ascii="Times New Roman" w:eastAsia="SimSun" w:hAnsi="Times New Roman" w:cs="Times New Roman"/>
                <w:szCs w:val="21"/>
              </w:rPr>
              <w:t xml:space="preserve"> by significance and genes </w:t>
            </w:r>
            <w:proofErr w:type="spellStart"/>
            <w:r>
              <w:rPr>
                <w:rFonts w:ascii="Times New Roman" w:eastAsia="SimSun" w:hAnsi="Times New Roman" w:cs="Times New Roman"/>
                <w:szCs w:val="21"/>
              </w:rPr>
              <w:t>labeled</w:t>
            </w:r>
            <w:proofErr w:type="spellEnd"/>
            <w:r>
              <w:rPr>
                <w:rFonts w:ascii="Times New Roman" w:eastAsia="SimSun" w:hAnsi="Times New Roman" w:cs="Times New Roman"/>
                <w:szCs w:val="21"/>
              </w:rPr>
              <w:t xml:space="preserve"> by log fold change. </w:t>
            </w:r>
            <w:r>
              <w:rPr>
                <w:rFonts w:ascii="Times New Roman" w:hAnsi="Times New Roman" w:cs="Times New Roman"/>
                <w:b/>
                <w:bCs/>
                <w:szCs w:val="21"/>
              </w:rPr>
              <w:t xml:space="preserve">(B) </w:t>
            </w:r>
            <w:proofErr w:type="spellStart"/>
            <w:r>
              <w:rPr>
                <w:rFonts w:ascii="Times New Roman" w:eastAsia="SimSun" w:hAnsi="Times New Roman" w:cs="Times New Roman"/>
                <w:szCs w:val="21"/>
              </w:rPr>
              <w:t>Circos</w:t>
            </w:r>
            <w:proofErr w:type="spellEnd"/>
            <w:r>
              <w:rPr>
                <w:rFonts w:ascii="Times New Roman" w:eastAsia="SimSun" w:hAnsi="Times New Roman" w:cs="Times New Roman"/>
                <w:szCs w:val="21"/>
              </w:rPr>
              <w:t xml:space="preserve"> plot depicting the association between genes and enriched KEGG pathways in </w:t>
            </w:r>
            <w:proofErr w:type="spellStart"/>
            <w:r>
              <w:rPr>
                <w:rFonts w:ascii="Times New Roman" w:eastAsia="SimSun" w:hAnsi="Times New Roman" w:cs="Times New Roman"/>
                <w:szCs w:val="21"/>
              </w:rPr>
              <w:t>HomCs</w:t>
            </w:r>
            <w:proofErr w:type="spellEnd"/>
            <w:r>
              <w:rPr>
                <w:rFonts w:ascii="Times New Roman" w:eastAsia="SimSun" w:hAnsi="Times New Roman" w:cs="Times New Roman"/>
                <w:szCs w:val="21"/>
              </w:rPr>
              <w:t xml:space="preserve">. </w:t>
            </w:r>
            <w:r>
              <w:rPr>
                <w:rFonts w:ascii="Times New Roman" w:hAnsi="Times New Roman" w:cs="Times New Roman"/>
                <w:b/>
                <w:bCs/>
                <w:szCs w:val="21"/>
              </w:rPr>
              <w:t xml:space="preserve">(C) </w:t>
            </w:r>
            <w:r>
              <w:rPr>
                <w:rFonts w:ascii="Times New Roman" w:eastAsia="SimSun" w:hAnsi="Times New Roman" w:cs="Times New Roman"/>
                <w:szCs w:val="21"/>
              </w:rPr>
              <w:t xml:space="preserve">Circular heatmap illustrating the GO enrichment results of </w:t>
            </w:r>
            <w:proofErr w:type="spellStart"/>
            <w:r>
              <w:rPr>
                <w:rFonts w:ascii="Times New Roman" w:eastAsia="SimSun" w:hAnsi="Times New Roman" w:cs="Times New Roman"/>
                <w:szCs w:val="21"/>
              </w:rPr>
              <w:t>PreInfCs</w:t>
            </w:r>
            <w:proofErr w:type="spellEnd"/>
            <w:r>
              <w:rPr>
                <w:rFonts w:ascii="Times New Roman" w:eastAsia="SimSun" w:hAnsi="Times New Roman" w:cs="Times New Roman"/>
                <w:szCs w:val="21"/>
              </w:rPr>
              <w:t xml:space="preserve">, with pathways </w:t>
            </w:r>
            <w:proofErr w:type="spellStart"/>
            <w:r>
              <w:rPr>
                <w:rFonts w:ascii="Times New Roman" w:eastAsia="SimSun" w:hAnsi="Times New Roman" w:cs="Times New Roman"/>
                <w:szCs w:val="21"/>
              </w:rPr>
              <w:t>colored</w:t>
            </w:r>
            <w:proofErr w:type="spellEnd"/>
            <w:r>
              <w:rPr>
                <w:rFonts w:ascii="Times New Roman" w:eastAsia="SimSun" w:hAnsi="Times New Roman" w:cs="Times New Roman"/>
                <w:szCs w:val="21"/>
              </w:rPr>
              <w:t xml:space="preserve"> by significance and genes </w:t>
            </w:r>
            <w:proofErr w:type="spellStart"/>
            <w:r>
              <w:rPr>
                <w:rFonts w:ascii="Times New Roman" w:eastAsia="SimSun" w:hAnsi="Times New Roman" w:cs="Times New Roman"/>
                <w:szCs w:val="21"/>
              </w:rPr>
              <w:t>labeled</w:t>
            </w:r>
            <w:proofErr w:type="spellEnd"/>
            <w:r>
              <w:rPr>
                <w:rFonts w:ascii="Times New Roman" w:eastAsia="SimSun" w:hAnsi="Times New Roman" w:cs="Times New Roman"/>
                <w:szCs w:val="21"/>
              </w:rPr>
              <w:t xml:space="preserve"> by log fold change. </w:t>
            </w:r>
            <w:r>
              <w:rPr>
                <w:rFonts w:ascii="Times New Roman" w:hAnsi="Times New Roman" w:cs="Times New Roman"/>
                <w:b/>
                <w:bCs/>
                <w:szCs w:val="21"/>
              </w:rPr>
              <w:t xml:space="preserve">(D) </w:t>
            </w:r>
            <w:proofErr w:type="spellStart"/>
            <w:r>
              <w:rPr>
                <w:rFonts w:ascii="Times New Roman" w:eastAsia="SimSun" w:hAnsi="Times New Roman" w:cs="Times New Roman"/>
                <w:szCs w:val="21"/>
              </w:rPr>
              <w:t>Circos</w:t>
            </w:r>
            <w:proofErr w:type="spellEnd"/>
            <w:r>
              <w:rPr>
                <w:rFonts w:ascii="Times New Roman" w:eastAsia="SimSun" w:hAnsi="Times New Roman" w:cs="Times New Roman"/>
                <w:szCs w:val="21"/>
              </w:rPr>
              <w:t xml:space="preserve"> plot depicting the association between genes and enriched KEGG pathways in </w:t>
            </w:r>
            <w:proofErr w:type="spellStart"/>
            <w:r>
              <w:rPr>
                <w:rFonts w:ascii="Times New Roman" w:eastAsia="SimSun" w:hAnsi="Times New Roman" w:cs="Times New Roman"/>
                <w:szCs w:val="21"/>
              </w:rPr>
              <w:t>PreInfCs</w:t>
            </w:r>
            <w:proofErr w:type="spellEnd"/>
            <w:r>
              <w:rPr>
                <w:rFonts w:ascii="Times New Roman" w:eastAsia="SimSun" w:hAnsi="Times New Roman" w:cs="Times New Roman"/>
                <w:szCs w:val="21"/>
              </w:rPr>
              <w:t xml:space="preserve">. </w:t>
            </w:r>
            <w:r>
              <w:rPr>
                <w:rFonts w:ascii="Times New Roman" w:hAnsi="Times New Roman" w:cs="Times New Roman"/>
                <w:b/>
                <w:bCs/>
                <w:szCs w:val="21"/>
              </w:rPr>
              <w:t xml:space="preserve">(E) </w:t>
            </w:r>
            <w:r>
              <w:rPr>
                <w:rFonts w:ascii="Times New Roman" w:eastAsia="SimSun" w:hAnsi="Times New Roman" w:cs="Times New Roman"/>
                <w:szCs w:val="21"/>
              </w:rPr>
              <w:t xml:space="preserve">Circular heatmap illustrating the GO enrichment results of </w:t>
            </w:r>
            <w:proofErr w:type="spellStart"/>
            <w:r>
              <w:rPr>
                <w:rFonts w:ascii="Times New Roman" w:eastAsia="SimSun" w:hAnsi="Times New Roman" w:cs="Times New Roman"/>
                <w:szCs w:val="21"/>
              </w:rPr>
              <w:t>InfCs</w:t>
            </w:r>
            <w:proofErr w:type="spellEnd"/>
            <w:r>
              <w:rPr>
                <w:rFonts w:ascii="Times New Roman" w:eastAsia="SimSun" w:hAnsi="Times New Roman" w:cs="Times New Roman"/>
                <w:szCs w:val="21"/>
              </w:rPr>
              <w:t xml:space="preserve">, with pathways </w:t>
            </w:r>
            <w:proofErr w:type="spellStart"/>
            <w:r>
              <w:rPr>
                <w:rFonts w:ascii="Times New Roman" w:eastAsia="SimSun" w:hAnsi="Times New Roman" w:cs="Times New Roman"/>
                <w:szCs w:val="21"/>
              </w:rPr>
              <w:t>colored</w:t>
            </w:r>
            <w:proofErr w:type="spellEnd"/>
            <w:r>
              <w:rPr>
                <w:rFonts w:ascii="Times New Roman" w:eastAsia="SimSun" w:hAnsi="Times New Roman" w:cs="Times New Roman"/>
                <w:szCs w:val="21"/>
              </w:rPr>
              <w:t xml:space="preserve"> by significance and genes </w:t>
            </w:r>
            <w:proofErr w:type="spellStart"/>
            <w:r>
              <w:rPr>
                <w:rFonts w:ascii="Times New Roman" w:eastAsia="SimSun" w:hAnsi="Times New Roman" w:cs="Times New Roman"/>
                <w:szCs w:val="21"/>
              </w:rPr>
              <w:t>labeled</w:t>
            </w:r>
            <w:proofErr w:type="spellEnd"/>
            <w:r>
              <w:rPr>
                <w:rFonts w:ascii="Times New Roman" w:eastAsia="SimSun" w:hAnsi="Times New Roman" w:cs="Times New Roman"/>
                <w:szCs w:val="21"/>
              </w:rPr>
              <w:t xml:space="preserve"> by log fold change. </w:t>
            </w:r>
            <w:r>
              <w:rPr>
                <w:rFonts w:ascii="Times New Roman" w:hAnsi="Times New Roman" w:cs="Times New Roman"/>
                <w:b/>
                <w:bCs/>
                <w:szCs w:val="21"/>
              </w:rPr>
              <w:t xml:space="preserve">(F) </w:t>
            </w:r>
            <w:proofErr w:type="spellStart"/>
            <w:r>
              <w:rPr>
                <w:rFonts w:ascii="Times New Roman" w:eastAsia="SimSun" w:hAnsi="Times New Roman" w:cs="Times New Roman"/>
                <w:szCs w:val="21"/>
              </w:rPr>
              <w:t>Circos</w:t>
            </w:r>
            <w:proofErr w:type="spellEnd"/>
            <w:r>
              <w:rPr>
                <w:rFonts w:ascii="Times New Roman" w:eastAsia="SimSun" w:hAnsi="Times New Roman" w:cs="Times New Roman"/>
                <w:szCs w:val="21"/>
              </w:rPr>
              <w:t xml:space="preserve"> plot depicting the association between genes and enriched KEGG pathways in </w:t>
            </w:r>
            <w:proofErr w:type="spellStart"/>
            <w:r>
              <w:rPr>
                <w:rFonts w:ascii="Times New Roman" w:eastAsia="SimSun" w:hAnsi="Times New Roman" w:cs="Times New Roman"/>
                <w:szCs w:val="21"/>
              </w:rPr>
              <w:t>InfCs</w:t>
            </w:r>
            <w:proofErr w:type="spellEnd"/>
            <w:r>
              <w:rPr>
                <w:rFonts w:ascii="Times New Roman" w:eastAsia="SimSun" w:hAnsi="Times New Roman" w:cs="Times New Roman"/>
                <w:szCs w:val="21"/>
              </w:rPr>
              <w:t>.</w:t>
            </w:r>
          </w:p>
        </w:tc>
      </w:tr>
    </w:tbl>
    <w:p w14:paraId="6715C687" w14:textId="77777777" w:rsidR="00ED79C7" w:rsidRPr="00ED79C7" w:rsidRDefault="00ED79C7" w:rsidP="00ED79C7">
      <w:pPr>
        <w:rPr>
          <w:lang w:val="en-US"/>
        </w:rPr>
      </w:pPr>
    </w:p>
    <w:tbl>
      <w:tblPr>
        <w:tblStyle w:val="TableGrid"/>
        <w:tblW w:w="0" w:type="auto"/>
        <w:tblLook w:val="04A0" w:firstRow="1" w:lastRow="0" w:firstColumn="1" w:lastColumn="0" w:noHBand="0" w:noVBand="1"/>
      </w:tblPr>
      <w:tblGrid>
        <w:gridCol w:w="8526"/>
      </w:tblGrid>
      <w:tr w:rsidR="00ED79C7" w:rsidRPr="00ED79C7" w14:paraId="1D62DEEA" w14:textId="77777777">
        <w:tc>
          <w:tcPr>
            <w:tcW w:w="8522" w:type="dxa"/>
            <w:tcBorders>
              <w:top w:val="nil"/>
              <w:left w:val="nil"/>
              <w:bottom w:val="nil"/>
              <w:right w:val="nil"/>
            </w:tcBorders>
            <w:hideMark/>
          </w:tcPr>
          <w:p w14:paraId="496E092D" w14:textId="01C45AFC" w:rsidR="00ED79C7" w:rsidRPr="00ED79C7" w:rsidRDefault="00ED79C7" w:rsidP="00ED79C7">
            <w:pPr>
              <w:spacing w:after="160" w:line="278" w:lineRule="auto"/>
              <w:rPr>
                <w:b/>
                <w:bCs/>
                <w:lang w:val="en-US"/>
              </w:rPr>
            </w:pPr>
            <w:r w:rsidRPr="00ED79C7">
              <w:rPr>
                <w:b/>
                <w:lang w:val="en-US"/>
              </w:rPr>
              <w:lastRenderedPageBreak/>
              <w:drawing>
                <wp:inline distT="0" distB="0" distL="0" distR="0" wp14:anchorId="6F0327AB" wp14:editId="22AF8FFE">
                  <wp:extent cx="5270500" cy="5956300"/>
                  <wp:effectExtent l="0" t="0" r="6350" b="6350"/>
                  <wp:docPr id="1358841846" name="Picture 7" descr="A collage of images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841846" name="Picture 7" descr="A collage of images of different colored line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0500" cy="5956300"/>
                          </a:xfrm>
                          <a:prstGeom prst="rect">
                            <a:avLst/>
                          </a:prstGeom>
                          <a:noFill/>
                          <a:ln>
                            <a:noFill/>
                          </a:ln>
                        </pic:spPr>
                      </pic:pic>
                    </a:graphicData>
                  </a:graphic>
                </wp:inline>
              </w:drawing>
            </w:r>
          </w:p>
        </w:tc>
      </w:tr>
      <w:tr w:rsidR="00ED79C7" w:rsidRPr="00ED79C7" w14:paraId="44E42B0C" w14:textId="77777777">
        <w:tc>
          <w:tcPr>
            <w:tcW w:w="8522" w:type="dxa"/>
            <w:tcBorders>
              <w:top w:val="nil"/>
              <w:left w:val="nil"/>
              <w:bottom w:val="nil"/>
              <w:right w:val="nil"/>
            </w:tcBorders>
            <w:hideMark/>
          </w:tcPr>
          <w:p w14:paraId="750E6922" w14:textId="77777777" w:rsidR="00ED79C7" w:rsidRPr="00ED79C7" w:rsidRDefault="00ED79C7" w:rsidP="00ED79C7">
            <w:pPr>
              <w:spacing w:after="160" w:line="278" w:lineRule="auto"/>
              <w:rPr>
                <w:b/>
                <w:bCs/>
                <w:lang w:val="en-US"/>
              </w:rPr>
            </w:pPr>
            <w:r w:rsidRPr="00ED79C7">
              <w:rPr>
                <w:b/>
                <w:bCs/>
                <w:lang w:val="en-US"/>
              </w:rPr>
              <w:t xml:space="preserve">Supplementary figure 4. </w:t>
            </w:r>
            <w:proofErr w:type="spellStart"/>
            <w:r w:rsidRPr="00ED79C7">
              <w:rPr>
                <w:b/>
                <w:bCs/>
                <w:lang w:val="en-US"/>
              </w:rPr>
              <w:t>Pseudotime</w:t>
            </w:r>
            <w:proofErr w:type="spellEnd"/>
            <w:r w:rsidRPr="00ED79C7">
              <w:rPr>
                <w:b/>
                <w:bCs/>
                <w:lang w:val="en-US"/>
              </w:rPr>
              <w:t xml:space="preserve"> trajectory analysis of condylar chondrocyte subsets. (A) </w:t>
            </w:r>
            <w:r w:rsidRPr="00ED79C7">
              <w:rPr>
                <w:lang w:val="en-US"/>
              </w:rPr>
              <w:t xml:space="preserve">The </w:t>
            </w:r>
            <w:proofErr w:type="spellStart"/>
            <w:r w:rsidRPr="00ED79C7">
              <w:rPr>
                <w:lang w:val="en-US"/>
              </w:rPr>
              <w:t>pseudotime</w:t>
            </w:r>
            <w:proofErr w:type="spellEnd"/>
            <w:r w:rsidRPr="00ED79C7">
              <w:rPr>
                <w:lang w:val="en-US"/>
              </w:rPr>
              <w:t xml:space="preserve"> trajectory of </w:t>
            </w:r>
            <w:proofErr w:type="spellStart"/>
            <w:r w:rsidRPr="00ED79C7">
              <w:rPr>
                <w:lang w:val="en-US"/>
              </w:rPr>
              <w:t>HomCs</w:t>
            </w:r>
            <w:proofErr w:type="spellEnd"/>
            <w:r w:rsidRPr="00ED79C7">
              <w:rPr>
                <w:lang w:val="en-US"/>
              </w:rPr>
              <w:t xml:space="preserve"> is colored in a gradient from dark to light blue, indicating a progression from left to right. The annotated key nodes (1 and 2) may represent critical differentiation stages or state transition points. </w:t>
            </w:r>
            <w:r w:rsidRPr="00ED79C7">
              <w:rPr>
                <w:b/>
                <w:bCs/>
                <w:lang w:val="en-US"/>
              </w:rPr>
              <w:t>(B)</w:t>
            </w:r>
            <w:r w:rsidRPr="00ED79C7">
              <w:rPr>
                <w:lang w:val="en-US"/>
              </w:rPr>
              <w:t xml:space="preserve"> The </w:t>
            </w:r>
            <w:proofErr w:type="spellStart"/>
            <w:r w:rsidRPr="00ED79C7">
              <w:rPr>
                <w:lang w:val="en-US"/>
              </w:rPr>
              <w:t>pseudotime</w:t>
            </w:r>
            <w:proofErr w:type="spellEnd"/>
            <w:r w:rsidRPr="00ED79C7">
              <w:rPr>
                <w:lang w:val="en-US"/>
              </w:rPr>
              <w:t xml:space="preserve"> trajectory of </w:t>
            </w:r>
            <w:proofErr w:type="spellStart"/>
            <w:r w:rsidRPr="00ED79C7">
              <w:rPr>
                <w:lang w:val="en-US"/>
              </w:rPr>
              <w:t>HomCs</w:t>
            </w:r>
            <w:proofErr w:type="spellEnd"/>
            <w:r w:rsidRPr="00ED79C7">
              <w:rPr>
                <w:lang w:val="en-US"/>
              </w:rPr>
              <w:t xml:space="preserve"> is shown colored by different cell states. </w:t>
            </w:r>
            <w:r w:rsidRPr="00ED79C7">
              <w:rPr>
                <w:b/>
                <w:bCs/>
                <w:lang w:val="en-US"/>
              </w:rPr>
              <w:t xml:space="preserve">(C) </w:t>
            </w:r>
            <w:r w:rsidRPr="00ED79C7">
              <w:rPr>
                <w:lang w:val="en-US"/>
              </w:rPr>
              <w:t xml:space="preserve">The </w:t>
            </w:r>
            <w:proofErr w:type="spellStart"/>
            <w:r w:rsidRPr="00ED79C7">
              <w:rPr>
                <w:lang w:val="en-US"/>
              </w:rPr>
              <w:t>pseudotime</w:t>
            </w:r>
            <w:proofErr w:type="spellEnd"/>
            <w:r w:rsidRPr="00ED79C7">
              <w:rPr>
                <w:lang w:val="en-US"/>
              </w:rPr>
              <w:t xml:space="preserve"> trajectory of </w:t>
            </w:r>
            <w:proofErr w:type="spellStart"/>
            <w:r w:rsidRPr="00ED79C7">
              <w:rPr>
                <w:lang w:val="en-US"/>
              </w:rPr>
              <w:t>PreInfCs</w:t>
            </w:r>
            <w:proofErr w:type="spellEnd"/>
            <w:r w:rsidRPr="00ED79C7">
              <w:rPr>
                <w:lang w:val="en-US"/>
              </w:rPr>
              <w:t xml:space="preserve"> is colored in a gradient from dark to light blue, indicating a progression from left to right. The annotated key nodes (1, 2 and 3) may represent critical differentiation stages or state transition points. </w:t>
            </w:r>
            <w:r w:rsidRPr="00ED79C7">
              <w:rPr>
                <w:b/>
                <w:bCs/>
                <w:lang w:val="en-US"/>
              </w:rPr>
              <w:t xml:space="preserve">(D) </w:t>
            </w:r>
            <w:r w:rsidRPr="00ED79C7">
              <w:rPr>
                <w:lang w:val="en-US"/>
              </w:rPr>
              <w:t xml:space="preserve">The </w:t>
            </w:r>
            <w:proofErr w:type="spellStart"/>
            <w:r w:rsidRPr="00ED79C7">
              <w:rPr>
                <w:lang w:val="en-US"/>
              </w:rPr>
              <w:t>pseudotime</w:t>
            </w:r>
            <w:proofErr w:type="spellEnd"/>
            <w:r w:rsidRPr="00ED79C7">
              <w:rPr>
                <w:lang w:val="en-US"/>
              </w:rPr>
              <w:t xml:space="preserve"> trajectory of </w:t>
            </w:r>
            <w:proofErr w:type="spellStart"/>
            <w:r w:rsidRPr="00ED79C7">
              <w:rPr>
                <w:lang w:val="en-US"/>
              </w:rPr>
              <w:t>PreInfCs</w:t>
            </w:r>
            <w:proofErr w:type="spellEnd"/>
            <w:r w:rsidRPr="00ED79C7">
              <w:rPr>
                <w:lang w:val="en-US"/>
              </w:rPr>
              <w:t xml:space="preserve"> is shown colored by different cell states. </w:t>
            </w:r>
            <w:r w:rsidRPr="00ED79C7">
              <w:rPr>
                <w:b/>
                <w:bCs/>
                <w:lang w:val="en-US"/>
              </w:rPr>
              <w:t xml:space="preserve">(E) </w:t>
            </w:r>
            <w:r w:rsidRPr="00ED79C7">
              <w:rPr>
                <w:lang w:val="en-US"/>
              </w:rPr>
              <w:t xml:space="preserve">The </w:t>
            </w:r>
            <w:proofErr w:type="spellStart"/>
            <w:r w:rsidRPr="00ED79C7">
              <w:rPr>
                <w:lang w:val="en-US"/>
              </w:rPr>
              <w:t>pseudotime</w:t>
            </w:r>
            <w:proofErr w:type="spellEnd"/>
            <w:r w:rsidRPr="00ED79C7">
              <w:rPr>
                <w:lang w:val="en-US"/>
              </w:rPr>
              <w:t xml:space="preserve"> trajectory of </w:t>
            </w:r>
            <w:proofErr w:type="spellStart"/>
            <w:r w:rsidRPr="00ED79C7">
              <w:rPr>
                <w:lang w:val="en-US"/>
              </w:rPr>
              <w:t>InfCs</w:t>
            </w:r>
            <w:proofErr w:type="spellEnd"/>
            <w:r w:rsidRPr="00ED79C7">
              <w:rPr>
                <w:lang w:val="en-US"/>
              </w:rPr>
              <w:t xml:space="preserve"> is colored in a gradient from dark to light blue, indicating a progression from left to right. The annotated key nodes (1, 2, 3 and 4) may represent critical differentiation </w:t>
            </w:r>
            <w:r w:rsidRPr="00ED79C7">
              <w:rPr>
                <w:lang w:val="en-US"/>
              </w:rPr>
              <w:lastRenderedPageBreak/>
              <w:t xml:space="preserve">stages or state transition points. </w:t>
            </w:r>
            <w:r w:rsidRPr="00ED79C7">
              <w:rPr>
                <w:b/>
                <w:bCs/>
                <w:lang w:val="en-US"/>
              </w:rPr>
              <w:t xml:space="preserve">(F) </w:t>
            </w:r>
            <w:r w:rsidRPr="00ED79C7">
              <w:rPr>
                <w:lang w:val="en-US"/>
              </w:rPr>
              <w:t xml:space="preserve">The </w:t>
            </w:r>
            <w:proofErr w:type="spellStart"/>
            <w:r w:rsidRPr="00ED79C7">
              <w:rPr>
                <w:lang w:val="en-US"/>
              </w:rPr>
              <w:t>pseudotime</w:t>
            </w:r>
            <w:proofErr w:type="spellEnd"/>
            <w:r w:rsidRPr="00ED79C7">
              <w:rPr>
                <w:lang w:val="en-US"/>
              </w:rPr>
              <w:t xml:space="preserve"> trajectory of </w:t>
            </w:r>
            <w:proofErr w:type="spellStart"/>
            <w:r w:rsidRPr="00ED79C7">
              <w:rPr>
                <w:lang w:val="en-US"/>
              </w:rPr>
              <w:t>InfCs</w:t>
            </w:r>
            <w:proofErr w:type="spellEnd"/>
            <w:r w:rsidRPr="00ED79C7">
              <w:rPr>
                <w:lang w:val="en-US"/>
              </w:rPr>
              <w:t xml:space="preserve"> is shown colored by different cell states.</w:t>
            </w:r>
          </w:p>
        </w:tc>
      </w:tr>
    </w:tbl>
    <w:p w14:paraId="095575D1"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9C7"/>
    <w:rsid w:val="00281C06"/>
    <w:rsid w:val="00767E38"/>
    <w:rsid w:val="00866F7D"/>
    <w:rsid w:val="00ED79C7"/>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B04FF"/>
  <w15:chartTrackingRefBased/>
  <w15:docId w15:val="{A6A3E4FC-C1D2-4EBE-B7AA-76BE9E8ED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79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79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79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79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79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79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79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79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79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79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79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79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79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79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79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79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79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79C7"/>
    <w:rPr>
      <w:rFonts w:eastAsiaTheme="majorEastAsia" w:cstheme="majorBidi"/>
      <w:color w:val="272727" w:themeColor="text1" w:themeTint="D8"/>
    </w:rPr>
  </w:style>
  <w:style w:type="paragraph" w:styleId="Title">
    <w:name w:val="Title"/>
    <w:basedOn w:val="Normal"/>
    <w:next w:val="Normal"/>
    <w:link w:val="TitleChar"/>
    <w:uiPriority w:val="10"/>
    <w:qFormat/>
    <w:rsid w:val="00ED79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79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79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79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79C7"/>
    <w:pPr>
      <w:spacing w:before="160"/>
      <w:jc w:val="center"/>
    </w:pPr>
    <w:rPr>
      <w:i/>
      <w:iCs/>
      <w:color w:val="404040" w:themeColor="text1" w:themeTint="BF"/>
    </w:rPr>
  </w:style>
  <w:style w:type="character" w:customStyle="1" w:styleId="QuoteChar">
    <w:name w:val="Quote Char"/>
    <w:basedOn w:val="DefaultParagraphFont"/>
    <w:link w:val="Quote"/>
    <w:uiPriority w:val="29"/>
    <w:rsid w:val="00ED79C7"/>
    <w:rPr>
      <w:i/>
      <w:iCs/>
      <w:color w:val="404040" w:themeColor="text1" w:themeTint="BF"/>
    </w:rPr>
  </w:style>
  <w:style w:type="paragraph" w:styleId="ListParagraph">
    <w:name w:val="List Paragraph"/>
    <w:basedOn w:val="Normal"/>
    <w:uiPriority w:val="34"/>
    <w:qFormat/>
    <w:rsid w:val="00ED79C7"/>
    <w:pPr>
      <w:ind w:left="720"/>
      <w:contextualSpacing/>
    </w:pPr>
  </w:style>
  <w:style w:type="character" w:styleId="IntenseEmphasis">
    <w:name w:val="Intense Emphasis"/>
    <w:basedOn w:val="DefaultParagraphFont"/>
    <w:uiPriority w:val="21"/>
    <w:qFormat/>
    <w:rsid w:val="00ED79C7"/>
    <w:rPr>
      <w:i/>
      <w:iCs/>
      <w:color w:val="0F4761" w:themeColor="accent1" w:themeShade="BF"/>
    </w:rPr>
  </w:style>
  <w:style w:type="paragraph" w:styleId="IntenseQuote">
    <w:name w:val="Intense Quote"/>
    <w:basedOn w:val="Normal"/>
    <w:next w:val="Normal"/>
    <w:link w:val="IntenseQuoteChar"/>
    <w:uiPriority w:val="30"/>
    <w:qFormat/>
    <w:rsid w:val="00ED79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79C7"/>
    <w:rPr>
      <w:i/>
      <w:iCs/>
      <w:color w:val="0F4761" w:themeColor="accent1" w:themeShade="BF"/>
    </w:rPr>
  </w:style>
  <w:style w:type="character" w:styleId="IntenseReference">
    <w:name w:val="Intense Reference"/>
    <w:basedOn w:val="DefaultParagraphFont"/>
    <w:uiPriority w:val="32"/>
    <w:qFormat/>
    <w:rsid w:val="00ED79C7"/>
    <w:rPr>
      <w:b/>
      <w:bCs/>
      <w:smallCaps/>
      <w:color w:val="0F4761" w:themeColor="accent1" w:themeShade="BF"/>
      <w:spacing w:val="5"/>
    </w:rPr>
  </w:style>
  <w:style w:type="table" w:styleId="TableGrid">
    <w:name w:val="Table Grid"/>
    <w:basedOn w:val="TableNormal"/>
    <w:qFormat/>
    <w:rsid w:val="00ED79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536</Words>
  <Characters>2879</Characters>
  <Application>Microsoft Office Word</Application>
  <DocSecurity>0</DocSecurity>
  <Lines>54</Lines>
  <Paragraphs>5</Paragraphs>
  <ScaleCrop>false</ScaleCrop>
  <Company/>
  <LinksUpToDate>false</LinksUpToDate>
  <CharactersWithSpaces>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2025-11-17T11:40:00Z</dcterms:created>
  <dcterms:modified xsi:type="dcterms:W3CDTF">2025-11-17T11:49:00Z</dcterms:modified>
</cp:coreProperties>
</file>