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80C5E" w14:textId="77777777" w:rsidR="00C13B6C" w:rsidRPr="00C13B6C" w:rsidRDefault="00C13B6C" w:rsidP="00C13B6C">
      <w:pPr>
        <w:keepNext/>
        <w:spacing w:before="240" w:after="60"/>
        <w:outlineLvl w:val="0"/>
        <w:rPr>
          <w:rFonts w:ascii="Cambria" w:eastAsia="Times New Roman" w:hAnsi="Cambria" w:cs="Times New Roman"/>
          <w:b/>
          <w:bCs/>
          <w:kern w:val="32"/>
          <w:sz w:val="32"/>
          <w:szCs w:val="32"/>
        </w:rPr>
      </w:pPr>
      <w:r w:rsidRPr="00C13B6C">
        <w:rPr>
          <w:rFonts w:ascii="Cambria" w:eastAsia="Times New Roman" w:hAnsi="Cambria" w:cs="Times New Roman"/>
          <w:b/>
          <w:bCs/>
          <w:kern w:val="32"/>
          <w:sz w:val="32"/>
          <w:szCs w:val="32"/>
        </w:rPr>
        <w:t>Supplement files</w:t>
      </w:r>
    </w:p>
    <w:p w14:paraId="73FF26F8" w14:textId="77777777" w:rsidR="00C13B6C" w:rsidRPr="00C13B6C" w:rsidRDefault="00C13B6C" w:rsidP="00C13B6C"/>
    <w:p w14:paraId="1E86FA79" w14:textId="77777777" w:rsidR="00C13B6C" w:rsidRP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  <w:r w:rsidRPr="00C13B6C">
        <w:rPr>
          <w:rFonts w:ascii="Times New Roman" w:hAnsi="Times New Roman" w:cs="Times New Roman"/>
          <w:sz w:val="24"/>
          <w:szCs w:val="24"/>
        </w:rPr>
        <w:t xml:space="preserve">Supplement Table 1. Cox proportional hazard ratio (HR) of all patients with event and p-values comparing the primary, secondary and other outcomes between the intervention and control groups in the Per Protocol - analysis. </w:t>
      </w:r>
    </w:p>
    <w:p w14:paraId="3B43A988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2DCB9B60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  <w:r w:rsidRPr="00C13B6C">
        <w:rPr>
          <w:noProof/>
          <w:lang w:val="fi-FI"/>
        </w:rPr>
        <w:drawing>
          <wp:inline distT="0" distB="0" distL="0" distR="0" wp14:anchorId="5BA2FA0C" wp14:editId="165F8A1C">
            <wp:extent cx="6120130" cy="2365268"/>
            <wp:effectExtent l="0" t="0" r="0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3652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148AF6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6A23FE71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01E537A8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5194CC25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54689669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4B5F2B5C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1D0F53DF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7011579E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645B3EC9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1B847E90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44F8101C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7B8EEC0B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35025516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358706D5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181DEB0E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4ECF2B1D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7CB5C5C2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64709597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4E27B445" w14:textId="77777777" w:rsidR="00C13B6C" w:rsidRDefault="00C13B6C" w:rsidP="00C13B6C">
      <w:pPr>
        <w:rPr>
          <w:rFonts w:ascii="Times New Roman" w:hAnsi="Times New Roman" w:cs="Times New Roman"/>
          <w:sz w:val="24"/>
          <w:szCs w:val="24"/>
        </w:rPr>
      </w:pPr>
    </w:p>
    <w:p w14:paraId="643BA2EA" w14:textId="77777777" w:rsidR="00C13B6C" w:rsidRPr="001B37AC" w:rsidRDefault="00C13B6C" w:rsidP="00C13B6C">
      <w:pPr>
        <w:rPr>
          <w:rFonts w:ascii="Times New Roman" w:hAnsi="Times New Roman" w:cs="Times New Roman"/>
          <w:sz w:val="24"/>
          <w:szCs w:val="24"/>
        </w:rPr>
      </w:pPr>
      <w:r w:rsidRPr="001B37AC">
        <w:rPr>
          <w:rFonts w:ascii="Times New Roman" w:hAnsi="Times New Roman" w:cs="Times New Roman"/>
          <w:sz w:val="24"/>
          <w:szCs w:val="24"/>
        </w:rPr>
        <w:lastRenderedPageBreak/>
        <w:t xml:space="preserve">Supplement Table 2. Cox proportional hazard ratio (HR) of </w:t>
      </w:r>
      <w:r>
        <w:rPr>
          <w:rFonts w:ascii="Times New Roman" w:hAnsi="Times New Roman" w:cs="Times New Roman"/>
          <w:sz w:val="24"/>
          <w:szCs w:val="24"/>
        </w:rPr>
        <w:t>coronary artery disease (</w:t>
      </w:r>
      <w:r w:rsidRPr="001B37AC">
        <w:rPr>
          <w:rFonts w:ascii="Times New Roman" w:hAnsi="Times New Roman" w:cs="Times New Roman"/>
          <w:sz w:val="24"/>
          <w:szCs w:val="24"/>
        </w:rPr>
        <w:t>CAD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B37AC">
        <w:rPr>
          <w:rFonts w:ascii="Times New Roman" w:hAnsi="Times New Roman" w:cs="Times New Roman"/>
          <w:sz w:val="24"/>
          <w:szCs w:val="24"/>
        </w:rPr>
        <w:t xml:space="preserve"> patients with event and p-values comparing the primary, secondary and other outcomes between the intervention and control groups in the Per Protocol -analysis. </w:t>
      </w:r>
    </w:p>
    <w:p w14:paraId="5EE5E1C5" w14:textId="77777777" w:rsidR="00C13B6C" w:rsidRDefault="00C13B6C"/>
    <w:p w14:paraId="34131896" w14:textId="77777777" w:rsidR="001E362A" w:rsidRDefault="00C13B6C">
      <w:r>
        <w:rPr>
          <w:noProof/>
          <w:lang w:val="fi-FI"/>
        </w:rPr>
        <w:drawing>
          <wp:inline distT="0" distB="0" distL="0" distR="0" wp14:anchorId="6A420F4A" wp14:editId="03516FCA">
            <wp:extent cx="6120130" cy="2456709"/>
            <wp:effectExtent l="0" t="0" r="0" b="1270"/>
            <wp:docPr id="5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456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E362A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B6C"/>
    <w:rsid w:val="001E362A"/>
    <w:rsid w:val="009C39CF"/>
    <w:rsid w:val="00BB44BD"/>
    <w:rsid w:val="00C13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B0686"/>
  <w15:docId w15:val="{1B750670-B450-4EEC-8092-D440A20EA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C13B6C"/>
    <w:pPr>
      <w:spacing w:after="120" w:line="240" w:lineRule="auto"/>
    </w:pPr>
    <w:rPr>
      <w:rFonts w:ascii="Arial" w:eastAsia="Calibri" w:hAnsi="Arial" w:cs="Arial"/>
      <w:lang w:val="en-GB"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C13B6C"/>
    <w:pPr>
      <w:spacing w:after="0"/>
    </w:pPr>
    <w:rPr>
      <w:rFonts w:ascii="Tahoma" w:eastAsiaTheme="minorHAnsi" w:hAnsi="Tahoma" w:cs="Tahoma"/>
      <w:sz w:val="16"/>
      <w:szCs w:val="16"/>
      <w:lang w:val="fi-FI" w:eastAsia="en-US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C13B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THL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Mustonen Erja</dc:creator>
  <cp:lastModifiedBy>Erja Mustonen</cp:lastModifiedBy>
  <cp:revision>2</cp:revision>
  <dcterms:created xsi:type="dcterms:W3CDTF">2021-07-01T08:04:00Z</dcterms:created>
  <dcterms:modified xsi:type="dcterms:W3CDTF">2021-07-01T08:04:00Z</dcterms:modified>
</cp:coreProperties>
</file>