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71C64">
      <w:pPr>
        <w:widowControl/>
        <w:adjustRightInd w:val="0"/>
        <w:snapToGrid w:val="0"/>
        <w:spacing w:line="360" w:lineRule="auto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PingFang SC" w:cs="Times New Roman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Beyond Existing Rating Scales: Development of a Novel Nomogram for Predicting Severe Clinical Bleeding Associated with Low-Molecular-Weight Heparin in Hospitalized Medical Patients</w:t>
      </w:r>
    </w:p>
    <w:p w14:paraId="3EE3BE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</w:rPr>
      </w:pPr>
    </w:p>
    <w:p w14:paraId="2771ABA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</w:rPr>
        <w:t>Zai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eastAsia="zh-CN"/>
        </w:rPr>
        <w:t>l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</w:rPr>
        <w:t>in Fu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Xia Zhan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Min He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Zhijun Dong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4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Yuanyuan Fang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Xiaoying Zhang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Ting Zhou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Bo Jin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Da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eastAsia="zh-CN"/>
        </w:rPr>
        <w:t>b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u Zhu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Jian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eastAsia="zh-CN"/>
        </w:rPr>
        <w:t>r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ong Gu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Yi Zhou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Yi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eastAsia="zh-CN"/>
        </w:rPr>
        <w:t>f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ang Chen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Ming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eastAsia="zh-CN"/>
        </w:rPr>
        <w:t>h</w:t>
      </w:r>
      <w:r>
        <w:rPr>
          <w:rFonts w:hint="default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lang w:val="en-US" w:eastAsia="zh-CN"/>
        </w:rPr>
        <w:t>ua Xie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baseline"/>
          <w:lang w:val="en-US" w:eastAsia="zh-CN"/>
        </w:rPr>
        <w:t>, Yuan Hong</w:t>
      </w:r>
      <w:r>
        <w:rPr>
          <w:rFonts w:hint="eastAsia" w:ascii="Times New Roman" w:hAnsi="Times New Roman" w:eastAsia="黑体" w:cs="Times New Roman"/>
          <w:bCs/>
          <w:i w:val="0"/>
          <w:iCs w:val="0"/>
          <w:sz w:val="18"/>
          <w:szCs w:val="18"/>
          <w:highlight w:val="none"/>
          <w:vertAlign w:val="superscript"/>
          <w:lang w:val="en-US" w:eastAsia="zh-CN"/>
        </w:rPr>
        <w:t>5</w:t>
      </w:r>
      <w:bookmarkStart w:id="0" w:name="_GoBack"/>
      <w:bookmarkEnd w:id="0"/>
    </w:p>
    <w:p w14:paraId="23E77F4C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</w:rPr>
      </w:pPr>
    </w:p>
    <w:p w14:paraId="0767DB5B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vertAlign w:val="superscript"/>
          <w:lang w:val="en-US" w:eastAsia="zh-CN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</w:rPr>
        <w:t>T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able </w:t>
      </w:r>
      <w:r>
        <w:rPr>
          <w:rFonts w:hint="eastAsia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S1: Risk factor scoring 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 xml:space="preserve">criteria </w:t>
      </w:r>
      <w:r>
        <w:rPr>
          <w:rFonts w:hint="eastAsia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and risk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stratification</w:t>
      </w:r>
    </w:p>
    <w:tbl>
      <w:tblPr>
        <w:tblStyle w:val="3"/>
        <w:tblW w:w="4914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3924"/>
        <w:gridCol w:w="1361"/>
        <w:gridCol w:w="1048"/>
        <w:gridCol w:w="920"/>
      </w:tblGrid>
      <w:tr w14:paraId="3284F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67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2B501D8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e16fe38b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Risk Scores</w:t>
            </w:r>
          </w:p>
        </w:tc>
        <w:tc>
          <w:tcPr>
            <w:tcW w:w="234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978581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Helvetica-Bold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 xml:space="preserve">Applicable Risk Factors </w:t>
            </w:r>
            <w:r>
              <w:rPr>
                <w:rFonts w:hint="default" w:ascii="Times New Roman" w:hAnsi="Times New Roman" w:eastAsia="AdvTTe16fe38b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(score for each factor)</w:t>
            </w:r>
          </w:p>
        </w:tc>
        <w:tc>
          <w:tcPr>
            <w:tcW w:w="81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5D6B39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superscript"/>
                <w:lang w:val="en-US" w:eastAsia="zh-CN" w:bidi="ar"/>
              </w:rPr>
            </w:pPr>
            <w:r>
              <w:rPr>
                <w:rFonts w:hint="default" w:ascii="Times New Roman" w:hAnsi="Times New Roman" w:eastAsia="Helvetica-Bold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Inapplicable Risk Factors</w:t>
            </w: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superscript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superscript"/>
                <w:lang w:val="en-US" w:eastAsia="zh-CN" w:bidi="ar"/>
              </w:rPr>
              <w:t xml:space="preserve"> </w:t>
            </w:r>
          </w:p>
          <w:p w14:paraId="03AE181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Helvetica-Bold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(assign as "0")</w:t>
            </w:r>
          </w:p>
        </w:tc>
        <w:tc>
          <w:tcPr>
            <w:tcW w:w="62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D1B9A1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e16fe38b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Risk categories</w:t>
            </w:r>
          </w:p>
        </w:tc>
        <w:tc>
          <w:tcPr>
            <w:tcW w:w="54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BCE1B9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AdvTTe16fe38b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e16fe38b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Threshold value</w:t>
            </w:r>
          </w:p>
        </w:tc>
      </w:tr>
      <w:tr w14:paraId="20035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70" w:type="pct"/>
            <w:vMerge w:val="restart"/>
            <w:tcBorders>
              <w:top w:val="single" w:color="000000" w:sz="8" w:space="0"/>
              <w:left w:val="nil"/>
              <w:right w:val="nil"/>
            </w:tcBorders>
            <w:noWrap/>
            <w:vAlign w:val="center"/>
          </w:tcPr>
          <w:p w14:paraId="6E5AF35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HAS-BLED</w:t>
            </w:r>
          </w:p>
        </w:tc>
        <w:tc>
          <w:tcPr>
            <w:tcW w:w="2342" w:type="pct"/>
            <w:vMerge w:val="restart"/>
            <w:tcBorders>
              <w:top w:val="single" w:color="000000" w:sz="8" w:space="0"/>
              <w:left w:val="nil"/>
              <w:right w:val="nil"/>
            </w:tcBorders>
            <w:noWrap/>
            <w:vAlign w:val="center"/>
          </w:tcPr>
          <w:p w14:paraId="061A46B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SBP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160 mmHg (1)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; Dialysis, renal transplant, or serum reatinine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200 µmol/L (1); Cirrhosis, Bilirubin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 ULN, AST/ALT/ALP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3 ULN (1); Previous stroke (1); Previous major bleed or bleeding predisposition (anemia and/or severe thrombocytopenia) (1); Age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65 (1); APT/NSAIDs (1)</w:t>
            </w:r>
          </w:p>
        </w:tc>
        <w:tc>
          <w:tcPr>
            <w:tcW w:w="812" w:type="pct"/>
            <w:vMerge w:val="restart"/>
            <w:tcBorders>
              <w:top w:val="single" w:color="000000" w:sz="8" w:space="0"/>
              <w:left w:val="nil"/>
              <w:right w:val="nil"/>
            </w:tcBorders>
            <w:noWrap/>
            <w:vAlign w:val="center"/>
          </w:tcPr>
          <w:p w14:paraId="2CF8C33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Labile INR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2E31232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Alcohol excess</w:t>
            </w:r>
          </w:p>
        </w:tc>
        <w:tc>
          <w:tcPr>
            <w:tcW w:w="625" w:type="pct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2BC5EF4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096B727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0-1</w:t>
            </w:r>
          </w:p>
        </w:tc>
      </w:tr>
      <w:tr w14:paraId="32C70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12545AA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A54F31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665A931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D656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B9B6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2</w:t>
            </w:r>
          </w:p>
        </w:tc>
      </w:tr>
      <w:tr w14:paraId="6C7D4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7F0FC4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477632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786699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0AC5BE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F2A6DF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≥3</w:t>
            </w:r>
          </w:p>
        </w:tc>
      </w:tr>
      <w:tr w14:paraId="7FFC6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10EACA1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ORBIT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26EB1C5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Age </w:t>
            </w:r>
            <w:r>
              <w:rPr>
                <w:rFonts w:hint="default" w:ascii="Times New Roman" w:hAnsi="Times New Roman" w:eastAsia="AdvP4C4E74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75 (1); Hb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130 g/L in men or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120 g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/L in women (2); Any previous GI, intracranial or hemorrhagic stroke (2); eGFR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60 mg/dL/1.73 m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vertAlign w:val="superscript"/>
                <w:lang w:val="en-US" w:eastAsia="zh-CN" w:bidi="ar"/>
              </w:rPr>
              <w:t xml:space="preserve">2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vertAlign w:val="baseline"/>
                <w:lang w:val="en-US" w:eastAsia="zh-CN" w:bidi="ar"/>
              </w:rPr>
              <w:t>(1)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; APT (1)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2665831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A0B645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94C28C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0-2</w:t>
            </w:r>
          </w:p>
        </w:tc>
      </w:tr>
      <w:tr w14:paraId="74D7F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B5B5F0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21B134D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ACAA75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D2D8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e16fe38b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C26E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</w:t>
            </w:r>
          </w:p>
        </w:tc>
      </w:tr>
      <w:tr w14:paraId="12EA6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869ED3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3980AA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EF5E37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DD9378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BEF71E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≥4</w:t>
            </w:r>
          </w:p>
        </w:tc>
      </w:tr>
      <w:tr w14:paraId="426B8E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5FFC78E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ATRIA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41402FC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Hb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130 g/L in men or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120 g/L in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women (3); eGFR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&lt;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30 mL/min or dialysis dependent (3); Age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75 (2); Any previous GI, intracranial or hemorrhagic stroke (1); Hypertension (1)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7CBFF34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30DDD57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010D27C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0-3</w:t>
            </w:r>
          </w:p>
        </w:tc>
      </w:tr>
      <w:tr w14:paraId="5CD4B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77AFB1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67C9609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4FCB37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9216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e16fe38b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AA2B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</w:t>
            </w:r>
          </w:p>
        </w:tc>
      </w:tr>
      <w:tr w14:paraId="5A7CB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01CC52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E3EA99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D520A8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0AC1E7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7AB647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5-10</w:t>
            </w:r>
          </w:p>
        </w:tc>
      </w:tr>
      <w:tr w14:paraId="4F131F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077AF77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HEMORR2HAGES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581427B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P2D6C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End-stage renal disease, end-stage liver disease or cirrhosis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(1)</w:t>
            </w:r>
            <w:r>
              <w:rPr>
                <w:rFonts w:hint="default" w:ascii="Times New Roman" w:hAnsi="Times New Roman" w:eastAsia="AdvP2D6C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;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Malignancy (1); Age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&gt;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75 (1); </w:t>
            </w:r>
            <w:r>
              <w:rPr>
                <w:rFonts w:hint="default" w:ascii="Times New Roman" w:hAnsi="Times New Roman" w:eastAsia="AdvP2D6C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Aspirin use or thrombocytopenia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(1); Any previous GI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bleeding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, intracranial or hemorrhagic stroke (2); </w:t>
            </w:r>
            <w:r>
              <w:rPr>
                <w:rFonts w:hint="default" w:ascii="Times New Roman" w:hAnsi="Times New Roman" w:eastAsia="NewCaledonia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SBP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160 mmHg (1); Hb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130 g/L in men or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120 g/L in women (1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); Stroke (1)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3C27D0F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Ethanol abuse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0497790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Genetic factors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27CE925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Falls risk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560A802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CC47E4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0-1</w:t>
            </w:r>
          </w:p>
        </w:tc>
      </w:tr>
      <w:tr w14:paraId="6D05B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EBB32F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DD651A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3D47CF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508D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e16fe38b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A756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2-3</w:t>
            </w:r>
          </w:p>
        </w:tc>
      </w:tr>
      <w:tr w14:paraId="64377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602322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732F38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72DCB9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E59AE5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271608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≥4</w:t>
            </w:r>
          </w:p>
        </w:tc>
      </w:tr>
      <w:tr w14:paraId="71B83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0307F33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Shireman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77A46AA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Age </w:t>
            </w:r>
            <w:r>
              <w:rPr>
                <w:rFonts w:hint="default" w:ascii="Times New Roman" w:hAnsi="Times New Roman" w:eastAsia="AdvP4C4E74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70 (0.49); female (0.31); Any previous GI, intracranial or hemorrhagic stroke within 90 days (0.62) or beyond 90 days (0.58); </w:t>
            </w:r>
            <w:r>
              <w:rPr>
                <w:rFonts w:hint="default" w:ascii="Times New Roman" w:hAnsi="Times New Roman" w:eastAsia="NewCaledonia" w:cs="Times New Roman"/>
                <w:color w:val="231F20"/>
                <w:kern w:val="0"/>
                <w:sz w:val="16"/>
                <w:szCs w:val="16"/>
                <w:highlight w:val="none"/>
                <w:lang w:val="en-US" w:eastAsia="zh-CN" w:bidi="ar"/>
              </w:rPr>
              <w:t>Diabetes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 (0.27); Anemia (</w:t>
            </w:r>
            <w:r>
              <w:rPr>
                <w:rFonts w:hint="default" w:ascii="Times New Roman" w:hAnsi="Times New Roman" w:eastAsia="NewCaledonia" w:cs="Times New Roman"/>
                <w:color w:val="231F2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hematocrit of </w:t>
            </w:r>
            <w:r>
              <w:rPr>
                <w:rFonts w:hint="default" w:ascii="Times New Roman" w:hAnsi="Times New Roman" w:eastAsia="Universal-GreekwithMathPi" w:cs="Times New Roman"/>
                <w:color w:val="231F20"/>
                <w:kern w:val="0"/>
                <w:sz w:val="16"/>
                <w:szCs w:val="16"/>
                <w:highlight w:val="none"/>
                <w:lang w:val="en-US" w:eastAsia="zh-CN" w:bidi="ar"/>
              </w:rPr>
              <w:t>≤</w:t>
            </w:r>
            <w:r>
              <w:rPr>
                <w:rFonts w:hint="default" w:ascii="Times New Roman" w:hAnsi="Times New Roman" w:eastAsia="NewCaledonia" w:cs="Times New Roman"/>
                <w:color w:val="231F20"/>
                <w:kern w:val="0"/>
                <w:sz w:val="16"/>
                <w:szCs w:val="16"/>
                <w:highlight w:val="none"/>
                <w:lang w:val="en-US" w:eastAsia="zh-CN" w:bidi="ar"/>
              </w:rPr>
              <w:t>30%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) (0.86); APT (0.32)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753F29C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Alcohol/drug abuse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048BE9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F3BE7F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≤1.07</w:t>
            </w:r>
          </w:p>
        </w:tc>
      </w:tr>
      <w:tr w14:paraId="3252B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2FC1B54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1D0376A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579CFF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5514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5FEA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1.08-2.18</w:t>
            </w:r>
          </w:p>
        </w:tc>
      </w:tr>
      <w:tr w14:paraId="428D7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42F20E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CED45E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8BB785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3C5801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B426C4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≥2.19</w:t>
            </w:r>
          </w:p>
        </w:tc>
      </w:tr>
      <w:tr w14:paraId="371D2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121C966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OBRI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622B500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ge </w:t>
            </w:r>
            <w:r>
              <w:rPr>
                <w:rFonts w:hint="default" w:ascii="Times New Roman" w:hAnsi="Times New Roman" w:eastAsia="AdvP4C4E74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≥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65 (1); Previous stroke (1); Previous GI bleed (1); Comorbidity: </w:t>
            </w:r>
            <w:r>
              <w:rPr>
                <w:rFonts w:hint="default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Myocardial infarction, </w:t>
            </w:r>
            <w:r>
              <w:rPr>
                <w:rFonts w:hint="eastAsia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reatinine</w:t>
            </w:r>
            <w:r>
              <w:rPr>
                <w:rFonts w:hint="eastAsia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1.5 mg/dL, Severe anemia (hematocrit</w:t>
            </w:r>
            <w:r>
              <w:rPr>
                <w:rFonts w:hint="default" w:ascii="Times New Roman" w:hAnsi="Times New Roman" w:eastAsia="微软雅黑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Minion-Regular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0.30) or Diabetes mellitus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(1)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22A5A95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229AE95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D7B15B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</w:t>
            </w:r>
          </w:p>
        </w:tc>
      </w:tr>
      <w:tr w14:paraId="439A6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4FFF30D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31D0F7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65D26E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7A88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26E1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1-2</w:t>
            </w:r>
          </w:p>
        </w:tc>
      </w:tr>
      <w:tr w14:paraId="0D5F9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41A7AF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689207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5B48C7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28BF3D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CBDB70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≥3-4</w:t>
            </w:r>
          </w:p>
        </w:tc>
      </w:tr>
      <w:tr w14:paraId="48C4AD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7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6E90D2A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ACCP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4C46078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Age 66</w:t>
            </w:r>
            <w:r>
              <w:rPr>
                <w:rFonts w:hint="default" w:ascii="Times New Roman" w:hAnsi="Times New Roman" w:eastAsia="AdvTT349184da + 20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–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75 (1),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75 (1); Any previous GI, 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intracranial or hemorrhagic stroke (1); Active cancer (1); Metastatic cancer (1); Renal failure (eGFR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30 mL/min) (1), Liver failure (1); Thrombocytopenia (&lt;100×10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vertAlign w:val="superscript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/L) (1); Previous stroke (1); Diabetes mellitus (1); Anemia (1); APT (1); Comorbidity: Myocardial infarction, 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C</w:t>
            </w:r>
            <w:r>
              <w:rPr>
                <w:rFonts w:hint="default" w:ascii="Times New Roman" w:hAnsi="Times New Roman" w:eastAsia="PingFang SC" w:cs="Times New Roman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highlight w:val="none"/>
                <w:shd w:val="clear" w:color="auto" w:fill="auto"/>
              </w:rPr>
              <w:t>ongestive heart failure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, etc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(1); NSAIDs (1); Recent surgery (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3 months) (1)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3D51F04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TTR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60%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6495FF9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Frequent falls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648735F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Alcohol abuse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647C08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1C116C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</w:t>
            </w:r>
          </w:p>
        </w:tc>
      </w:tr>
      <w:tr w14:paraId="41189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264CF8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DA4382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6210AED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BC33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3BFC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1BC8A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2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EEF126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461BF4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3206E8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DF631D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0A2600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≥2</w:t>
            </w:r>
          </w:p>
        </w:tc>
      </w:tr>
      <w:tr w14:paraId="0D208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670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4618220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VTE-BLEED</w:t>
            </w:r>
          </w:p>
        </w:tc>
        <w:tc>
          <w:tcPr>
            <w:tcW w:w="234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26A6193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Active cancer (2); Male with </w:t>
            </w:r>
            <w:r>
              <w:rPr>
                <w:rFonts w:hint="default" w:ascii="Times New Roman" w:hAnsi="Times New Roman" w:eastAsia="NewCaledonia" w:cs="Times New Roman"/>
                <w:color w:val="231F20"/>
                <w:kern w:val="0"/>
                <w:sz w:val="16"/>
                <w:szCs w:val="16"/>
                <w:highlight w:val="none"/>
                <w:lang w:val="en-US" w:eastAsia="zh-CN" w:bidi="ar"/>
              </w:rPr>
              <w:t>SBP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0 mmHg (1); Anemia (1.5); Previous Bleeding (1.5); Age </w:t>
            </w:r>
            <w:r>
              <w:rPr>
                <w:rFonts w:hint="default" w:ascii="Times New Roman" w:hAnsi="Times New Roman" w:eastAsia="AdvP4C4E74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60 (1.5); </w:t>
            </w:r>
            <w:r>
              <w:rPr>
                <w:rFonts w:hint="default" w:ascii="Times New Roman" w:hAnsi="Times New Roman" w:eastAsia="AdvOT47d13e92 . B" w:cs="Times New Roman"/>
                <w:color w:val="231F2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Creatinine clearance &lt;60 mL/min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(1.5);</w:t>
            </w:r>
          </w:p>
        </w:tc>
        <w:tc>
          <w:tcPr>
            <w:tcW w:w="812" w:type="pct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vAlign w:val="center"/>
          </w:tcPr>
          <w:p w14:paraId="07B8126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2411606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BA79A7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&lt;2</w:t>
            </w:r>
          </w:p>
        </w:tc>
      </w:tr>
      <w:tr w14:paraId="672E4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35468E0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0120CF8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5A98EF4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413757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90405E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≥2</w:t>
            </w:r>
          </w:p>
        </w:tc>
      </w:tr>
      <w:tr w14:paraId="20066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6EC2D65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fb384cdb . I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fb384cdb . I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Hokusai</w:t>
            </w:r>
          </w:p>
        </w:tc>
        <w:tc>
          <w:tcPr>
            <w:tcW w:w="2342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5185F08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fb384cdb . I" w:cs="Times New Roman"/>
                <w:b/>
                <w:bCs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fb384cdb . I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Female sex (1); APT (1); Hb &lt;100 g/L (1); History of hypertension (1); SBP &gt;160 mmHg (1)</w:t>
            </w:r>
          </w:p>
        </w:tc>
        <w:tc>
          <w:tcPr>
            <w:tcW w:w="812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2821D82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2786DDC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5CC3651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</w:t>
            </w:r>
          </w:p>
        </w:tc>
      </w:tr>
      <w:tr w14:paraId="39B72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70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56D9F2A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13A098F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right w:val="nil"/>
            </w:tcBorders>
            <w:noWrap/>
            <w:vAlign w:val="center"/>
          </w:tcPr>
          <w:p w14:paraId="79C0225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FA5F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37EB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4EED5B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3A56CC0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4495F01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4426C06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D6C46D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6AD713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≥2</w:t>
            </w:r>
          </w:p>
        </w:tc>
      </w:tr>
      <w:tr w14:paraId="0C854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4073CB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Seiler</w:t>
            </w:r>
          </w:p>
        </w:tc>
        <w:tc>
          <w:tcPr>
            <w:tcW w:w="2342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D7419D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Previous major bleeding (1); Active cancer (1); Hb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130 g/L in men or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120 g/L in women (1); Thrombocytopenia (&lt;100×10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vertAlign w:val="superscript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/L) (1); APT/NSAIDs (1)</w:t>
            </w:r>
          </w:p>
        </w:tc>
        <w:tc>
          <w:tcPr>
            <w:tcW w:w="812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FD6939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Low physical activity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;</w:t>
            </w:r>
          </w:p>
          <w:p w14:paraId="5DADBFA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Poor INR control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1CC0992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3563C5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0-1</w:t>
            </w:r>
          </w:p>
        </w:tc>
      </w:tr>
      <w:tr w14:paraId="0407BD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6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5DB55B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84C3EE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E7B15E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D3CD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E8D5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2-3</w:t>
            </w:r>
          </w:p>
        </w:tc>
      </w:tr>
      <w:tr w14:paraId="3964C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F35B3B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234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57BC47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81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4B2C83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B93459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A45AF2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&gt;3</w:t>
            </w:r>
          </w:p>
        </w:tc>
      </w:tr>
      <w:tr w14:paraId="50D9A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670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1984809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IMPROVE</w:t>
            </w:r>
          </w:p>
        </w:tc>
        <w:tc>
          <w:tcPr>
            <w:tcW w:w="2342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722E577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Active GI ulcer (4.5);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 Recent bleed (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3 months) (4); Thrombocytopenia (&lt;50×10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vertAlign w:val="superscript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/L) (4); Age </w:t>
            </w:r>
            <w:r>
              <w:rPr>
                <w:rFonts w:hint="default" w:ascii="Times New Roman" w:hAnsi="Times New Roman" w:eastAsia="AdvP4C4E74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75 (3.5); Hepatic failure (INR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1.5) (2.5); Renal failure (2.5); ICU/CCU admission (2.5); Central venous catheter (2); Rheumatic disease (2); Curren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t cancer (2); Male (1)</w:t>
            </w:r>
          </w:p>
        </w:tc>
        <w:tc>
          <w:tcPr>
            <w:tcW w:w="812" w:type="pct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 w14:paraId="5729649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2FF5B4B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2398C46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&lt;7</w:t>
            </w:r>
          </w:p>
        </w:tc>
      </w:tr>
      <w:tr w14:paraId="257FE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670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66166F6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4BF72EC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left w:val="nil"/>
              <w:bottom w:val="nil"/>
              <w:right w:val="nil"/>
            </w:tcBorders>
            <w:noWrap/>
            <w:vAlign w:val="center"/>
          </w:tcPr>
          <w:p w14:paraId="54F3B41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A25C1A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93B2E6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≥7</w:t>
            </w:r>
          </w:p>
        </w:tc>
      </w:tr>
      <w:tr w14:paraId="1C69A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67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7F7F34F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fb384cdb . I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RIETE</w:t>
            </w:r>
          </w:p>
        </w:tc>
        <w:tc>
          <w:tcPr>
            <w:tcW w:w="2342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0A9114E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Recent major blee</w:t>
            </w:r>
            <w:r>
              <w:rPr>
                <w:rFonts w:hint="eastAsia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ding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TimesNewRomanPS-OV-MEESHB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&lt;15 day</w:t>
            </w:r>
            <w:r>
              <w:rPr>
                <w:rFonts w:hint="default" w:ascii="Times New Roman" w:hAnsi="Times New Roman" w:eastAsia="TimesNewRomanPS-OV-MEESHB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) (2); Creatinine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1.2 mg/dL (1.5); Anemia (Hb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130 g/L in men or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&lt;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 xml:space="preserve">120 g/L in women) (1.5); Cancer (1); Pulmonary embolism (1); Age </w:t>
            </w:r>
            <w:r>
              <w:rPr>
                <w:rFonts w:hint="default" w:ascii="Times New Roman" w:hAnsi="Times New Roman" w:eastAsia="AdvP4C4E51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shd w:val="clear" w:color="auto" w:fill="auto"/>
                <w:lang w:val="en-US" w:eastAsia="zh-CN" w:bidi="ar"/>
              </w:rPr>
              <w:t>75 (</w:t>
            </w:r>
            <w:r>
              <w:rPr>
                <w:rFonts w:hint="default" w:ascii="Times New Roman" w:hAnsi="Times New Roman" w:eastAsia="AdvTT349184da" w:cs="Times New Roman"/>
                <w:color w:val="000000"/>
                <w:kern w:val="0"/>
                <w:sz w:val="16"/>
                <w:szCs w:val="16"/>
                <w:highlight w:val="none"/>
                <w:lang w:val="en-US" w:eastAsia="zh-CN" w:bidi="ar"/>
              </w:rPr>
              <w:t>1)</w:t>
            </w:r>
          </w:p>
        </w:tc>
        <w:tc>
          <w:tcPr>
            <w:tcW w:w="812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2253443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eastAsia="Helvetica-Bold" w:cs="Times New Roman"/>
                <w:b w:val="0"/>
                <w:bCs w:val="0"/>
                <w:color w:val="000000"/>
                <w:kern w:val="0"/>
                <w:sz w:val="16"/>
                <w:szCs w:val="16"/>
                <w:highlight w:val="none"/>
                <w:vertAlign w:val="baseline"/>
                <w:lang w:val="en-US" w:eastAsia="zh-CN" w:bidi="ar"/>
              </w:rPr>
              <w:t>NA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3402511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7474EB6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</w:t>
            </w:r>
          </w:p>
        </w:tc>
      </w:tr>
      <w:tr w14:paraId="3FCED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70" w:type="pct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473B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2342" w:type="pct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6C8C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812" w:type="pct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C394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sz w:val="16"/>
                <w:szCs w:val="16"/>
                <w:highlight w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9CF9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90DC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1-4</w:t>
            </w:r>
          </w:p>
        </w:tc>
      </w:tr>
      <w:tr w14:paraId="56F00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70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7528633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342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1C321BF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12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12C2AE9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516E3C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30BA8F2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&gt;4</w:t>
            </w:r>
          </w:p>
        </w:tc>
      </w:tr>
    </w:tbl>
    <w:p w14:paraId="3CD6925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16"/>
          <w:szCs w:val="16"/>
          <w:highlight w:val="none"/>
          <w:lang w:val="en-US"/>
        </w:rPr>
      </w:pPr>
      <w:r>
        <w:rPr>
          <w:rFonts w:hint="default" w:ascii="Times New Roman" w:hAnsi="Times New Roman" w:eastAsia="GuardianSansGR-Regular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>Abbreviations:</w:t>
      </w:r>
      <w:r>
        <w:rPr>
          <w:rFonts w:hint="default" w:ascii="Times New Roman" w:hAnsi="Times New Roman" w:eastAsia="GuardianSansGR-Regular" w:cs="Times New Roman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Regular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SBP, S</w:t>
      </w:r>
      <w:r>
        <w:rPr>
          <w:rFonts w:hint="default" w:ascii="Times New Roman" w:hAnsi="Times New Roman" w:eastAsia="AdvTT349184d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ystolic blood pressure; AST, A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</w:rPr>
        <w:t xml:space="preserve">spartate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</w:rPr>
        <w:t>ransaminase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ALT, Alanine transaminase; </w:t>
      </w:r>
      <w:r>
        <w:rPr>
          <w:rFonts w:hint="default" w:ascii="Times New Roman" w:hAnsi="Times New Roman" w:eastAsia="MyriadPro-Regular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ALP, Alkaline phosphatase; </w:t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ULN</w:t>
      </w:r>
      <w:r>
        <w:rPr>
          <w:rFonts w:hint="default" w:ascii="Times New Roman" w:hAnsi="Times New Roman" w:eastAsia="MyriadPro-Regular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U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pper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imit of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ormal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alue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APT, </w:t>
      </w:r>
      <w:r>
        <w:rPr>
          <w:rFonts w:hint="default" w:ascii="Times New Roman" w:hAnsi="Times New Roman" w:eastAsia="AdvTT349184d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Antiplatelet therapy; NSAIDs, </w:t>
      </w:r>
      <w:r>
        <w:rPr>
          <w:rFonts w:hint="default" w:ascii="Times New Roman" w:hAnsi="Times New Roman" w:eastAsia="Lato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Non-steroidal anti-inflammatory drugs; </w:t>
      </w:r>
      <w:r>
        <w:rPr>
          <w:rFonts w:hint="default" w:ascii="Times New Roman" w:hAnsi="Times New Roman" w:eastAsia="AdvTT349184d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Hb, Hemoglobin; GI, Gastrointestinal; eGFR,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  <w:lang w:val="en-US" w:eastAsia="zh-CN"/>
        </w:rPr>
        <w:t>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</w:rPr>
        <w:t xml:space="preserve">stimated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  <w:lang w:val="en-US" w:eastAsia="zh-CN"/>
        </w:rPr>
        <w:t>g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</w:rPr>
        <w:t xml:space="preserve">lomerular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  <w:lang w:val="en-US" w:eastAsia="zh-CN"/>
        </w:rPr>
        <w:t>f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</w:rPr>
        <w:t xml:space="preserve">iltration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  <w:lang w:val="en-US" w:eastAsia="zh-CN"/>
        </w:rPr>
        <w:t>r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</w:rPr>
        <w:t>ate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16"/>
          <w:szCs w:val="16"/>
          <w:highlight w:val="none"/>
          <w:u w:val="none"/>
          <w:shd w:val="clear" w:color="auto" w:fill="FFFFFF"/>
          <w:lang w:val="en-US" w:eastAsia="zh-CN"/>
        </w:rPr>
        <w:t>;</w:t>
      </w:r>
      <w:r>
        <w:rPr>
          <w:rFonts w:hint="default" w:ascii="Times New Roman" w:hAnsi="Times New Roman" w:eastAsia="AdvTT349184d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NewCaledonia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INR, International normalized ratio; </w:t>
      </w:r>
      <w:r>
        <w:rPr>
          <w:rFonts w:hint="default" w:ascii="Times New Roman" w:hAnsi="Times New Roman" w:eastAsia="AdvTT349184d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ICU, Intensive care unit; CCU, Coronary care unit; TTR, Time in the therapeutic range; </w:t>
      </w:r>
      <w:r>
        <w:rPr>
          <w:rFonts w:hint="default" w:ascii="Times New Roman" w:hAnsi="Times New Roman" w:eastAsia="GuardianSansGR-Regular" w:cs="Times New Roman"/>
          <w:color w:val="231F20"/>
          <w:kern w:val="0"/>
          <w:sz w:val="16"/>
          <w:szCs w:val="16"/>
          <w:highlight w:val="none"/>
          <w:lang w:val="en-US" w:eastAsia="zh-CN" w:bidi="ar"/>
        </w:rPr>
        <w:t>NA, not applicable.</w:t>
      </w:r>
    </w:p>
    <w:p w14:paraId="4B467C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vertAlign w:val="baseline"/>
          <w:lang w:val="en-US" w:eastAsia="zh-CN" w:bidi="ar"/>
        </w:rPr>
      </w:pP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vertAlign w:val="superscript"/>
          <w:lang w:val="en-US" w:eastAsia="zh-CN" w:bidi="ar"/>
        </w:rPr>
        <w:t xml:space="preserve">a 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vertAlign w:val="baseline"/>
          <w:lang w:val="en-US" w:eastAsia="zh-CN" w:bidi="ar"/>
        </w:rPr>
        <w:t>The criteria for inapplicable risk factors include rare incidence rate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vertAlign w:val="baseline"/>
          <w:lang w:val="en-US" w:eastAsia="zh-CN" w:bidi="ar"/>
        </w:rPr>
        <w:t>s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vertAlign w:val="baseline"/>
          <w:lang w:val="en-US" w:eastAsia="zh-CN" w:bidi="ar"/>
        </w:rPr>
        <w:t>, unavailability, or challenges in monitoring.</w:t>
      </w:r>
    </w:p>
    <w:p w14:paraId="21E9EEC8">
      <w:pPr>
        <w:keepNext w:val="0"/>
        <w:keepLines w:val="0"/>
        <w:widowControl/>
        <w:suppressLineNumbers w:val="0"/>
        <w:shd w:val="clear" w:color="auto" w:fill="auto"/>
        <w:spacing w:line="360" w:lineRule="auto"/>
        <w:jc w:val="left"/>
        <w:rPr>
          <w:rFonts w:hint="default" w:ascii="Times New Roman" w:hAnsi="Times New Roman" w:eastAsia="PingFangSC-Regular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AFBFF"/>
        </w:rPr>
      </w:pPr>
    </w:p>
    <w:p w14:paraId="550A8FE3">
      <w:pPr>
        <w:keepNext w:val="0"/>
        <w:keepLines w:val="0"/>
        <w:widowControl/>
        <w:suppressLineNumbers w:val="0"/>
        <w:shd w:val="clear" w:color="auto" w:fill="auto"/>
        <w:spacing w:line="360" w:lineRule="auto"/>
        <w:jc w:val="left"/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/>
        </w:rPr>
      </w:pPr>
      <w:r>
        <w:rPr>
          <w:rFonts w:hint="default" w:ascii="Times New Roman" w:hAnsi="Times New Roman" w:eastAsia="PingFangSC-Regular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AFBFF"/>
        </w:rPr>
        <w:t xml:space="preserve">Table </w:t>
      </w:r>
      <w:r>
        <w:rPr>
          <w:rFonts w:hint="eastAsia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S2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>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Risk categories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 xml:space="preserve"> in both 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LSCB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 xml:space="preserve"> and non-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LSCB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 xml:space="preserve"> groups</w:t>
      </w:r>
    </w:p>
    <w:tbl>
      <w:tblPr>
        <w:tblStyle w:val="3"/>
        <w:tblW w:w="83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170"/>
        <w:gridCol w:w="1110"/>
        <w:gridCol w:w="1035"/>
        <w:gridCol w:w="1170"/>
        <w:gridCol w:w="1322"/>
        <w:gridCol w:w="992"/>
      </w:tblGrid>
      <w:tr w14:paraId="4171C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559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083667D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Risk score</w:t>
            </w:r>
          </w:p>
        </w:tc>
        <w:tc>
          <w:tcPr>
            <w:tcW w:w="3315" w:type="dxa"/>
            <w:gridSpan w:val="3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46427A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Risk categories (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LSCB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 xml:space="preserve"> Group, n=363)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, %</w:t>
            </w:r>
          </w:p>
        </w:tc>
        <w:tc>
          <w:tcPr>
            <w:tcW w:w="3484" w:type="dxa"/>
            <w:gridSpan w:val="3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8F0985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Risk categories (Non-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LSCB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 xml:space="preserve"> Group, n=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1089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)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, %</w:t>
            </w:r>
          </w:p>
        </w:tc>
      </w:tr>
      <w:tr w14:paraId="75F80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559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3C7EA3D7">
            <w:pPr>
              <w:keepNext w:val="0"/>
              <w:keepLines w:val="0"/>
              <w:pageBreakBefore w:val="0"/>
              <w:widowControl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0E9665A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1110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37F9518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1035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692547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505C2CC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Low</w:t>
            </w:r>
          </w:p>
        </w:tc>
        <w:tc>
          <w:tcPr>
            <w:tcW w:w="1322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EF9139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Intermediate</w:t>
            </w:r>
          </w:p>
        </w:tc>
        <w:tc>
          <w:tcPr>
            <w:tcW w:w="992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21C1C23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High</w:t>
            </w:r>
          </w:p>
        </w:tc>
      </w:tr>
      <w:tr w14:paraId="5BF3E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  <w:jc w:val="center"/>
        </w:trPr>
        <w:tc>
          <w:tcPr>
            <w:tcW w:w="1559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7AAF4D2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HAS-BLED</w:t>
            </w:r>
          </w:p>
        </w:tc>
        <w:tc>
          <w:tcPr>
            <w:tcW w:w="1170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2DEE90D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25.1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163789B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37.5</w:t>
            </w:r>
          </w:p>
        </w:tc>
        <w:tc>
          <w:tcPr>
            <w:tcW w:w="1035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7460380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37.2</w:t>
            </w:r>
          </w:p>
        </w:tc>
        <w:tc>
          <w:tcPr>
            <w:tcW w:w="1170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175B2D7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43.4</w:t>
            </w:r>
          </w:p>
        </w:tc>
        <w:tc>
          <w:tcPr>
            <w:tcW w:w="1322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657E97C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35.5</w:t>
            </w:r>
          </w:p>
        </w:tc>
        <w:tc>
          <w:tcPr>
            <w:tcW w:w="992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764A331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21.0</w:t>
            </w:r>
          </w:p>
        </w:tc>
      </w:tr>
      <w:tr w14:paraId="65389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4272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ORBIT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DB8D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19.3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7E4E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24.8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42EA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A4FA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14.1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0715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46.0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F4FF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39.9</w:t>
            </w:r>
          </w:p>
        </w:tc>
      </w:tr>
      <w:tr w14:paraId="5398F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6352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ATRIA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6DBA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47.9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95D9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9.1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6794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47.4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3CCE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47.9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4617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D2C0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47.5</w:t>
            </w:r>
          </w:p>
        </w:tc>
      </w:tr>
      <w:tr w14:paraId="16C62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5B6C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HEMORR2HAGES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704A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9.9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C64C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64.2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7D73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E612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29.4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7AEC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60.7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3DD5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10.0</w:t>
            </w:r>
          </w:p>
        </w:tc>
      </w:tr>
      <w:tr w14:paraId="1A9BE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AE04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Shireman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0704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17.1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5692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71.3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3FC9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12.4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17DB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28.7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4514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66.8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73ED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4.6</w:t>
            </w:r>
          </w:p>
        </w:tc>
      </w:tr>
      <w:tr w14:paraId="25D4B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6336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OBRI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5FDC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1.7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3543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72.5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C5AF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26.2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47E7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5.1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F047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88.0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2CDB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7.1</w:t>
            </w:r>
          </w:p>
        </w:tc>
      </w:tr>
      <w:tr w14:paraId="547CE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B5AE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ACCP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CBF5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0.8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4604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5.8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7D4F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93.1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0D25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C55F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13.6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1080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83.5</w:t>
            </w:r>
          </w:p>
        </w:tc>
      </w:tr>
      <w:tr w14:paraId="16C9C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1628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VTE-BLEED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E2D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9.4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11A7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NA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1C59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90.6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84E0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25.7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1445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FAE3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74.3</w:t>
            </w:r>
          </w:p>
        </w:tc>
      </w:tr>
      <w:tr w14:paraId="6919D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C463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Hokusai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D8BB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4.7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EA9D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35.0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8541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60.3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D94E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8.6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67ED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35.3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2FF3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56.1</w:t>
            </w:r>
          </w:p>
        </w:tc>
      </w:tr>
      <w:tr w14:paraId="46AC34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0B90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Seiler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CC35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5.5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24AA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74.7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AD76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19.8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5406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10.3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66C9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79.2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7E31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10.6</w:t>
            </w:r>
          </w:p>
        </w:tc>
      </w:tr>
      <w:tr w14:paraId="70238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97A9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IMPROVE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CFE6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62.0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D933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NA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2FBF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38.0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7E0BF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82.3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6C51C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52B7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17.7</w:t>
            </w:r>
          </w:p>
        </w:tc>
      </w:tr>
      <w:tr w14:paraId="27B68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559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0A03236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RIETE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CEFB83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1.9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22C3164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82.9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41AE246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15.2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374B236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7.9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0B9CAAF0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85.1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E0E314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7.1</w:t>
            </w:r>
          </w:p>
        </w:tc>
      </w:tr>
    </w:tbl>
    <w:p w14:paraId="1741F2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GuardianSansGR-Regular" w:cs="Times New Roman"/>
          <w:color w:val="231F20"/>
          <w:kern w:val="0"/>
          <w:sz w:val="16"/>
          <w:szCs w:val="16"/>
          <w:highlight w:val="none"/>
          <w:lang w:val="en-US" w:eastAsia="zh-CN" w:bidi="ar"/>
        </w:rPr>
      </w:pPr>
      <w:r>
        <w:rPr>
          <w:rFonts w:hint="default" w:ascii="Times New Roman" w:hAnsi="Times New Roman" w:eastAsia="GuardianSansGR-Regular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>Abbreviations:</w:t>
      </w:r>
      <w:r>
        <w:rPr>
          <w:rFonts w:hint="eastAsia" w:ascii="Times New Roman" w:hAnsi="Times New Roman" w:eastAsia="GuardianSansGR-Regular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GuardianSansGR-Regular" w:cs="Times New Roman"/>
          <w:color w:val="231F20"/>
          <w:kern w:val="0"/>
          <w:sz w:val="16"/>
          <w:szCs w:val="16"/>
          <w:highlight w:val="none"/>
          <w:lang w:val="en-US" w:eastAsia="zh-CN" w:bidi="ar"/>
        </w:rPr>
        <w:t>NA, not applicable.</w:t>
      </w:r>
    </w:p>
    <w:p w14:paraId="2D383756">
      <w:pPr>
        <w:keepNext w:val="0"/>
        <w:keepLines w:val="0"/>
        <w:widowControl/>
        <w:suppressLineNumbers w:val="0"/>
        <w:shd w:val="clear" w:color="auto" w:fill="auto"/>
        <w:jc w:val="left"/>
        <w:rPr>
          <w:rFonts w:hint="default" w:ascii="Times New Roman" w:hAnsi="Times New Roman" w:eastAsia="GillSansMTPro-Bold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</w:pPr>
    </w:p>
    <w:p w14:paraId="0E52BF18">
      <w:pPr>
        <w:keepNext w:val="0"/>
        <w:keepLines w:val="0"/>
        <w:widowControl/>
        <w:suppressLineNumbers w:val="0"/>
        <w:shd w:val="clear" w:color="auto" w:fill="auto"/>
        <w:jc w:val="left"/>
        <w:rPr>
          <w:rFonts w:hint="default" w:ascii="Times New Roman" w:hAnsi="Times New Roman" w:cs="Times New Roman"/>
          <w:b/>
          <w:bCs/>
          <w:sz w:val="16"/>
          <w:szCs w:val="16"/>
          <w:highlight w:val="none"/>
          <w:lang w:val="en-US"/>
        </w:rPr>
      </w:pPr>
      <w:r>
        <w:rPr>
          <w:rFonts w:hint="default" w:ascii="Times New Roman" w:hAnsi="Times New Roman" w:eastAsia="GillSansMTPro-Bold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Table</w:t>
      </w:r>
      <w:r>
        <w:rPr>
          <w:rFonts w:hint="eastAsia" w:ascii="Times New Roman" w:hAnsi="Times New Roman" w:eastAsia="GillSansMTPro-Bold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S3:</w:t>
      </w:r>
      <w:r>
        <w:rPr>
          <w:rFonts w:hint="default" w:ascii="Times New Roman" w:hAnsi="Times New Roman" w:eastAsia="GillSansMTPro-Bold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Evaluation of the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available rating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B2E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>s</w:t>
      </w:r>
      <w:r>
        <w:rPr>
          <w:rFonts w:hint="default" w:ascii="Times New Roman" w:hAnsi="Times New Roman" w:eastAsia="PingFangSC-Regular" w:cs="Times New Roman"/>
          <w:b/>
          <w:bCs/>
          <w:i w:val="0"/>
          <w:iCs w:val="0"/>
          <w:caps w:val="0"/>
          <w:color w:val="2A2B2E"/>
          <w:spacing w:val="0"/>
          <w:sz w:val="16"/>
          <w:szCs w:val="16"/>
          <w:highlight w:val="none"/>
          <w:shd w:val="clear" w:color="auto" w:fill="FAFBFF"/>
        </w:rPr>
        <w:t>cales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b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ased on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s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tratification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i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nto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h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igh and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l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ow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/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ntermediate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 xml:space="preserve">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r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isk of 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b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leeding</w:t>
      </w:r>
      <w:r>
        <w:rPr>
          <w:rFonts w:hint="eastAsia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vertAlign w:val="superscript"/>
          <w:lang w:val="en-US" w:eastAsia="zh-CN" w:bidi="ar"/>
        </w:rPr>
        <w:t>a</w:t>
      </w:r>
    </w:p>
    <w:tbl>
      <w:tblPr>
        <w:tblStyle w:val="3"/>
        <w:tblW w:w="83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1"/>
        <w:gridCol w:w="1937"/>
        <w:gridCol w:w="2085"/>
        <w:gridCol w:w="2085"/>
      </w:tblGrid>
      <w:tr w14:paraId="353CF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223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46D1323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Risk score</w:t>
            </w:r>
          </w:p>
        </w:tc>
        <w:tc>
          <w:tcPr>
            <w:tcW w:w="193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883DE0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  <w:lang w:val="en-US" w:eastAsia="zh-CN"/>
              </w:rPr>
              <w:t>AUCs</w:t>
            </w:r>
          </w:p>
          <w:p w14:paraId="223CC69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>(95% CI)</w:t>
            </w:r>
          </w:p>
        </w:tc>
        <w:tc>
          <w:tcPr>
            <w:tcW w:w="208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2E16EBE2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>Sensitivity</w:t>
            </w:r>
          </w:p>
          <w:p w14:paraId="4B2BBC8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>(95% CI)</w:t>
            </w:r>
          </w:p>
        </w:tc>
        <w:tc>
          <w:tcPr>
            <w:tcW w:w="208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26623EA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>Specificity</w:t>
            </w:r>
          </w:p>
          <w:p w14:paraId="389F1AC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>(95% CI)</w:t>
            </w:r>
          </w:p>
        </w:tc>
      </w:tr>
      <w:tr w14:paraId="1FB97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2231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26739703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HAS-BLED</w:t>
            </w:r>
          </w:p>
        </w:tc>
        <w:tc>
          <w:tcPr>
            <w:tcW w:w="1937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67CB92E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0.62 (0.58-0.65)</w:t>
            </w:r>
          </w:p>
        </w:tc>
        <w:tc>
          <w:tcPr>
            <w:tcW w:w="2085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7D097CD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37.1 (32.0-42.5)</w:t>
            </w:r>
          </w:p>
        </w:tc>
        <w:tc>
          <w:tcPr>
            <w:tcW w:w="2085" w:type="dxa"/>
            <w:tcBorders>
              <w:top w:val="single" w:color="000000" w:sz="8" w:space="0"/>
              <w:left w:val="nil"/>
              <w:bottom w:val="nil"/>
              <w:right w:val="nil"/>
            </w:tcBorders>
            <w:noWrap/>
            <w:vAlign w:val="center"/>
          </w:tcPr>
          <w:p w14:paraId="47E984A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79.0 (76.4-81.4)</w:t>
            </w:r>
          </w:p>
        </w:tc>
      </w:tr>
      <w:tr w14:paraId="0CF18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22D7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ORBIT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9B90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0.61 (0.57-0.64)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4E80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56.1 (50.6-61.4)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0E6F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60.1 (57.1-63.0)</w:t>
            </w:r>
          </w:p>
        </w:tc>
      </w:tr>
      <w:tr w14:paraId="328FE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3205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ATRIA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04D6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0.65 (0.61-0.68)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7216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69.8 (64.6-74.6)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A349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52.5 (49.5-55.5)</w:t>
            </w:r>
          </w:p>
        </w:tc>
      </w:tr>
      <w:tr w14:paraId="33A3A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C9D2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HEMORR2HAGES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E8A4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0.68 (0.65-0.71)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6C7C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25.9 (21.4-30.9)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9046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89.6 (87.6-91.4)</w:t>
            </w:r>
          </w:p>
        </w:tc>
      </w:tr>
      <w:tr w14:paraId="1D807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A7FE1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Shireman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9C66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0.62 (0.58-0.65)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34EC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12.5 (9.3-16.5)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115F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95.4 (94.0-96.5)</w:t>
            </w:r>
          </w:p>
        </w:tc>
      </w:tr>
      <w:tr w14:paraId="08A61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6E64B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OBRI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C14B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0.66 (0.63-0.70)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428B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26.2 (21.7-31.2)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34AA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93.0 (91.3-94.4)</w:t>
            </w:r>
          </w:p>
        </w:tc>
      </w:tr>
      <w:tr w14:paraId="0E503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F6D05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ACCP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0F41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</w:t>
            </w:r>
            <w:r>
              <w:rPr>
                <w:rFonts w:hint="eastAsia" w:ascii="Times New Roman" w:hAnsi="Times New Roman" w:cs="Times New Roman"/>
                <w:color w:val="000000"/>
                <w:sz w:val="16"/>
                <w:szCs w:val="16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 (0.62-0.6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E2C34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93.2 (89.8-95.4)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0943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16.4 (14.3-18.8)</w:t>
            </w:r>
          </w:p>
        </w:tc>
      </w:tr>
      <w:tr w14:paraId="2BE7E0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F425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VTE-BLEED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4DB4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0.65 (0.61-0.68)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6A18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90.7 (87.0-93.4)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9F7C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25.7 (23.1-28.4)</w:t>
            </w:r>
          </w:p>
        </w:tc>
      </w:tr>
      <w:tr w14:paraId="262BA2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CBA4D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Hokusai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FD26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0.52 (0.49-0.56)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7F8B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60.1 (54.7-65.3)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7F5F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43.8 (40.9-46.8)</w:t>
            </w:r>
          </w:p>
        </w:tc>
      </w:tr>
      <w:tr w14:paraId="2ADD6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9DE67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Seiler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4EF9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16"/>
                <w:szCs w:val="16"/>
                <w:highlight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 (0.5</w:t>
            </w:r>
            <w:r>
              <w:rPr>
                <w:rFonts w:hint="eastAsia" w:ascii="Times New Roman" w:hAnsi="Times New Roman" w:cs="Times New Roman"/>
                <w:color w:val="000000"/>
                <w:sz w:val="16"/>
                <w:szCs w:val="16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-0.6</w:t>
            </w:r>
            <w:r>
              <w:rPr>
                <w:rFonts w:hint="eastAsia" w:ascii="Times New Roman" w:hAnsi="Times New Roman" w:cs="Times New Roman"/>
                <w:color w:val="000000"/>
                <w:sz w:val="16"/>
                <w:szCs w:val="16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6B06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19.9 (15.9-24.7)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DACB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89.5 (95.6-97.8)</w:t>
            </w:r>
          </w:p>
        </w:tc>
      </w:tr>
      <w:tr w14:paraId="3ECC15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1B9F9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IMPROVE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E96C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0.64 (0.60-0.68)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3BA5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38.3 (33.2-43.7)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6414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86.4 (82.2-89.8)</w:t>
            </w:r>
          </w:p>
        </w:tc>
      </w:tr>
      <w:tr w14:paraId="5868D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2231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6604104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RIETE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8CF453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0.66 (0.63-0.69)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D9971C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65.7 (60.4-70.7)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9F16CE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6"/>
                <w:szCs w:val="16"/>
                <w:highlight w:val="none"/>
              </w:rPr>
              <w:t>59.7 (56.7-62.6)</w:t>
            </w:r>
          </w:p>
        </w:tc>
      </w:tr>
    </w:tbl>
    <w:p w14:paraId="2791B99C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</w:pPr>
      <w:r>
        <w:rPr>
          <w:rFonts w:hint="default" w:ascii="Times New Roman" w:hAnsi="Times New Roman" w:eastAsia="GuardianSansGR-Regular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Abbreviations: 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CI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</w:rPr>
        <w:t xml:space="preserve">Confidence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</w:rPr>
        <w:t>nterval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</w:t>
      </w:r>
      <w:r>
        <w:rPr>
          <w:rFonts w:hint="default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>AUC, Area under the ROC curve.</w:t>
      </w:r>
    </w:p>
    <w:p w14:paraId="3EEFA2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2A2B2E"/>
          <w:spacing w:val="0"/>
          <w:sz w:val="16"/>
          <w:szCs w:val="16"/>
          <w:highlight w:val="none"/>
          <w:shd w:val="clear" w:color="auto" w:fill="FAFBFF"/>
          <w:lang w:val="en-US" w:eastAsia="zh-CN"/>
        </w:rPr>
      </w:pPr>
      <w:r>
        <w:rPr>
          <w:rFonts w:hint="default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vertAlign w:val="superscript"/>
          <w:lang w:val="en-US" w:eastAsia="zh-CN" w:bidi="ar"/>
        </w:rPr>
        <w:t xml:space="preserve">a </w:t>
      </w:r>
      <w:r>
        <w:rPr>
          <w:rFonts w:hint="default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>Patients were stratified as having a high or a low/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olor w:val="000000"/>
          <w:kern w:val="0"/>
          <w:sz w:val="16"/>
          <w:szCs w:val="16"/>
          <w:highlight w:val="none"/>
          <w:u w:val="none"/>
          <w:lang w:val="en-US" w:eastAsia="zh-CN" w:bidi="ar"/>
        </w:rPr>
        <w:t>ntermediate</w:t>
      </w:r>
      <w:r>
        <w:rPr>
          <w:rFonts w:hint="default" w:ascii="Times New Roman" w:hAnsi="Times New Roman" w:eastAsia="GillSansMTPro-Medium" w:cs="Times New Roman"/>
          <w:b w:val="0"/>
          <w:bCs w:val="0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 risk of bleeding based on the bleeding risk score used. Calculated values were used to determine the sensitivity and specificity.</w:t>
      </w:r>
    </w:p>
    <w:p w14:paraId="1D8C1304">
      <w:pP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44795FC2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</w:p>
    <w:p w14:paraId="5068E4DF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5269230" cy="6948805"/>
            <wp:effectExtent l="0" t="0" r="7620" b="4445"/>
            <wp:docPr id="5" name="图片 5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5D17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AdvTTde03b09e.B" w:cs="Times New Roman"/>
          <w:b/>
          <w:bCs/>
          <w:color w:val="auto"/>
          <w:kern w:val="0"/>
          <w:sz w:val="16"/>
          <w:szCs w:val="16"/>
          <w:highlight w:val="none"/>
          <w:lang w:val="en-US" w:eastAsia="zh-CN" w:bidi="ar"/>
        </w:rPr>
        <w:t>Fig. S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 xml:space="preserve">: 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Impact of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adjusted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</w:t>
      </w:r>
      <w:r>
        <w:rPr>
          <w:rFonts w:hint="eastAsia" w:ascii="Times New Roman" w:hAnsi="Times New Roman" w:eastAsia="GillSansMTPro-MediumItalic" w:cs="Times New Roman"/>
          <w:b/>
          <w:bCs/>
          <w:i w:val="0"/>
          <w:iCs w:val="0"/>
          <w:color w:val="231F20"/>
          <w:kern w:val="0"/>
          <w:sz w:val="16"/>
          <w:szCs w:val="16"/>
          <w:highlight w:val="none"/>
          <w:lang w:val="en-US" w:eastAsia="zh-CN" w:bidi="ar"/>
        </w:rPr>
        <w:t>a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</w:rPr>
        <w:t>nemia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inclusion </w:t>
      </w:r>
      <w:r>
        <w:rPr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criteri</w:t>
      </w:r>
      <w:r>
        <w:rPr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on the </w:t>
      </w:r>
      <w:r>
        <w:rPr>
          <w:rFonts w:hint="default" w:ascii="Times New Roman" w:hAnsi="Times New Roman" w:eastAsia="Helvetica-Bold" w:cs="Times New Roman"/>
          <w:b/>
          <w:bCs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ROC 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curves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. </w:t>
      </w:r>
      <w:r>
        <w:rPr>
          <w:rFonts w:hint="eastAsia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A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)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ROC curves </w:t>
      </w:r>
      <w:r>
        <w:rPr>
          <w:rFonts w:hint="default" w:ascii="Times New Roman" w:hAnsi="Times New Roman" w:eastAsia="PingFang SC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before and after the adjustment of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anemia inclusion 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criterion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</w:t>
      </w:r>
      <w:r>
        <w:rPr>
          <w:rFonts w:hint="eastAsia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(B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)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eastAsia="PingFang SC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lterations in score distribution following the adjustment of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anemia inclusion 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</w:rPr>
        <w:t>erion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.</w:t>
      </w:r>
      <w:r>
        <w:rPr>
          <w:rFonts w:hint="eastAsia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ORBIT,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ATRIA,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HEMORR2HAGES,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OBRI,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Shireman,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RIETE,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ACCP,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VTE-BLEED and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H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 xml:space="preserve">Seiler: modified risk rating scales following the adjustment of anemia enrollment criterion. </w:t>
      </w:r>
    </w:p>
    <w:p w14:paraId="589454D7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</w:p>
    <w:p w14:paraId="4D054FFD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5053965" cy="2654300"/>
            <wp:effectExtent l="0" t="0" r="3810" b="317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AC5C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AdvTTde03b09e.B" w:cs="Times New Roman"/>
          <w:b/>
          <w:bCs/>
          <w:color w:val="auto"/>
          <w:kern w:val="0"/>
          <w:sz w:val="16"/>
          <w:szCs w:val="16"/>
          <w:highlight w:val="none"/>
          <w:lang w:val="en-US" w:eastAsia="zh-CN" w:bidi="ar"/>
        </w:rPr>
        <w:t xml:space="preserve">Fig.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S2: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Impact of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m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arker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djustment for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oagulation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isorders on ROC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urves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. </w:t>
      </w:r>
      <w:r>
        <w:rPr>
          <w:rFonts w:hint="eastAsia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A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)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>ROC curves before and after the adjustment of the coagulation disorder inclusion criterion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(B)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>lterations in score distribution following the adjustment of the coagulation disorder inclusion criterion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.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m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A2F45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HAS-BLED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, m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ACCP and m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Seiler: </w:t>
      </w:r>
      <w:r>
        <w:rPr>
          <w:rFonts w:hint="default" w:ascii="Times New Roman" w:hAnsi="Times New Roman" w:eastAsia="GillSansMTPro-MediumItalic" w:cs="Times New Roman"/>
          <w:b w:val="0"/>
          <w:bCs w:val="0"/>
          <w:i w:val="0"/>
          <w:iCs w:val="0"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modified risk 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rating scales following the revision of </w:t>
      </w:r>
      <w:r>
        <w:rPr>
          <w:rFonts w:hint="default" w:ascii="Times New Roman" w:hAnsi="Times New Roman" w:eastAsia="PingFang SC" w:cs="Times New Roman"/>
          <w:b w:val="0"/>
          <w:bCs w:val="0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 xml:space="preserve">coagulation disorder 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enrollment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criterion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.</w:t>
      </w:r>
      <w:r>
        <w:rPr>
          <w:rFonts w:hint="eastAsia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</w:t>
      </w:r>
    </w:p>
    <w:p w14:paraId="017519B1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</w:p>
    <w:p w14:paraId="250D0130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8"/>
          <w:szCs w:val="18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5054600" cy="2565400"/>
            <wp:effectExtent l="0" t="0" r="3175" b="6350"/>
            <wp:docPr id="4" name="图片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3E8A"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AdvTTde03b09e.B" w:cs="Times New Roman"/>
          <w:b/>
          <w:bCs/>
          <w:color w:val="auto"/>
          <w:kern w:val="0"/>
          <w:sz w:val="16"/>
          <w:szCs w:val="16"/>
          <w:highlight w:val="none"/>
          <w:lang w:val="en-US" w:eastAsia="zh-CN" w:bidi="ar"/>
        </w:rPr>
        <w:t>Fig. S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3: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AFBFF"/>
          <w:lang w:val="en-US" w:eastAsia="zh-CN"/>
        </w:rPr>
        <w:t xml:space="preserve"> 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Impact of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adjusted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>thrombocytopenia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inclusion </w:t>
      </w:r>
      <w:r>
        <w:rPr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criteri</w:t>
      </w:r>
      <w:r>
        <w:rPr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eastAsia="PingFang SC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on the </w:t>
      </w:r>
      <w:r>
        <w:rPr>
          <w:rFonts w:hint="default" w:ascii="Times New Roman" w:hAnsi="Times New Roman" w:eastAsia="Helvetica-Bold" w:cs="Times New Roman"/>
          <w:b/>
          <w:bCs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ROC </w:t>
      </w:r>
      <w:r>
        <w:rPr>
          <w:rFonts w:hint="default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>curves</w:t>
      </w:r>
      <w:r>
        <w:rPr>
          <w:rFonts w:hint="eastAsia" w:ascii="Times New Roman" w:hAnsi="Times New Roman" w:eastAsia="GillSansMTPro-Medium" w:cs="Times New Roman"/>
          <w:b/>
          <w:bCs/>
          <w:color w:val="231F20"/>
          <w:kern w:val="0"/>
          <w:sz w:val="16"/>
          <w:szCs w:val="16"/>
          <w:highlight w:val="none"/>
          <w:lang w:val="en-US" w:eastAsia="zh-CN" w:bidi="ar"/>
        </w:rPr>
        <w:t xml:space="preserve">. </w:t>
      </w:r>
      <w:r>
        <w:rPr>
          <w:rFonts w:hint="eastAsia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A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)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ROC curves </w:t>
      </w:r>
      <w:r>
        <w:rPr>
          <w:rFonts w:hint="default" w:ascii="Times New Roman" w:hAnsi="Times New Roman" w:eastAsia="PingFang SC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before and after the adjustment of </w:t>
      </w: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>thrombocytopenia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 inclusion 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criterion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; </w:t>
      </w:r>
      <w:r>
        <w:rPr>
          <w:rFonts w:hint="eastAsia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(B</w:t>
      </w:r>
      <w:r>
        <w:rPr>
          <w:rFonts w:hint="eastAsia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)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eastAsia="PingFang SC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lterations in score distribution following the adjustment of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 xml:space="preserve">anemia inclusion 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crit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</w:rPr>
        <w:t>erion</w:t>
      </w: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.</w:t>
      </w:r>
      <w:r>
        <w:rPr>
          <w:rFonts w:hint="eastAsia" w:ascii="Times New Roman" w:hAnsi="Times New Roman" w:eastAsia="微软雅黑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P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HEMORR2HAGES,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P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>ACCP, m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subscript"/>
          <w:lang w:val="en-US" w:eastAsia="zh-CN"/>
        </w:rPr>
        <w:t>P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 xml:space="preserve">Seiler: modified risk rating scales following the adjustment of </w:t>
      </w:r>
      <w:r>
        <w:rPr>
          <w:rFonts w:hint="default" w:ascii="Times New Roman" w:hAnsi="Times New Roman" w:eastAsia="PingFang SC" w:cs="Times New Roman"/>
          <w:i w:val="0"/>
          <w:iCs w:val="0"/>
          <w:caps w:val="0"/>
          <w:spacing w:val="0"/>
          <w:sz w:val="16"/>
          <w:szCs w:val="16"/>
          <w:highlight w:val="none"/>
          <w:shd w:val="clear" w:color="auto" w:fill="FFFFFF"/>
        </w:rPr>
        <w:t>thrombocytopenia</w:t>
      </w:r>
      <w:r>
        <w:rPr>
          <w:rFonts w:hint="eastAsia" w:ascii="Times New Roman" w:hAnsi="Times New Roman" w:cs="Times New Roman"/>
          <w:i w:val="0"/>
          <w:iCs w:val="0"/>
          <w:spacing w:val="0"/>
          <w:sz w:val="16"/>
          <w:szCs w:val="16"/>
          <w:highlight w:val="none"/>
          <w:shd w:val="clear" w:color="auto" w:fill="FFFFFF"/>
          <w:vertAlign w:val="baseline"/>
          <w:lang w:val="en-US" w:eastAsia="zh-CN"/>
        </w:rPr>
        <w:t xml:space="preserve"> enrollment criterion. </w:t>
      </w:r>
    </w:p>
    <w:p w14:paraId="6567D8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</w:p>
    <w:p w14:paraId="7E31AEA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5274310" cy="1395095"/>
            <wp:effectExtent l="0" t="0" r="2540" b="5080"/>
            <wp:docPr id="6" name="图片 6" descr="高血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高血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6F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</w:pPr>
      <w:r>
        <w:rPr>
          <w:rFonts w:hint="eastAsia" w:ascii="Times New Roman" w:hAnsi="Times New Roman" w:eastAsia="AdvTTde03b09e.B" w:cs="Times New Roman"/>
          <w:b/>
          <w:bCs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Fig. </w:t>
      </w:r>
      <w:r>
        <w:rPr>
          <w:rFonts w:hint="default" w:ascii="Times New Roman" w:hAnsi="Times New Roman" w:eastAsia="AdvTTde03b09e.B" w:cs="Times New Roman"/>
          <w:b/>
          <w:bCs/>
          <w:color w:val="000000"/>
          <w:kern w:val="0"/>
          <w:sz w:val="16"/>
          <w:szCs w:val="16"/>
          <w:highlight w:val="none"/>
          <w:lang w:val="en-US" w:eastAsia="zh-CN" w:bidi="ar"/>
        </w:rPr>
        <w:t>S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Effects of SBP &gt;160mmHg on different types of </w:t>
      </w: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LSCB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events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. </w:t>
      </w:r>
      <w:r>
        <w:rPr>
          <w:rFonts w:hint="default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A) Distribution of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SBP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in patients with and without </w:t>
      </w:r>
      <w:r>
        <w:rPr>
          <w:rFonts w:hint="eastAsia" w:ascii="Times New Roman" w:hAnsi="Times New Roman" w:eastAsia="Helvetic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LSCB</w:t>
      </w:r>
      <w:r>
        <w:rPr>
          <w:rFonts w:hint="default" w:ascii="Times New Roman" w:hAnsi="Times New Roman" w:eastAsia="Helvetica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; </w:t>
      </w:r>
      <w:r>
        <w:rPr>
          <w:rFonts w:hint="default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(B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)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P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roportion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SBP &gt;160mmHg in two 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cohort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s; </w:t>
      </w:r>
      <w:r>
        <w:rPr>
          <w:rFonts w:hint="default" w:ascii="Times New Roman" w:hAnsi="Times New Roman" w:eastAsia="GillSansMTPro-Medium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(C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) Proportion of SBP &gt;160mmHg in patients with ICH and GIH. </w:t>
      </w:r>
    </w:p>
    <w:p w14:paraId="330727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</w:pPr>
      <w:r>
        <w:rPr>
          <w:rFonts w:hint="default" w:ascii="Times New Roman" w:hAnsi="Times New Roman" w:eastAsia="GuardianSansGR-Regular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Abbreviations: 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 xml:space="preserve">SBP, </w:t>
      </w:r>
      <w:r>
        <w:rPr>
          <w:rFonts w:hint="default" w:ascii="Times New Roman" w:hAnsi="Times New Roman" w:eastAsia="Poppins-Medium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</w:rPr>
        <w:t>systolic blood pressure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; SBP (-)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SBP ≤160mmHg before the 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LSCB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events; SBP (+)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,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SBP &gt;160mmHg before the 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>LSCB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6"/>
          <w:szCs w:val="16"/>
          <w:highlight w:val="none"/>
          <w:shd w:val="clear" w:color="auto" w:fill="FFFFFF"/>
          <w:lang w:val="en-US" w:eastAsia="zh-CN"/>
        </w:rPr>
        <w:t xml:space="preserve"> events; ICH, </w:t>
      </w:r>
      <w:r>
        <w:rPr>
          <w:rFonts w:hint="default" w:ascii="Times New Roman" w:hAnsi="Times New Roman" w:eastAsia="Helvetica-Bold" w:cs="Times New Roman"/>
          <w:b w:val="0"/>
          <w:bCs w:val="0"/>
          <w:color w:val="000000"/>
          <w:kern w:val="0"/>
          <w:sz w:val="16"/>
          <w:szCs w:val="16"/>
          <w:highlight w:val="none"/>
          <w:lang w:val="en-US" w:eastAsia="zh-CN" w:bidi="ar"/>
        </w:rPr>
        <w:t>intracranial hemorrhage; GIH, gastrointestinal hemorrhage.</w:t>
      </w:r>
    </w:p>
    <w:p w14:paraId="1C804282">
      <w:pP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8"/>
          <w:szCs w:val="18"/>
          <w:highlight w:val="none"/>
          <w:shd w:val="clear" w:color="auto" w:fil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TTe16fe38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-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TT349184da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P4C4E51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P4C4E74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P2D6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wCaledonia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Universal-GreekwithMathPi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ion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vTT349184da + 20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OT47d13e92 . 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TTfb384cdb . I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NewRomanPS-OV-MEESH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uardianSansGR-Regular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yriadPro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illSansMTPro-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illSansMTPro-Medium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TTde03b09e.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illSansMTPro-MediumItali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-Medium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hOWU4MGVkYTgyNWNlNjBmZmFmZTA4OTY5YjEzZDAifQ=="/>
  </w:docVars>
  <w:rsids>
    <w:rsidRoot w:val="04263DFA"/>
    <w:rsid w:val="04263DFA"/>
    <w:rsid w:val="171E7C13"/>
    <w:rsid w:val="177009FC"/>
    <w:rsid w:val="1891766D"/>
    <w:rsid w:val="1F3121E1"/>
    <w:rsid w:val="23F955F5"/>
    <w:rsid w:val="27132DD6"/>
    <w:rsid w:val="53207CEC"/>
    <w:rsid w:val="535D326D"/>
    <w:rsid w:val="5B7E2C0C"/>
    <w:rsid w:val="5C013209"/>
    <w:rsid w:val="5E5679CE"/>
    <w:rsid w:val="6AD46F87"/>
    <w:rsid w:val="6D94626A"/>
    <w:rsid w:val="74836CA7"/>
    <w:rsid w:val="7E99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paragraph" w:customStyle="1" w:styleId="6">
    <w:name w:val="目录2"/>
    <w:basedOn w:val="1"/>
    <w:qFormat/>
    <w:uiPriority w:val="0"/>
    <w:pPr>
      <w:adjustRightInd w:val="0"/>
      <w:snapToGrid w:val="0"/>
      <w:spacing w:line="288" w:lineRule="auto"/>
      <w:jc w:val="center"/>
    </w:pPr>
    <w:rPr>
      <w:rFonts w:ascii="Times New Roman" w:hAnsi="Times New Roman" w:eastAsia="宋体" w:cs="Times New Roman"/>
      <w:b/>
      <w:bCs/>
      <w:color w:val="000000"/>
      <w:sz w:val="21"/>
      <w:szCs w:val="18"/>
    </w:rPr>
  </w:style>
  <w:style w:type="character" w:customStyle="1" w:styleId="7">
    <w:name w:val="font1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1146</Words>
  <Characters>6518</Characters>
  <Lines>0</Lines>
  <Paragraphs>0</Paragraphs>
  <TotalTime>0</TotalTime>
  <ScaleCrop>false</ScaleCrop>
  <LinksUpToDate>false</LinksUpToDate>
  <CharactersWithSpaces>7390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2024-07-11T14:11:00Z</dcterms:created>
  <dc:creator>付再林</dc:creator>
  <cp:lastModifiedBy>付再林</cp:lastModifiedBy>
  <dcterms:modified xsi:type="dcterms:W3CDTF">2025-09-15T15:13:35Z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81EF8D32F7CD49B8ABD304CF13292CC5_11</vt:lpwstr>
  </property>
  <property fmtid="{D5CDD505-2E9C-101B-9397-08002B2CF9AE}" pid="4" name="KSOTemplateDocerSaveRecord">
    <vt:lpwstr>eyJoZGlkIjoiOThhOWU4MGVkYTgyNWNlNjBmZmFmZTA4OTY5YjEzZDAiLCJ1c2VySWQiOiI1MTUwNDczNzUifQ==</vt:lpwstr>
  </property>
</Properties>
</file>