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56D8A7" w14:textId="77777777" w:rsidR="003900B4" w:rsidRDefault="003900B4" w:rsidP="003900B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T</w:t>
      </w:r>
      <w:r>
        <w:rPr>
          <w:rFonts w:ascii="Times New Roman" w:hAnsi="Times New Roman"/>
          <w:sz w:val="28"/>
          <w:szCs w:val="28"/>
        </w:rPr>
        <w:t xml:space="preserve">able. 1 Clinical Characteristics in </w:t>
      </w:r>
      <w:proofErr w:type="gramStart"/>
      <w:r>
        <w:rPr>
          <w:rFonts w:ascii="Times New Roman" w:hAnsi="Times New Roman"/>
          <w:sz w:val="28"/>
          <w:szCs w:val="28"/>
        </w:rPr>
        <w:t xml:space="preserve">the </w:t>
      </w:r>
      <w:r>
        <w:rPr>
          <w:rFonts w:ascii="Times New Roman" w:hAnsi="Times New Roman" w:hint="eastAsia"/>
          <w:sz w:val="28"/>
          <w:szCs w:val="28"/>
        </w:rPr>
        <w:t>t</w:t>
      </w:r>
      <w:r>
        <w:rPr>
          <w:rFonts w:ascii="Times New Roman" w:hAnsi="Times New Roman"/>
          <w:sz w:val="28"/>
          <w:szCs w:val="28"/>
        </w:rPr>
        <w:t>raining</w:t>
      </w:r>
      <w:proofErr w:type="gramEnd"/>
      <w:r>
        <w:rPr>
          <w:rFonts w:ascii="Times New Roman" w:hAnsi="Times New Roman"/>
          <w:sz w:val="28"/>
          <w:szCs w:val="28"/>
        </w:rPr>
        <w:t>, i</w:t>
      </w:r>
      <w:r>
        <w:rPr>
          <w:rFonts w:ascii="Times New Roman" w:hAnsi="Times New Roman" w:hint="eastAsia"/>
          <w:sz w:val="28"/>
          <w:szCs w:val="28"/>
        </w:rPr>
        <w:t>nternal test</w:t>
      </w:r>
      <w:r>
        <w:rPr>
          <w:rFonts w:ascii="Times New Roman" w:hAnsi="Times New Roman"/>
          <w:sz w:val="28"/>
          <w:szCs w:val="28"/>
        </w:rPr>
        <w:t>, and e</w:t>
      </w:r>
      <w:r>
        <w:rPr>
          <w:rFonts w:ascii="Times New Roman" w:hAnsi="Times New Roman" w:hint="eastAsia"/>
          <w:sz w:val="28"/>
          <w:szCs w:val="28"/>
        </w:rPr>
        <w:t>xternal test set</w:t>
      </w:r>
      <w:r>
        <w:rPr>
          <w:rFonts w:ascii="Times New Roman" w:hAnsi="Times New Roman"/>
          <w:sz w:val="28"/>
          <w:szCs w:val="28"/>
        </w:rPr>
        <w:t>s.</w:t>
      </w:r>
    </w:p>
    <w:p w14:paraId="6DC23417" w14:textId="32A669CA" w:rsidR="003900B4" w:rsidRDefault="003900B4" w:rsidP="003900B4">
      <w:pPr>
        <w:rPr>
          <w:rFonts w:ascii="Times New Roman" w:hAnsi="Times New Roman" w:hint="eastAsia"/>
          <w:sz w:val="28"/>
          <w:szCs w:val="28"/>
        </w:rPr>
      </w:pPr>
      <w:r w:rsidRPr="00F54347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53D7FEE5" wp14:editId="356EEE1A">
            <wp:extent cx="5272405" cy="2922905"/>
            <wp:effectExtent l="0" t="0" r="4445" b="0"/>
            <wp:docPr id="210308689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292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4FE15" w14:textId="4C1A2362" w:rsidR="003900B4" w:rsidRDefault="003900B4" w:rsidP="003900B4">
      <w:pPr>
        <w:rPr>
          <w:rFonts w:ascii="Times New Roman" w:hAnsi="Times New Roman"/>
          <w:sz w:val="28"/>
          <w:szCs w:val="28"/>
        </w:rPr>
      </w:pPr>
    </w:p>
    <w:p w14:paraId="18644399" w14:textId="77777777" w:rsidR="003900B4" w:rsidRDefault="003900B4" w:rsidP="003900B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T</w:t>
      </w:r>
      <w:r>
        <w:rPr>
          <w:rFonts w:ascii="Times New Roman" w:hAnsi="Times New Roman"/>
          <w:sz w:val="28"/>
          <w:szCs w:val="28"/>
        </w:rPr>
        <w:t xml:space="preserve">able. 2 Logistic regression analysis of variables for the association with </w:t>
      </w:r>
      <w:r>
        <w:rPr>
          <w:rFonts w:ascii="Times New Roman" w:hAnsi="Times New Roman" w:cs="Times New Roman"/>
          <w:sz w:val="28"/>
          <w:szCs w:val="28"/>
        </w:rPr>
        <w:t>extramural venous invasion</w:t>
      </w:r>
      <w:r>
        <w:rPr>
          <w:rFonts w:ascii="Times New Roman" w:hAnsi="Times New Roman"/>
          <w:sz w:val="28"/>
          <w:szCs w:val="28"/>
        </w:rPr>
        <w:t xml:space="preserve"> in patients in the training set.</w:t>
      </w:r>
    </w:p>
    <w:p w14:paraId="5982017F" w14:textId="7CE3AC44" w:rsidR="003900B4" w:rsidRDefault="003900B4" w:rsidP="003900B4">
      <w:pPr>
        <w:rPr>
          <w:rFonts w:ascii="Times New Roman" w:hAnsi="Times New Roman"/>
          <w:sz w:val="28"/>
          <w:szCs w:val="28"/>
        </w:rPr>
      </w:pPr>
      <w:r w:rsidRPr="00F54347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481C782C" wp14:editId="24EB95EF">
            <wp:extent cx="5274310" cy="2486660"/>
            <wp:effectExtent l="0" t="0" r="2540" b="8890"/>
            <wp:docPr id="205423055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8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F4584" w14:textId="77777777" w:rsidR="003900B4" w:rsidRDefault="003900B4" w:rsidP="003900B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>T</w:t>
      </w:r>
      <w:r>
        <w:rPr>
          <w:rFonts w:ascii="Times New Roman" w:hAnsi="Times New Roman"/>
          <w:sz w:val="28"/>
          <w:szCs w:val="28"/>
        </w:rPr>
        <w:t>able. 3 Diagnostic performance of the clinical, radiomics, and combined models in the testing set.</w:t>
      </w:r>
    </w:p>
    <w:p w14:paraId="32CABC4F" w14:textId="254C31AB" w:rsidR="003900B4" w:rsidRDefault="003900B4" w:rsidP="003900B4">
      <w:pPr>
        <w:rPr>
          <w:rFonts w:ascii="Times New Roman" w:hAnsi="Times New Roman"/>
          <w:sz w:val="28"/>
          <w:szCs w:val="28"/>
        </w:rPr>
      </w:pPr>
      <w:r w:rsidRPr="00F54347"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 wp14:anchorId="01A3B66B" wp14:editId="63CF5DBE">
            <wp:extent cx="5274310" cy="2677795"/>
            <wp:effectExtent l="0" t="0" r="2540" b="8255"/>
            <wp:docPr id="71489588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77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27D34" w14:textId="77777777" w:rsidR="003900B4" w:rsidRDefault="003900B4" w:rsidP="003900B4">
      <w:pPr>
        <w:rPr>
          <w:rFonts w:ascii="Times New Roman" w:hAnsi="Times New Roman"/>
          <w:sz w:val="28"/>
          <w:szCs w:val="28"/>
        </w:rPr>
      </w:pPr>
    </w:p>
    <w:p w14:paraId="3A50967F" w14:textId="611E348A" w:rsidR="003900B4" w:rsidRPr="00102599" w:rsidRDefault="003900B4" w:rsidP="003900B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T</w:t>
      </w:r>
      <w:r>
        <w:rPr>
          <w:rFonts w:ascii="Times New Roman" w:hAnsi="Times New Roman" w:cs="Times New Roman"/>
          <w:sz w:val="28"/>
          <w:szCs w:val="28"/>
        </w:rPr>
        <w:t xml:space="preserve">able. 4 </w:t>
      </w:r>
      <w:r w:rsidRPr="00C13A06">
        <w:rPr>
          <w:rFonts w:ascii="Times New Roman" w:hAnsi="Times New Roman" w:cs="Times New Roman"/>
          <w:sz w:val="28"/>
          <w:szCs w:val="28"/>
        </w:rPr>
        <w:t xml:space="preserve">Diagnostic Performance of the Smith 5-point </w:t>
      </w:r>
      <w:r>
        <w:rPr>
          <w:rFonts w:ascii="Times New Roman" w:hAnsi="Times New Roman" w:cs="Times New Roman"/>
          <w:sz w:val="28"/>
          <w:szCs w:val="28"/>
        </w:rPr>
        <w:t>scoring</w:t>
      </w:r>
      <w:r w:rsidRPr="00C13A06">
        <w:rPr>
          <w:rFonts w:ascii="Times New Roman" w:hAnsi="Times New Roman" w:cs="Times New Roman"/>
          <w:sz w:val="28"/>
          <w:szCs w:val="28"/>
        </w:rPr>
        <w:t xml:space="preserve"> System and the Combined Model in the Training and Validation Cohorts.</w:t>
      </w:r>
    </w:p>
    <w:p w14:paraId="40AA55C9" w14:textId="192ADC2D" w:rsidR="003900B4" w:rsidRDefault="003900B4" w:rsidP="003900B4">
      <w:pPr>
        <w:rPr>
          <w:rFonts w:hint="eastAsia"/>
        </w:rPr>
      </w:pPr>
      <w:r w:rsidRPr="00817AD2">
        <w:rPr>
          <w:noProof/>
        </w:rPr>
        <w:drawing>
          <wp:inline distT="0" distB="0" distL="0" distR="0" wp14:anchorId="43D69D21" wp14:editId="21CC4B3C">
            <wp:extent cx="5272405" cy="793115"/>
            <wp:effectExtent l="0" t="0" r="4445" b="6985"/>
            <wp:docPr id="18988346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9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04453" w14:textId="77777777" w:rsidR="008B07A6" w:rsidRDefault="008B07A6"/>
    <w:sectPr w:rsidR="008B07A6" w:rsidSect="003900B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00B4"/>
    <w:rsid w:val="00066677"/>
    <w:rsid w:val="001253B9"/>
    <w:rsid w:val="003900B4"/>
    <w:rsid w:val="003A4E89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7804B"/>
  <w15:chartTrackingRefBased/>
  <w15:docId w15:val="{D08170D4-7E20-4B41-95E4-9E7CAC0A6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00B4"/>
    <w:pPr>
      <w:spacing w:after="0" w:line="240" w:lineRule="auto"/>
    </w:pPr>
    <w:rPr>
      <w:rFonts w:ascii="SimSun" w:eastAsia="SimSun" w:hAnsi="SimSun" w:cs="SimSun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00B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00B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00B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00B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00B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00B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00B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00B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00B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00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00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00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00B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00B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00B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00B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00B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00B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00B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00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00B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00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00B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00B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00B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00B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00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00B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00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398</Characters>
  <Application>Microsoft Office Word</Application>
  <DocSecurity>0</DocSecurity>
  <Lines>14</Lines>
  <Paragraphs>5</Paragraphs>
  <ScaleCrop>false</ScaleCrop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2025-10-15T16:52:00Z</dcterms:created>
  <dcterms:modified xsi:type="dcterms:W3CDTF">2025-10-15T16:53:00Z</dcterms:modified>
</cp:coreProperties>
</file>