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both"/>
        <w:rPr>
          <w:i w:val="1"/>
        </w:rPr>
      </w:pPr>
      <w:r w:rsidDel="00000000" w:rsidR="00000000" w:rsidRPr="00000000">
        <w:rPr>
          <w:b w:val="1"/>
          <w:rtl w:val="0"/>
        </w:rPr>
        <w:t xml:space="preserve">Appendix S1. </w:t>
      </w:r>
      <w:r w:rsidDel="00000000" w:rsidR="00000000" w:rsidRPr="00000000">
        <w:rPr>
          <w:i w:val="1"/>
          <w:rtl w:val="0"/>
        </w:rPr>
        <w:t xml:space="preserve">Maternal sleep questionnaire (english version)</w:t>
      </w:r>
    </w:p>
    <w:p w:rsidR="00000000" w:rsidDel="00000000" w:rsidP="00000000" w:rsidRDefault="00000000" w:rsidRPr="00000000" w14:paraId="00000002">
      <w:pPr>
        <w:numPr>
          <w:ilvl w:val="0"/>
          <w:numId w:val="2"/>
        </w:numPr>
        <w:spacing w:line="360" w:lineRule="auto"/>
        <w:ind w:left="720" w:hanging="360"/>
        <w:jc w:val="both"/>
        <w:rPr>
          <w:u w:val="none"/>
        </w:rPr>
      </w:pPr>
      <w:r w:rsidDel="00000000" w:rsidR="00000000" w:rsidRPr="00000000">
        <w:rPr>
          <w:rtl w:val="0"/>
        </w:rPr>
        <w:t xml:space="preserve">Sleep duration. </w:t>
      </w:r>
      <w:r w:rsidDel="00000000" w:rsidR="00000000" w:rsidRPr="00000000">
        <w:rPr>
          <w:color w:val="222222"/>
          <w:highlight w:val="white"/>
          <w:rtl w:val="0"/>
        </w:rPr>
        <w:t xml:space="preserve"> How many hours do you usually sleep per day during your pregnancy?</w:t>
      </w:r>
    </w:p>
    <w:p w:rsidR="00000000" w:rsidDel="00000000" w:rsidP="00000000" w:rsidRDefault="00000000" w:rsidRPr="00000000" w14:paraId="00000003">
      <w:pPr>
        <w:numPr>
          <w:ilvl w:val="0"/>
          <w:numId w:val="1"/>
        </w:numPr>
        <w:spacing w:line="360" w:lineRule="auto"/>
        <w:ind w:left="1440" w:hanging="360"/>
        <w:jc w:val="both"/>
        <w:rPr>
          <w:color w:val="222222"/>
          <w:highlight w:val="white"/>
          <w:u w:val="none"/>
        </w:rPr>
      </w:pPr>
      <w:r w:rsidDel="00000000" w:rsidR="00000000" w:rsidRPr="00000000">
        <w:rPr>
          <w:color w:val="222222"/>
          <w:highlight w:val="white"/>
          <w:rtl w:val="0"/>
        </w:rPr>
        <w:t xml:space="preserve">More than 10 hours</w:t>
      </w:r>
    </w:p>
    <w:p w:rsidR="00000000" w:rsidDel="00000000" w:rsidP="00000000" w:rsidRDefault="00000000" w:rsidRPr="00000000" w14:paraId="00000004">
      <w:pPr>
        <w:numPr>
          <w:ilvl w:val="0"/>
          <w:numId w:val="1"/>
        </w:numPr>
        <w:spacing w:line="360" w:lineRule="auto"/>
        <w:ind w:left="1440" w:hanging="360"/>
        <w:jc w:val="both"/>
        <w:rPr>
          <w:color w:val="222222"/>
          <w:highlight w:val="white"/>
          <w:u w:val="none"/>
        </w:rPr>
      </w:pPr>
      <w:r w:rsidDel="00000000" w:rsidR="00000000" w:rsidRPr="00000000">
        <w:rPr>
          <w:color w:val="222222"/>
          <w:highlight w:val="white"/>
          <w:rtl w:val="0"/>
        </w:rPr>
        <w:t xml:space="preserve">8–9 hours</w:t>
      </w:r>
    </w:p>
    <w:p w:rsidR="00000000" w:rsidDel="00000000" w:rsidP="00000000" w:rsidRDefault="00000000" w:rsidRPr="00000000" w14:paraId="00000005">
      <w:pPr>
        <w:numPr>
          <w:ilvl w:val="0"/>
          <w:numId w:val="1"/>
        </w:numPr>
        <w:spacing w:line="360" w:lineRule="auto"/>
        <w:ind w:left="1440" w:hanging="360"/>
        <w:jc w:val="both"/>
        <w:rPr>
          <w:color w:val="222222"/>
          <w:highlight w:val="white"/>
          <w:u w:val="none"/>
        </w:rPr>
      </w:pPr>
      <w:r w:rsidDel="00000000" w:rsidR="00000000" w:rsidRPr="00000000">
        <w:rPr>
          <w:color w:val="222222"/>
          <w:highlight w:val="white"/>
          <w:rtl w:val="0"/>
        </w:rPr>
        <w:t xml:space="preserve">6–7 hours</w:t>
      </w:r>
    </w:p>
    <w:p w:rsidR="00000000" w:rsidDel="00000000" w:rsidP="00000000" w:rsidRDefault="00000000" w:rsidRPr="00000000" w14:paraId="00000006">
      <w:pPr>
        <w:numPr>
          <w:ilvl w:val="0"/>
          <w:numId w:val="1"/>
        </w:numPr>
        <w:spacing w:line="360" w:lineRule="auto"/>
        <w:ind w:left="1440" w:hanging="360"/>
        <w:jc w:val="both"/>
        <w:rPr>
          <w:color w:val="222222"/>
          <w:highlight w:val="white"/>
          <w:u w:val="none"/>
        </w:rPr>
      </w:pPr>
      <w:r w:rsidDel="00000000" w:rsidR="00000000" w:rsidRPr="00000000">
        <w:rPr>
          <w:color w:val="222222"/>
          <w:highlight w:val="white"/>
          <w:rtl w:val="0"/>
        </w:rPr>
        <w:t xml:space="preserve">4–5 hours</w:t>
      </w:r>
    </w:p>
    <w:p w:rsidR="00000000" w:rsidDel="00000000" w:rsidP="00000000" w:rsidRDefault="00000000" w:rsidRPr="00000000" w14:paraId="00000007">
      <w:pPr>
        <w:numPr>
          <w:ilvl w:val="0"/>
          <w:numId w:val="1"/>
        </w:numPr>
        <w:spacing w:line="360" w:lineRule="auto"/>
        <w:ind w:left="1440" w:hanging="360"/>
        <w:jc w:val="both"/>
        <w:rPr>
          <w:color w:val="222222"/>
          <w:highlight w:val="white"/>
          <w:u w:val="none"/>
        </w:rPr>
      </w:pPr>
      <w:r w:rsidDel="00000000" w:rsidR="00000000" w:rsidRPr="00000000">
        <w:rPr>
          <w:color w:val="222222"/>
          <w:highlight w:val="white"/>
          <w:rtl w:val="0"/>
        </w:rPr>
        <w:t xml:space="preserve">Less than 4 hours</w:t>
      </w:r>
    </w:p>
    <w:p w:rsidR="00000000" w:rsidDel="00000000" w:rsidP="00000000" w:rsidRDefault="00000000" w:rsidRPr="00000000" w14:paraId="00000008">
      <w:pPr>
        <w:numPr>
          <w:ilvl w:val="0"/>
          <w:numId w:val="1"/>
        </w:numPr>
        <w:spacing w:line="360" w:lineRule="auto"/>
        <w:ind w:left="1440" w:hanging="360"/>
        <w:jc w:val="both"/>
        <w:rPr>
          <w:color w:val="222222"/>
          <w:highlight w:val="white"/>
          <w:u w:val="none"/>
        </w:rPr>
      </w:pPr>
      <w:r w:rsidDel="00000000" w:rsidR="00000000" w:rsidRPr="00000000">
        <w:rPr>
          <w:color w:val="222222"/>
          <w:highlight w:val="white"/>
          <w:rtl w:val="0"/>
        </w:rPr>
        <w:t xml:space="preserve">Don’t know / Prefer not to answer</w:t>
      </w:r>
    </w:p>
    <w:p w:rsidR="00000000" w:rsidDel="00000000" w:rsidP="00000000" w:rsidRDefault="00000000" w:rsidRPr="00000000" w14:paraId="00000009">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0A">
      <w:pPr>
        <w:numPr>
          <w:ilvl w:val="0"/>
          <w:numId w:val="2"/>
        </w:numPr>
        <w:spacing w:line="360" w:lineRule="auto"/>
        <w:ind w:left="720" w:hanging="360"/>
        <w:jc w:val="both"/>
        <w:rPr>
          <w:color w:val="222222"/>
          <w:highlight w:val="white"/>
        </w:rPr>
      </w:pPr>
      <w:r w:rsidDel="00000000" w:rsidR="00000000" w:rsidRPr="00000000">
        <w:rPr>
          <w:color w:val="222222"/>
          <w:highlight w:val="white"/>
          <w:rtl w:val="0"/>
        </w:rPr>
        <w:t xml:space="preserve">Epworth Sleepiness Scale. What is the probability, when you are not feeling tired, that    you would doze off briefly or fall asleep in the following situations?</w:t>
      </w:r>
    </w:p>
    <w:p w:rsidR="00000000" w:rsidDel="00000000" w:rsidP="00000000" w:rsidRDefault="00000000" w:rsidRPr="00000000" w14:paraId="0000000B">
      <w:pPr>
        <w:spacing w:line="360" w:lineRule="auto"/>
        <w:ind w:left="720" w:firstLine="0"/>
        <w:jc w:val="both"/>
        <w:rPr>
          <w:color w:val="222222"/>
          <w:highlight w:val="white"/>
        </w:rPr>
      </w:pPr>
      <w:r w:rsidDel="00000000" w:rsidR="00000000" w:rsidRPr="00000000">
        <w:rPr>
          <w:color w:val="222222"/>
          <w:highlight w:val="white"/>
          <w:rtl w:val="0"/>
        </w:rPr>
        <w:t xml:space="preserve">(The questions refer to your usual lifestyle in recent times. Even if you have not done some of these activities recently, try to estimate how they would affect you.)</w:t>
      </w:r>
    </w:p>
    <w:p w:rsidR="00000000" w:rsidDel="00000000" w:rsidP="00000000" w:rsidRDefault="00000000" w:rsidRPr="00000000" w14:paraId="0000000C">
      <w:pPr>
        <w:spacing w:line="360" w:lineRule="auto"/>
        <w:ind w:left="720" w:firstLine="0"/>
        <w:jc w:val="both"/>
        <w:rPr>
          <w:i w:val="1"/>
          <w:color w:val="222222"/>
          <w:highlight w:val="white"/>
        </w:rPr>
      </w:pPr>
      <w:r w:rsidDel="00000000" w:rsidR="00000000" w:rsidRPr="00000000">
        <w:rPr>
          <w:i w:val="1"/>
          <w:color w:val="222222"/>
          <w:highlight w:val="white"/>
          <w:rtl w:val="0"/>
        </w:rPr>
        <w:t xml:space="preserve">0 = No chance of dozing</w:t>
      </w:r>
    </w:p>
    <w:p w:rsidR="00000000" w:rsidDel="00000000" w:rsidP="00000000" w:rsidRDefault="00000000" w:rsidRPr="00000000" w14:paraId="0000000D">
      <w:pPr>
        <w:spacing w:line="360" w:lineRule="auto"/>
        <w:ind w:left="720" w:firstLine="0"/>
        <w:jc w:val="both"/>
        <w:rPr>
          <w:i w:val="1"/>
          <w:color w:val="222222"/>
          <w:highlight w:val="white"/>
        </w:rPr>
      </w:pPr>
      <w:r w:rsidDel="00000000" w:rsidR="00000000" w:rsidRPr="00000000">
        <w:rPr>
          <w:i w:val="1"/>
          <w:color w:val="222222"/>
          <w:highlight w:val="white"/>
          <w:rtl w:val="0"/>
        </w:rPr>
        <w:t xml:space="preserve">1 = Slight chance of dozing</w:t>
      </w:r>
    </w:p>
    <w:p w:rsidR="00000000" w:rsidDel="00000000" w:rsidP="00000000" w:rsidRDefault="00000000" w:rsidRPr="00000000" w14:paraId="0000000E">
      <w:pPr>
        <w:spacing w:line="360" w:lineRule="auto"/>
        <w:ind w:left="720" w:firstLine="0"/>
        <w:jc w:val="both"/>
        <w:rPr>
          <w:i w:val="1"/>
          <w:color w:val="222222"/>
          <w:highlight w:val="white"/>
        </w:rPr>
      </w:pPr>
      <w:r w:rsidDel="00000000" w:rsidR="00000000" w:rsidRPr="00000000">
        <w:rPr>
          <w:i w:val="1"/>
          <w:color w:val="222222"/>
          <w:highlight w:val="white"/>
          <w:rtl w:val="0"/>
        </w:rPr>
        <w:t xml:space="preserve">2 = Moderate chance of dozing</w:t>
      </w:r>
    </w:p>
    <w:p w:rsidR="00000000" w:rsidDel="00000000" w:rsidP="00000000" w:rsidRDefault="00000000" w:rsidRPr="00000000" w14:paraId="0000000F">
      <w:pPr>
        <w:spacing w:line="360" w:lineRule="auto"/>
        <w:ind w:left="720" w:firstLine="0"/>
        <w:jc w:val="both"/>
        <w:rPr>
          <w:i w:val="1"/>
          <w:color w:val="222222"/>
          <w:highlight w:val="white"/>
        </w:rPr>
      </w:pPr>
      <w:r w:rsidDel="00000000" w:rsidR="00000000" w:rsidRPr="00000000">
        <w:rPr>
          <w:i w:val="1"/>
          <w:color w:val="222222"/>
          <w:highlight w:val="white"/>
          <w:rtl w:val="0"/>
        </w:rPr>
        <w:t xml:space="preserve">3 = High chance of dozing</w:t>
      </w:r>
    </w:p>
    <w:p w:rsidR="00000000" w:rsidDel="00000000" w:rsidP="00000000" w:rsidRDefault="00000000" w:rsidRPr="00000000" w14:paraId="00000010">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11">
      <w:pPr>
        <w:spacing w:line="360" w:lineRule="auto"/>
        <w:ind w:left="720" w:firstLine="0"/>
        <w:jc w:val="both"/>
        <w:rPr>
          <w:color w:val="222222"/>
          <w:highlight w:val="white"/>
        </w:rPr>
      </w:pPr>
      <w:r w:rsidDel="00000000" w:rsidR="00000000" w:rsidRPr="00000000">
        <w:rPr>
          <w:color w:val="222222"/>
          <w:highlight w:val="white"/>
          <w:rtl w:val="0"/>
        </w:rPr>
        <w:t xml:space="preserve">1. Sitting and reading</w:t>
      </w:r>
    </w:p>
    <w:p w:rsidR="00000000" w:rsidDel="00000000" w:rsidP="00000000" w:rsidRDefault="00000000" w:rsidRPr="00000000" w14:paraId="00000012">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13">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14">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15">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16">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17">
      <w:pPr>
        <w:spacing w:line="360" w:lineRule="auto"/>
        <w:ind w:left="720" w:firstLine="0"/>
        <w:jc w:val="both"/>
        <w:rPr>
          <w:color w:val="222222"/>
          <w:highlight w:val="white"/>
        </w:rPr>
      </w:pPr>
      <w:r w:rsidDel="00000000" w:rsidR="00000000" w:rsidRPr="00000000">
        <w:rPr>
          <w:color w:val="222222"/>
          <w:highlight w:val="white"/>
          <w:rtl w:val="0"/>
        </w:rPr>
        <w:t xml:space="preserve">2. Watching television</w:t>
      </w:r>
    </w:p>
    <w:p w:rsidR="00000000" w:rsidDel="00000000" w:rsidP="00000000" w:rsidRDefault="00000000" w:rsidRPr="00000000" w14:paraId="00000018">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19">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1A">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1B">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1C">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1D">
      <w:pPr>
        <w:spacing w:line="360" w:lineRule="auto"/>
        <w:ind w:left="720" w:firstLine="0"/>
        <w:jc w:val="both"/>
        <w:rPr>
          <w:color w:val="222222"/>
          <w:highlight w:val="white"/>
        </w:rPr>
      </w:pPr>
      <w:r w:rsidDel="00000000" w:rsidR="00000000" w:rsidRPr="00000000">
        <w:rPr>
          <w:color w:val="222222"/>
          <w:highlight w:val="white"/>
          <w:rtl w:val="0"/>
        </w:rPr>
        <w:t xml:space="preserve">3. Sitting inactive in a public place (e.g. theatre, meeting)</w:t>
      </w:r>
    </w:p>
    <w:p w:rsidR="00000000" w:rsidDel="00000000" w:rsidP="00000000" w:rsidRDefault="00000000" w:rsidRPr="00000000" w14:paraId="0000001E">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1F">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20">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21">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22">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23">
      <w:pPr>
        <w:spacing w:line="360" w:lineRule="auto"/>
        <w:ind w:left="720" w:firstLine="0"/>
        <w:jc w:val="both"/>
        <w:rPr>
          <w:color w:val="222222"/>
          <w:highlight w:val="white"/>
        </w:rPr>
      </w:pPr>
      <w:r w:rsidDel="00000000" w:rsidR="00000000" w:rsidRPr="00000000">
        <w:rPr>
          <w:color w:val="222222"/>
          <w:highlight w:val="white"/>
          <w:rtl w:val="0"/>
        </w:rPr>
        <w:t xml:space="preserve">4. As a passenger in a car for one hour without a break</w:t>
      </w:r>
    </w:p>
    <w:p w:rsidR="00000000" w:rsidDel="00000000" w:rsidP="00000000" w:rsidRDefault="00000000" w:rsidRPr="00000000" w14:paraId="00000024">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25">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26">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27">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28">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29">
      <w:pPr>
        <w:spacing w:line="360" w:lineRule="auto"/>
        <w:ind w:left="720" w:firstLine="0"/>
        <w:jc w:val="both"/>
        <w:rPr>
          <w:color w:val="222222"/>
          <w:highlight w:val="white"/>
        </w:rPr>
      </w:pPr>
      <w:r w:rsidDel="00000000" w:rsidR="00000000" w:rsidRPr="00000000">
        <w:rPr>
          <w:color w:val="222222"/>
          <w:highlight w:val="white"/>
          <w:rtl w:val="0"/>
        </w:rPr>
        <w:t xml:space="preserve">5. Lying down to rest in the afternoon</w:t>
      </w:r>
    </w:p>
    <w:p w:rsidR="00000000" w:rsidDel="00000000" w:rsidP="00000000" w:rsidRDefault="00000000" w:rsidRPr="00000000" w14:paraId="0000002A">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2B">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2C">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2D">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2E">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2F">
      <w:pPr>
        <w:spacing w:line="360" w:lineRule="auto"/>
        <w:ind w:left="720" w:firstLine="0"/>
        <w:jc w:val="both"/>
        <w:rPr>
          <w:color w:val="222222"/>
          <w:highlight w:val="white"/>
        </w:rPr>
      </w:pPr>
      <w:r w:rsidDel="00000000" w:rsidR="00000000" w:rsidRPr="00000000">
        <w:rPr>
          <w:color w:val="222222"/>
          <w:highlight w:val="white"/>
          <w:rtl w:val="0"/>
        </w:rPr>
        <w:t xml:space="preserve">6. Sitting and talking to someone</w:t>
      </w:r>
    </w:p>
    <w:p w:rsidR="00000000" w:rsidDel="00000000" w:rsidP="00000000" w:rsidRDefault="00000000" w:rsidRPr="00000000" w14:paraId="00000030">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31">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32">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33">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34">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35">
      <w:pPr>
        <w:spacing w:line="360" w:lineRule="auto"/>
        <w:ind w:left="720" w:firstLine="0"/>
        <w:jc w:val="both"/>
        <w:rPr>
          <w:color w:val="222222"/>
          <w:highlight w:val="white"/>
        </w:rPr>
      </w:pPr>
      <w:r w:rsidDel="00000000" w:rsidR="00000000" w:rsidRPr="00000000">
        <w:rPr>
          <w:color w:val="222222"/>
          <w:highlight w:val="white"/>
          <w:rtl w:val="0"/>
        </w:rPr>
        <w:t xml:space="preserve">7. Sitting quietly after lunch without alcohol</w:t>
      </w:r>
    </w:p>
    <w:p w:rsidR="00000000" w:rsidDel="00000000" w:rsidP="00000000" w:rsidRDefault="00000000" w:rsidRPr="00000000" w14:paraId="00000036">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37">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38">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39">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3A">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3B">
      <w:pPr>
        <w:spacing w:line="360" w:lineRule="auto"/>
        <w:ind w:left="720" w:firstLine="0"/>
        <w:jc w:val="both"/>
        <w:rPr>
          <w:color w:val="222222"/>
          <w:highlight w:val="white"/>
        </w:rPr>
      </w:pPr>
      <w:r w:rsidDel="00000000" w:rsidR="00000000" w:rsidRPr="00000000">
        <w:rPr>
          <w:color w:val="222222"/>
          <w:highlight w:val="white"/>
          <w:rtl w:val="0"/>
        </w:rPr>
        <w:t xml:space="preserve">8. In a car, while stopped for a few minutes in traffic</w:t>
      </w:r>
    </w:p>
    <w:p w:rsidR="00000000" w:rsidDel="00000000" w:rsidP="00000000" w:rsidRDefault="00000000" w:rsidRPr="00000000" w14:paraId="0000003C">
      <w:pPr>
        <w:spacing w:line="360" w:lineRule="auto"/>
        <w:ind w:left="720" w:firstLine="0"/>
        <w:jc w:val="both"/>
        <w:rPr>
          <w:color w:val="222222"/>
          <w:highlight w:val="white"/>
        </w:rPr>
      </w:pPr>
      <w:r w:rsidDel="00000000" w:rsidR="00000000" w:rsidRPr="00000000">
        <w:rPr>
          <w:color w:val="222222"/>
          <w:highlight w:val="white"/>
          <w:rtl w:val="0"/>
        </w:rPr>
        <w:t xml:space="preserve">☐ No chance of dozing</w:t>
      </w:r>
    </w:p>
    <w:p w:rsidR="00000000" w:rsidDel="00000000" w:rsidP="00000000" w:rsidRDefault="00000000" w:rsidRPr="00000000" w14:paraId="0000003D">
      <w:pPr>
        <w:spacing w:line="360" w:lineRule="auto"/>
        <w:ind w:left="720" w:firstLine="0"/>
        <w:jc w:val="both"/>
        <w:rPr>
          <w:color w:val="222222"/>
          <w:highlight w:val="white"/>
        </w:rPr>
      </w:pPr>
      <w:r w:rsidDel="00000000" w:rsidR="00000000" w:rsidRPr="00000000">
        <w:rPr>
          <w:color w:val="222222"/>
          <w:highlight w:val="white"/>
          <w:rtl w:val="0"/>
        </w:rPr>
        <w:t xml:space="preserve">☐ Slight chance of dozing</w:t>
      </w:r>
    </w:p>
    <w:p w:rsidR="00000000" w:rsidDel="00000000" w:rsidP="00000000" w:rsidRDefault="00000000" w:rsidRPr="00000000" w14:paraId="0000003E">
      <w:pPr>
        <w:spacing w:line="360" w:lineRule="auto"/>
        <w:ind w:left="720" w:firstLine="0"/>
        <w:jc w:val="both"/>
        <w:rPr>
          <w:color w:val="222222"/>
          <w:highlight w:val="white"/>
        </w:rPr>
      </w:pPr>
      <w:r w:rsidDel="00000000" w:rsidR="00000000" w:rsidRPr="00000000">
        <w:rPr>
          <w:color w:val="222222"/>
          <w:highlight w:val="white"/>
          <w:rtl w:val="0"/>
        </w:rPr>
        <w:t xml:space="preserve">☐ Moderate chance of dozing</w:t>
      </w:r>
    </w:p>
    <w:p w:rsidR="00000000" w:rsidDel="00000000" w:rsidP="00000000" w:rsidRDefault="00000000" w:rsidRPr="00000000" w14:paraId="0000003F">
      <w:pPr>
        <w:spacing w:line="360" w:lineRule="auto"/>
        <w:ind w:left="720" w:firstLine="0"/>
        <w:jc w:val="both"/>
        <w:rPr>
          <w:color w:val="222222"/>
          <w:highlight w:val="white"/>
        </w:rPr>
      </w:pPr>
      <w:r w:rsidDel="00000000" w:rsidR="00000000" w:rsidRPr="00000000">
        <w:rPr>
          <w:color w:val="222222"/>
          <w:highlight w:val="white"/>
          <w:rtl w:val="0"/>
        </w:rPr>
        <w:t xml:space="preserve">☐ High chance of dozing</w:t>
      </w:r>
    </w:p>
    <w:p w:rsidR="00000000" w:rsidDel="00000000" w:rsidP="00000000" w:rsidRDefault="00000000" w:rsidRPr="00000000" w14:paraId="00000040">
      <w:pPr>
        <w:spacing w:line="360" w:lineRule="auto"/>
        <w:ind w:left="720" w:firstLine="0"/>
        <w:jc w:val="both"/>
        <w:rPr>
          <w:color w:val="222222"/>
          <w:highlight w:val="white"/>
        </w:rPr>
      </w:pPr>
      <w:r w:rsidDel="00000000" w:rsidR="00000000" w:rsidRPr="00000000">
        <w:rPr>
          <w:rtl w:val="0"/>
        </w:rPr>
      </w:r>
    </w:p>
    <w:p w:rsidR="00000000" w:rsidDel="00000000" w:rsidP="00000000" w:rsidRDefault="00000000" w:rsidRPr="00000000" w14:paraId="00000041">
      <w:pPr>
        <w:spacing w:line="360" w:lineRule="auto"/>
        <w:ind w:left="0" w:firstLine="0"/>
        <w:jc w:val="both"/>
        <w:rPr>
          <w:color w:val="222222"/>
          <w:highlight w:val="white"/>
        </w:rPr>
      </w:pPr>
      <w:r w:rsidDel="00000000" w:rsidR="00000000" w:rsidRPr="00000000">
        <w:rPr>
          <w:rtl w:val="0"/>
        </w:rPr>
      </w:r>
    </w:p>
    <w:p w:rsidR="00000000" w:rsidDel="00000000" w:rsidP="00000000" w:rsidRDefault="00000000" w:rsidRPr="00000000" w14:paraId="00000042">
      <w:pPr>
        <w:spacing w:line="360" w:lineRule="auto"/>
        <w:jc w:val="both"/>
        <w:rPr>
          <w:color w:val="222222"/>
          <w:highlight w:val="white"/>
        </w:rPr>
      </w:pPr>
      <w:r w:rsidDel="00000000" w:rsidR="00000000" w:rsidRPr="00000000">
        <w:rPr>
          <w:rtl w:val="0"/>
        </w:rPr>
      </w:r>
    </w:p>
    <w:p w:rsidR="00000000" w:rsidDel="00000000" w:rsidP="00000000" w:rsidRDefault="00000000" w:rsidRPr="00000000" w14:paraId="00000043">
      <w:pPr>
        <w:spacing w:line="360" w:lineRule="auto"/>
        <w:ind w:left="0" w:firstLine="0"/>
        <w:jc w:val="both"/>
        <w:rPr>
          <w:color w:val="222222"/>
          <w:highlight w:val="white"/>
        </w:rPr>
      </w:pPr>
      <w:r w:rsidDel="00000000" w:rsidR="00000000" w:rsidRPr="00000000">
        <w:rPr>
          <w:rtl w:val="0"/>
        </w:rPr>
      </w:r>
    </w:p>
    <w:p w:rsidR="00000000" w:rsidDel="00000000" w:rsidP="00000000" w:rsidRDefault="00000000" w:rsidRPr="00000000" w14:paraId="00000044">
      <w:pPr>
        <w:spacing w:line="360" w:lineRule="auto"/>
        <w:ind w:left="0" w:firstLine="0"/>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45">
      <w:pPr>
        <w:spacing w:line="480" w:lineRule="auto"/>
        <w:ind w:left="1440" w:firstLine="0"/>
        <w:jc w:val="both"/>
        <w:rPr>
          <w:color w:val="222222"/>
          <w:highlight w:val="white"/>
        </w:rPr>
      </w:pPr>
      <w:r w:rsidDel="00000000" w:rsidR="00000000" w:rsidRPr="00000000">
        <w:rPr>
          <w:rtl w:val="0"/>
        </w:rPr>
      </w:r>
    </w:p>
    <w:p w:rsidR="00000000" w:rsidDel="00000000" w:rsidP="00000000" w:rsidRDefault="00000000" w:rsidRPr="00000000" w14:paraId="00000046">
      <w:pPr>
        <w:spacing w:line="480" w:lineRule="auto"/>
        <w:jc w:val="both"/>
        <w:rPr>
          <w:i w:val="1"/>
          <w:sz w:val="24"/>
          <w:szCs w:val="24"/>
        </w:rPr>
      </w:pPr>
      <w:r w:rsidDel="00000000" w:rsidR="00000000" w:rsidRPr="00000000">
        <w:rPr>
          <w:b w:val="1"/>
          <w:rtl w:val="0"/>
        </w:rPr>
        <w:t xml:space="preserve">Appendix S2.</w:t>
      </w:r>
      <w:r w:rsidDel="00000000" w:rsidR="00000000" w:rsidRPr="00000000">
        <w:rPr>
          <w:b w:val="1"/>
          <w:sz w:val="24"/>
          <w:szCs w:val="24"/>
          <w:rtl w:val="0"/>
        </w:rPr>
        <w:t xml:space="preserve"> </w:t>
      </w:r>
      <w:r w:rsidDel="00000000" w:rsidR="00000000" w:rsidRPr="00000000">
        <w:rPr>
          <w:i w:val="1"/>
          <w:sz w:val="24"/>
          <w:szCs w:val="24"/>
          <w:rtl w:val="0"/>
        </w:rPr>
        <w:t xml:space="preserve">Multiplex IgG serology</w:t>
      </w:r>
    </w:p>
    <w:p w:rsidR="00000000" w:rsidDel="00000000" w:rsidP="00000000" w:rsidRDefault="00000000" w:rsidRPr="00000000" w14:paraId="00000047">
      <w:pPr>
        <w:spacing w:line="480" w:lineRule="auto"/>
        <w:jc w:val="both"/>
        <w:rPr>
          <w:b w:val="1"/>
          <w:sz w:val="24"/>
          <w:szCs w:val="24"/>
        </w:rPr>
      </w:pPr>
      <w:r w:rsidDel="00000000" w:rsidR="00000000" w:rsidRPr="00000000">
        <w:rPr>
          <w:sz w:val="24"/>
          <w:szCs w:val="24"/>
          <w:rtl w:val="0"/>
        </w:rPr>
        <w:t xml:space="preserve">Antigen-specific IgG was measured in plasma samples against a panel of 25 antigens from different common pathogens by quantitative suspension array technology using a FlexMap-3D analyzer and 384 well plates. For the Luminex assays, samples were randomized keeping those from the same children (different time-points) together in the same assay plate. Antigens included in the Luminex panel were: five viral capsid proteins 1 from five polyomaviruses (BKPyV, JCPyV, KIPyV, WUPyV, MCPyV), four Epstein-Barr virus (EBV) antigens (ZEBRA, EBNA-1, EA-D, VCA p18), four Cytomegalovirus (CMV) antigens (pp52, pp65, pp150, pp28), eight </w:t>
      </w:r>
      <w:r w:rsidDel="00000000" w:rsidR="00000000" w:rsidRPr="00000000">
        <w:rPr>
          <w:i w:val="1"/>
          <w:sz w:val="24"/>
          <w:szCs w:val="24"/>
          <w:rtl w:val="0"/>
        </w:rPr>
        <w:t xml:space="preserve">Helicobacter pylori </w:t>
      </w:r>
      <w:r w:rsidDel="00000000" w:rsidR="00000000" w:rsidRPr="00000000">
        <w:rPr>
          <w:sz w:val="24"/>
          <w:szCs w:val="24"/>
          <w:rtl w:val="0"/>
        </w:rPr>
        <w:t xml:space="preserve">proteins (GroEL, UreA, NapA, HpaA, CagA, VacA, HcpC, Omp), one Adenovirus 36 antigen (Adv 36 fiber protein) and one </w:t>
      </w:r>
      <w:r w:rsidDel="00000000" w:rsidR="00000000" w:rsidRPr="00000000">
        <w:rPr>
          <w:i w:val="1"/>
          <w:sz w:val="24"/>
          <w:szCs w:val="24"/>
          <w:rtl w:val="0"/>
        </w:rPr>
        <w:t xml:space="preserve">Toxoplasma gondii </w:t>
      </w:r>
      <w:r w:rsidDel="00000000" w:rsidR="00000000" w:rsidRPr="00000000">
        <w:rPr>
          <w:sz w:val="24"/>
          <w:szCs w:val="24"/>
          <w:rtl w:val="0"/>
        </w:rPr>
        <w:t xml:space="preserve">antigen (Toxo-sag2). Twenty 384 well plates were analyzed, each of them containing 334 test samples, 8 serial dilutions of a positive control, 38 negative controls and 4 technical blanks. The positive control consisted in a pool of 4 samples reactive to the different antigens of the panel plus the anti-Toxoplasma IgG human reference reagent 01/600 from NIBSC. The purpose of the positive control was for quality control of the assay and to normalize the data by correcting the interplate variability. The negative controls consisted on samples from previously defined seronegative individuals to the different antigens tested. The purpose of the negative controls was to help to establish the cut off of seropositivity for each antigen. Technical blanks consisted of Luminex Buffer (1% BSA, 0.05% Tween20, 0.05% sodium azide, 0.005% Triton X- 100 in PBS) incubated with microspheres without samples and their purpose was to detect background signal from non-specific binding of IgGs to microspheres. Previously to the assay, test samples and negative controls were pre-diluted at 1/100 in 96- round well plates and kept at -80ºC until the day of the assay. For the positive control, a stock of 8-serial dilutions (1/1000, 1/2000, 1/4000, 1/8000, 1/16000, 1/32000, 1/64000 and 1/128000) was aliquoted and kept at -80ºC until the day of the assay. The day of the assay, antigen-coupled microspheres were added in multiplex to 384-well plates and mixed with the test samples, negative and positive controls and blanks. The loading of microspheres and samples on the 384 well plates was performed with a 384-channels Integra Viaflo semi-automatic device and an Integra Assist Plus device with 12-channels Voyager pipette. Final dilution of test samples and negative controls was 1/1000. Plates were incubated for 1 h at room temperature in agitation (Titramax 1000) at 900 rpm and protected from light. Then, the plates were washed three times with 200 μL/well of 0.05% Tween 20 in PBS, using a BioTek 405 TS microplate washer (384-well format). Next, 25 μL of goat anti-human IgG-phycoerythrin (PE) (GTIG-001, Moss Bio) diluted 1:400 in Luminex buffer was added to each well and incubated for 30 min. Plates were washed again and microspheres resuspended with 80 μL of Luminex Buffer, covered with an adhesive film and sonicated 20 seconds on a sonicator bath platform, before acquisition on the Flexmap 3D® reader. At least 50 microspheres per analyte and per well were acquired, and median fluorescence intensity (MFI) was reported as a measure of antigen-specific IgG levels in each plasma sample. Raw data was exported with Xponent and managed with R and R-studio for quality control assessment and normalization to correct for the inter-plate variability. Data normalization was performed by antigen and plate using the MFI values of the first dilution (1/1000) of the positive control and applying the following ratio: MFI of test sample x MFI 1st dilution of the positive control of the plate/mean of MFIs of 1st dilution of all positive controls from all plates</w:t>
      </w:r>
      <w:r w:rsidDel="00000000" w:rsidR="00000000" w:rsidRPr="00000000">
        <w:rPr>
          <w:rtl w:val="0"/>
        </w:rPr>
      </w:r>
    </w:p>
    <w:p w:rsidR="00000000" w:rsidDel="00000000" w:rsidP="00000000" w:rsidRDefault="00000000" w:rsidRPr="00000000" w14:paraId="00000048">
      <w:pPr>
        <w:spacing w:line="480" w:lineRule="auto"/>
        <w:jc w:val="both"/>
        <w:rPr>
          <w:i w:val="1"/>
          <w:sz w:val="24"/>
          <w:szCs w:val="24"/>
        </w:rPr>
      </w:pPr>
      <w:r w:rsidDel="00000000" w:rsidR="00000000" w:rsidRPr="00000000">
        <w:rPr>
          <w:i w:val="1"/>
          <w:sz w:val="24"/>
          <w:szCs w:val="24"/>
          <w:rtl w:val="0"/>
        </w:rPr>
        <w:t xml:space="preserve">Determining seropositivity thresholds</w:t>
      </w:r>
    </w:p>
    <w:p w:rsidR="00000000" w:rsidDel="00000000" w:rsidP="00000000" w:rsidRDefault="00000000" w:rsidRPr="00000000" w14:paraId="00000049">
      <w:pPr>
        <w:spacing w:line="480" w:lineRule="auto"/>
        <w:jc w:val="both"/>
        <w:rPr>
          <w:sz w:val="24"/>
          <w:szCs w:val="24"/>
        </w:rPr>
      </w:pPr>
      <w:r w:rsidDel="00000000" w:rsidR="00000000" w:rsidRPr="00000000">
        <w:rPr>
          <w:sz w:val="24"/>
          <w:szCs w:val="24"/>
          <w:rtl w:val="0"/>
        </w:rPr>
        <w:t xml:space="preserve">Determining the MFI signal threshold above which an individual was considered to be IgG positive (seropositive) for each of the antigens in the study was based on finite mixture models (FMM) except for </w:t>
      </w:r>
      <w:r w:rsidDel="00000000" w:rsidR="00000000" w:rsidRPr="00000000">
        <w:rPr>
          <w:i w:val="1"/>
          <w:sz w:val="24"/>
          <w:szCs w:val="24"/>
          <w:rtl w:val="0"/>
        </w:rPr>
        <w:t xml:space="preserve">H. pylori </w:t>
      </w:r>
      <w:r w:rsidDel="00000000" w:rsidR="00000000" w:rsidRPr="00000000">
        <w:rPr>
          <w:sz w:val="24"/>
          <w:szCs w:val="24"/>
          <w:rtl w:val="0"/>
        </w:rPr>
        <w:t xml:space="preserve">and JCPyV that were based on a cutoff estimated using the negative controls. FMM is a well-established data driven method for identifying past exposure to infection. FMM assumes the presence of classes or groups in a set population, and provides theoretic thresholds between the subpopulations. We expected two sub-populations for each antigen tested (exposed/non-exposed). We applied FMM to the log10-transformed IgG levels of each antigen tested at 4, 6 and 11 years old to classify children as exposed/ non-exposed at each age according to their antibody levels. We used the statistical package flexmix version 2.3-18 in the R statistical software version 4.1.0. This package uses an expectation-maximization algorithm that uses maximum likelihood to estimate model parameters. It also calculates the probability of belonging to each subpopulation for every observation. To make sure the models ran were reliable, we used a bootstrap of 100 repetitions for each age group. This way we could find the best FFM model for each antigen. Antigen-specific cut offs were then calculated as the mean MFI of samples that were identified as seronegative plus 3 times the standard deviation. Cut-offs for </w:t>
      </w:r>
      <w:r w:rsidDel="00000000" w:rsidR="00000000" w:rsidRPr="00000000">
        <w:rPr>
          <w:i w:val="1"/>
          <w:sz w:val="24"/>
          <w:szCs w:val="24"/>
          <w:rtl w:val="0"/>
        </w:rPr>
        <w:t xml:space="preserve">H.pylori</w:t>
      </w:r>
      <w:r w:rsidDel="00000000" w:rsidR="00000000" w:rsidRPr="00000000">
        <w:rPr>
          <w:sz w:val="24"/>
          <w:szCs w:val="24"/>
          <w:rtl w:val="0"/>
        </w:rPr>
        <w:t xml:space="preserve"> and JCPyV were based on negative controls from the Rhea cohort. These cut offs were calculated as 10 to the mean plus 3 standard deviations of log10-transformed MFIs of the negative controls for each antigen as previously reported in other studies. EBV and CMV seropositivity were defined as seropositivity for at least 2 virus-specific antigens whereas </w:t>
      </w:r>
      <w:r w:rsidDel="00000000" w:rsidR="00000000" w:rsidRPr="00000000">
        <w:rPr>
          <w:i w:val="1"/>
          <w:sz w:val="24"/>
          <w:szCs w:val="24"/>
          <w:rtl w:val="0"/>
        </w:rPr>
        <w:t xml:space="preserve">H.pylori </w:t>
      </w:r>
      <w:r w:rsidDel="00000000" w:rsidR="00000000" w:rsidRPr="00000000">
        <w:rPr>
          <w:sz w:val="24"/>
          <w:szCs w:val="24"/>
          <w:rtl w:val="0"/>
        </w:rPr>
        <w:t xml:space="preserve">seropositivity was defined as seropositivity for at least 3 pathogen-specific antigens.</w:t>
      </w:r>
    </w:p>
    <w:p w:rsidR="00000000" w:rsidDel="00000000" w:rsidP="00000000" w:rsidRDefault="00000000" w:rsidRPr="00000000" w14:paraId="0000004A">
      <w:pPr>
        <w:spacing w:line="276" w:lineRule="auto"/>
        <w:jc w:val="both"/>
        <w:rPr>
          <w:b w:val="1"/>
        </w:rPr>
      </w:pPr>
      <w:r w:rsidDel="00000000" w:rsidR="00000000" w:rsidRPr="00000000">
        <w:rPr>
          <w:rtl w:val="0"/>
        </w:rPr>
      </w:r>
    </w:p>
    <w:p w:rsidR="00000000" w:rsidDel="00000000" w:rsidP="00000000" w:rsidRDefault="00000000" w:rsidRPr="00000000" w14:paraId="0000004B">
      <w:pPr>
        <w:spacing w:line="276" w:lineRule="auto"/>
        <w:jc w:val="both"/>
        <w:rPr>
          <w:b w:val="1"/>
        </w:rPr>
      </w:pPr>
      <w:r w:rsidDel="00000000" w:rsidR="00000000" w:rsidRPr="00000000">
        <w:rPr>
          <w:rtl w:val="0"/>
        </w:rPr>
      </w:r>
    </w:p>
    <w:p w:rsidR="00000000" w:rsidDel="00000000" w:rsidP="00000000" w:rsidRDefault="00000000" w:rsidRPr="00000000" w14:paraId="0000004C">
      <w:pPr>
        <w:spacing w:line="480" w:lineRule="auto"/>
        <w:jc w:val="both"/>
        <w:rPr/>
      </w:pPr>
      <w:r w:rsidDel="00000000" w:rsidR="00000000" w:rsidRPr="00000000">
        <w:rPr>
          <w:b w:val="1"/>
          <w:rtl w:val="0"/>
        </w:rPr>
        <w:t xml:space="preserve">Table S1</w:t>
      </w:r>
      <w:r w:rsidDel="00000000" w:rsidR="00000000" w:rsidRPr="00000000">
        <w:rPr>
          <w:rtl w:val="0"/>
        </w:rPr>
        <w:t xml:space="preserve">.</w:t>
      </w:r>
      <w:r w:rsidDel="00000000" w:rsidR="00000000" w:rsidRPr="00000000">
        <w:rPr>
          <w:rtl w:val="0"/>
        </w:rPr>
        <w:t xml:space="preserve"> Average time at risk (years) for Cox proportional hazard analysis of maternal sleep characteristics and risk of infection in children. </w:t>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775"/>
        <w:gridCol w:w="2085"/>
        <w:gridCol w:w="2160"/>
        <w:tblGridChange w:id="0">
          <w:tblGrid>
            <w:gridCol w:w="2025"/>
            <w:gridCol w:w="2775"/>
            <w:gridCol w:w="2085"/>
            <w:gridCol w:w="216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76" w:lineRule="auto"/>
              <w:jc w:val="center"/>
              <w:rPr/>
            </w:pPr>
            <w:r w:rsidDel="00000000" w:rsidR="00000000" w:rsidRPr="00000000">
              <w:rPr>
                <w:rtl w:val="0"/>
              </w:rPr>
              <w:t xml:space="preserve">Infection </w:t>
            </w:r>
          </w:p>
        </w:tc>
        <w:tc>
          <w:tcPr>
            <w:tcBorders>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76" w:lineRule="auto"/>
              <w:jc w:val="center"/>
              <w:rPr/>
            </w:pPr>
            <w:r w:rsidDel="00000000" w:rsidR="00000000" w:rsidRPr="00000000">
              <w:rPr>
                <w:rtl w:val="0"/>
              </w:rPr>
              <w:t xml:space="preserve">Average time at risk</w:t>
            </w:r>
          </w:p>
          <w:p w:rsidR="00000000" w:rsidDel="00000000" w:rsidP="00000000" w:rsidRDefault="00000000" w:rsidRPr="00000000" w14:paraId="0000004F">
            <w:pPr>
              <w:widowControl w:val="0"/>
              <w:spacing w:line="276" w:lineRule="auto"/>
              <w:jc w:val="center"/>
              <w:rPr/>
            </w:pPr>
            <w:r w:rsidDel="00000000" w:rsidR="00000000" w:rsidRPr="00000000">
              <w:rPr>
                <w:rtl w:val="0"/>
              </w:rPr>
              <w:t xml:space="preserve">(years)</w:t>
            </w:r>
          </w:p>
        </w:tc>
        <w:tc>
          <w:tcPr>
            <w:tcBorders>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76" w:lineRule="auto"/>
              <w:jc w:val="center"/>
              <w:rPr/>
            </w:pPr>
            <w:r w:rsidDel="00000000" w:rsidR="00000000" w:rsidRPr="00000000">
              <w:rPr>
                <w:rtl w:val="0"/>
              </w:rPr>
              <w:t xml:space="preserve">Infection </w:t>
            </w:r>
          </w:p>
        </w:tc>
        <w:tc>
          <w:tcPr>
            <w:tcBorders>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76" w:lineRule="auto"/>
              <w:jc w:val="center"/>
              <w:rPr/>
            </w:pPr>
            <w:r w:rsidDel="00000000" w:rsidR="00000000" w:rsidRPr="00000000">
              <w:rPr>
                <w:rtl w:val="0"/>
              </w:rPr>
              <w:t xml:space="preserve">Average time at risk (years)</w:t>
            </w:r>
          </w:p>
        </w:tc>
      </w:tr>
      <w:tr>
        <w:trPr>
          <w:cantSplit w:val="0"/>
          <w:tblHeader w:val="0"/>
        </w:trPr>
        <w:tc>
          <w:tcPr>
            <w:tcBorders>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jc w:val="center"/>
              <w:rPr/>
            </w:pPr>
            <w:r w:rsidDel="00000000" w:rsidR="00000000" w:rsidRPr="00000000">
              <w:rPr>
                <w:rtl w:val="0"/>
              </w:rPr>
              <w:t xml:space="preserve">BKPyV</w:t>
            </w:r>
          </w:p>
        </w:tc>
        <w:tc>
          <w:tcPr>
            <w:tcBorders>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76" w:lineRule="auto"/>
              <w:jc w:val="center"/>
              <w:rPr/>
            </w:pPr>
            <w:r w:rsidDel="00000000" w:rsidR="00000000" w:rsidRPr="00000000">
              <w:rPr>
                <w:rtl w:val="0"/>
              </w:rPr>
              <w:t xml:space="preserve">4.3</w:t>
            </w:r>
          </w:p>
        </w:tc>
        <w:tc>
          <w:tcPr>
            <w:tcBorders>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jc w:val="center"/>
              <w:rPr/>
            </w:pPr>
            <w:r w:rsidDel="00000000" w:rsidR="00000000" w:rsidRPr="00000000">
              <w:rPr>
                <w:rtl w:val="0"/>
              </w:rPr>
              <w:t xml:space="preserve">EBV</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76" w:lineRule="auto"/>
              <w:jc w:val="center"/>
              <w:rPr/>
            </w:pPr>
            <w:r w:rsidDel="00000000" w:rsidR="00000000" w:rsidRPr="00000000">
              <w:rPr>
                <w:rtl w:val="0"/>
              </w:rPr>
              <w:t xml:space="preserve">5.0</w:t>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jc w:val="center"/>
              <w:rPr/>
            </w:pPr>
            <w:r w:rsidDel="00000000" w:rsidR="00000000" w:rsidRPr="00000000">
              <w:rPr>
                <w:rtl w:val="0"/>
              </w:rPr>
              <w:t xml:space="preserve">JCPyV</w:t>
            </w:r>
          </w:p>
        </w:tc>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76" w:lineRule="auto"/>
              <w:jc w:val="center"/>
              <w:rPr/>
            </w:pPr>
            <w:r w:rsidDel="00000000" w:rsidR="00000000" w:rsidRPr="00000000">
              <w:rPr>
                <w:rtl w:val="0"/>
              </w:rPr>
              <w:t xml:space="preserve">5.0</w:t>
            </w:r>
          </w:p>
        </w:tc>
        <w:tc>
          <w:tcPr>
            <w:tcBorders>
              <w:top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jc w:val="center"/>
              <w:rPr/>
            </w:pPr>
            <w:r w:rsidDel="00000000" w:rsidR="00000000" w:rsidRPr="00000000">
              <w:rPr>
                <w:rtl w:val="0"/>
              </w:rPr>
              <w:t xml:space="preserve">CMV</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76" w:lineRule="auto"/>
              <w:jc w:val="center"/>
              <w:rPr/>
            </w:pPr>
            <w:r w:rsidDel="00000000" w:rsidR="00000000" w:rsidRPr="00000000">
              <w:rPr>
                <w:rtl w:val="0"/>
              </w:rPr>
              <w:t xml:space="preserve">5.3</w:t>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jc w:val="center"/>
              <w:rPr/>
            </w:pPr>
            <w:r w:rsidDel="00000000" w:rsidR="00000000" w:rsidRPr="00000000">
              <w:rPr>
                <w:rtl w:val="0"/>
              </w:rPr>
              <w:t xml:space="preserve">KIPyV</w:t>
            </w:r>
          </w:p>
        </w:tc>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76" w:lineRule="auto"/>
              <w:jc w:val="center"/>
              <w:rPr/>
            </w:pPr>
            <w:r w:rsidDel="00000000" w:rsidR="00000000" w:rsidRPr="00000000">
              <w:rPr>
                <w:rtl w:val="0"/>
              </w:rPr>
              <w:t xml:space="preserve">4.6</w:t>
            </w:r>
          </w:p>
        </w:tc>
        <w:tc>
          <w:tcPr>
            <w:tcBorders>
              <w:top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jc w:val="center"/>
              <w:rPr/>
            </w:pPr>
            <w:r w:rsidDel="00000000" w:rsidR="00000000" w:rsidRPr="00000000">
              <w:rPr>
                <w:i w:val="1"/>
                <w:rtl w:val="0"/>
              </w:rPr>
              <w:t xml:space="preserve">H. pylori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76" w:lineRule="auto"/>
              <w:jc w:val="center"/>
              <w:rPr/>
            </w:pPr>
            <w:r w:rsidDel="00000000" w:rsidR="00000000" w:rsidRPr="00000000">
              <w:rPr>
                <w:rtl w:val="0"/>
              </w:rPr>
              <w:t xml:space="preserve">5.3</w:t>
            </w:r>
          </w:p>
        </w:tc>
      </w:tr>
      <w:tr>
        <w:trPr>
          <w:cantSplit w:val="0"/>
          <w:tblHeader w:val="0"/>
        </w:trPr>
        <w:tc>
          <w:tcPr>
            <w:tcBorders>
              <w:top w:color="000000" w:space="0" w:sz="0" w:val="nil"/>
              <w:left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jc w:val="center"/>
              <w:rPr/>
            </w:pPr>
            <w:r w:rsidDel="00000000" w:rsidR="00000000" w:rsidRPr="00000000">
              <w:rPr>
                <w:rtl w:val="0"/>
              </w:rPr>
              <w:t xml:space="preserve">WUPyV</w:t>
            </w:r>
          </w:p>
        </w:tc>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76" w:lineRule="auto"/>
              <w:jc w:val="center"/>
              <w:rPr/>
            </w:pPr>
            <w:r w:rsidDel="00000000" w:rsidR="00000000" w:rsidRPr="00000000">
              <w:rPr>
                <w:rtl w:val="0"/>
              </w:rPr>
              <w:t xml:space="preserve">4.7</w:t>
            </w:r>
          </w:p>
        </w:tc>
        <w:tc>
          <w:tcPr>
            <w:tcBorders>
              <w:top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jc w:val="center"/>
              <w:rPr/>
            </w:pPr>
            <w:r w:rsidDel="00000000" w:rsidR="00000000" w:rsidRPr="00000000">
              <w:rPr>
                <w:rtl w:val="0"/>
              </w:rPr>
              <w:t xml:space="preserve">Avd-36</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76" w:lineRule="auto"/>
              <w:jc w:val="center"/>
              <w:rPr/>
            </w:pPr>
            <w:r w:rsidDel="00000000" w:rsidR="00000000" w:rsidRPr="00000000">
              <w:rPr>
                <w:rtl w:val="0"/>
              </w:rPr>
              <w:t xml:space="preserve">5.0</w:t>
            </w:r>
          </w:p>
        </w:tc>
      </w:tr>
      <w:tr>
        <w:trPr>
          <w:cantSplit w:val="0"/>
          <w:tblHeader w:val="0"/>
        </w:trPr>
        <w:tc>
          <w:tcPr>
            <w:tcBorders>
              <w:top w:color="000000" w:space="0" w:sz="0" w:val="nil"/>
              <w:left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jc w:val="center"/>
              <w:rPr/>
            </w:pPr>
            <w:r w:rsidDel="00000000" w:rsidR="00000000" w:rsidRPr="00000000">
              <w:rPr>
                <w:rtl w:val="0"/>
              </w:rPr>
              <w:t xml:space="preserve">MCPyV</w:t>
            </w:r>
          </w:p>
        </w:tc>
        <w:tc>
          <w:tcPr>
            <w:tcBorders>
              <w:top w:color="000000" w:space="0" w:sz="0" w:val="nil"/>
              <w:lef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76" w:lineRule="auto"/>
              <w:jc w:val="center"/>
              <w:rPr/>
            </w:pPr>
            <w:r w:rsidDel="00000000" w:rsidR="00000000" w:rsidRPr="00000000">
              <w:rPr>
                <w:rtl w:val="0"/>
              </w:rPr>
              <w:t xml:space="preserve">4.5</w:t>
            </w:r>
          </w:p>
        </w:tc>
        <w:tc>
          <w:tcPr>
            <w:tcBorders>
              <w:top w:color="000000" w:space="0" w:sz="0" w:val="nil"/>
              <w:bottom w:color="000000" w:space="0" w:sz="7" w:val="single"/>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jc w:val="center"/>
              <w:rPr/>
            </w:pPr>
            <w:r w:rsidDel="00000000" w:rsidR="00000000" w:rsidRPr="00000000">
              <w:rPr>
                <w:rtl w:val="0"/>
              </w:rPr>
              <w:t xml:space="preserve">T.gondii</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76" w:lineRule="auto"/>
              <w:jc w:val="center"/>
              <w:rPr/>
            </w:pPr>
            <w:r w:rsidDel="00000000" w:rsidR="00000000" w:rsidRPr="00000000">
              <w:rPr>
                <w:rtl w:val="0"/>
              </w:rPr>
              <w:t xml:space="preserve">4.9</w:t>
            </w:r>
          </w:p>
        </w:tc>
      </w:tr>
    </w:tbl>
    <w:p w:rsidR="00000000" w:rsidDel="00000000" w:rsidP="00000000" w:rsidRDefault="00000000" w:rsidRPr="00000000" w14:paraId="00000066">
      <w:pPr>
        <w:spacing w:line="480" w:lineRule="auto"/>
        <w:jc w:val="both"/>
        <w:rPr/>
      </w:pPr>
      <w:r w:rsidDel="00000000" w:rsidR="00000000" w:rsidRPr="00000000">
        <w:rPr>
          <w:rtl w:val="0"/>
        </w:rPr>
      </w:r>
    </w:p>
    <w:p w:rsidR="00000000" w:rsidDel="00000000" w:rsidP="00000000" w:rsidRDefault="00000000" w:rsidRPr="00000000" w14:paraId="00000067">
      <w:pPr>
        <w:spacing w:line="480" w:lineRule="auto"/>
        <w:jc w:val="both"/>
        <w:rPr>
          <w:b w:val="1"/>
        </w:rPr>
      </w:pPr>
      <w:r w:rsidDel="00000000" w:rsidR="00000000" w:rsidRPr="00000000">
        <w:rPr>
          <w:rtl w:val="0"/>
        </w:rPr>
      </w:r>
    </w:p>
    <w:p w:rsidR="00000000" w:rsidDel="00000000" w:rsidP="00000000" w:rsidRDefault="00000000" w:rsidRPr="00000000" w14:paraId="00000068">
      <w:pPr>
        <w:spacing w:line="480" w:lineRule="auto"/>
        <w:jc w:val="both"/>
        <w:rPr>
          <w:b w:val="1"/>
        </w:rPr>
      </w:pPr>
      <w:r w:rsidDel="00000000" w:rsidR="00000000" w:rsidRPr="00000000">
        <w:rPr>
          <w:rtl w:val="0"/>
        </w:rPr>
      </w:r>
    </w:p>
    <w:p w:rsidR="00000000" w:rsidDel="00000000" w:rsidP="00000000" w:rsidRDefault="00000000" w:rsidRPr="00000000" w14:paraId="00000069">
      <w:pPr>
        <w:spacing w:line="480" w:lineRule="auto"/>
        <w:jc w:val="both"/>
        <w:rPr>
          <w:b w:val="1"/>
        </w:rPr>
      </w:pPr>
      <w:r w:rsidDel="00000000" w:rsidR="00000000" w:rsidRPr="00000000">
        <w:rPr>
          <w:rtl w:val="0"/>
        </w:rPr>
      </w:r>
    </w:p>
    <w:p w:rsidR="00000000" w:rsidDel="00000000" w:rsidP="00000000" w:rsidRDefault="00000000" w:rsidRPr="00000000" w14:paraId="0000006A">
      <w:pPr>
        <w:spacing w:line="480" w:lineRule="auto"/>
        <w:jc w:val="both"/>
        <w:rPr>
          <w:b w:val="1"/>
        </w:rPr>
      </w:pPr>
      <w:r w:rsidDel="00000000" w:rsidR="00000000" w:rsidRPr="00000000">
        <w:rPr>
          <w:rtl w:val="0"/>
        </w:rPr>
      </w:r>
    </w:p>
    <w:p w:rsidR="00000000" w:rsidDel="00000000" w:rsidP="00000000" w:rsidRDefault="00000000" w:rsidRPr="00000000" w14:paraId="0000006B">
      <w:pPr>
        <w:spacing w:line="480" w:lineRule="auto"/>
        <w:jc w:val="both"/>
        <w:rPr>
          <w:b w:val="1"/>
        </w:rPr>
      </w:pPr>
      <w:r w:rsidDel="00000000" w:rsidR="00000000" w:rsidRPr="00000000">
        <w:rPr>
          <w:rtl w:val="0"/>
        </w:rPr>
      </w:r>
    </w:p>
    <w:p w:rsidR="00000000" w:rsidDel="00000000" w:rsidP="00000000" w:rsidRDefault="00000000" w:rsidRPr="00000000" w14:paraId="0000006C">
      <w:pPr>
        <w:spacing w:line="480" w:lineRule="auto"/>
        <w:jc w:val="both"/>
        <w:rPr>
          <w:b w:val="1"/>
        </w:rPr>
      </w:pPr>
      <w:r w:rsidDel="00000000" w:rsidR="00000000" w:rsidRPr="00000000">
        <w:rPr>
          <w:rtl w:val="0"/>
        </w:rPr>
      </w:r>
    </w:p>
    <w:p w:rsidR="00000000" w:rsidDel="00000000" w:rsidP="00000000" w:rsidRDefault="00000000" w:rsidRPr="00000000" w14:paraId="0000006D">
      <w:pPr>
        <w:spacing w:line="480" w:lineRule="auto"/>
        <w:jc w:val="both"/>
        <w:rPr>
          <w:b w:val="1"/>
        </w:rPr>
      </w:pPr>
      <w:r w:rsidDel="00000000" w:rsidR="00000000" w:rsidRPr="00000000">
        <w:rPr>
          <w:rtl w:val="0"/>
        </w:rPr>
      </w:r>
    </w:p>
    <w:p w:rsidR="00000000" w:rsidDel="00000000" w:rsidP="00000000" w:rsidRDefault="00000000" w:rsidRPr="00000000" w14:paraId="0000006E">
      <w:pPr>
        <w:spacing w:line="480" w:lineRule="auto"/>
        <w:jc w:val="both"/>
        <w:rPr>
          <w:b w:val="1"/>
        </w:rPr>
      </w:pPr>
      <w:r w:rsidDel="00000000" w:rsidR="00000000" w:rsidRPr="00000000">
        <w:rPr>
          <w:rtl w:val="0"/>
        </w:rPr>
      </w:r>
    </w:p>
    <w:p w:rsidR="00000000" w:rsidDel="00000000" w:rsidP="00000000" w:rsidRDefault="00000000" w:rsidRPr="00000000" w14:paraId="0000006F">
      <w:pPr>
        <w:spacing w:line="480" w:lineRule="auto"/>
        <w:jc w:val="both"/>
        <w:rPr>
          <w:b w:val="1"/>
        </w:rPr>
      </w:pPr>
      <w:r w:rsidDel="00000000" w:rsidR="00000000" w:rsidRPr="00000000">
        <w:rPr>
          <w:rtl w:val="0"/>
        </w:rPr>
      </w:r>
    </w:p>
    <w:p w:rsidR="00000000" w:rsidDel="00000000" w:rsidP="00000000" w:rsidRDefault="00000000" w:rsidRPr="00000000" w14:paraId="00000070">
      <w:pPr>
        <w:spacing w:line="480" w:lineRule="auto"/>
        <w:jc w:val="both"/>
        <w:rPr>
          <w:b w:val="1"/>
        </w:rPr>
      </w:pPr>
      <w:r w:rsidDel="00000000" w:rsidR="00000000" w:rsidRPr="00000000">
        <w:rPr>
          <w:rtl w:val="0"/>
        </w:rPr>
      </w:r>
    </w:p>
    <w:p w:rsidR="00000000" w:rsidDel="00000000" w:rsidP="00000000" w:rsidRDefault="00000000" w:rsidRPr="00000000" w14:paraId="00000071">
      <w:pPr>
        <w:spacing w:line="480" w:lineRule="auto"/>
        <w:jc w:val="both"/>
        <w:rPr>
          <w:b w:val="1"/>
        </w:rPr>
      </w:pPr>
      <w:r w:rsidDel="00000000" w:rsidR="00000000" w:rsidRPr="00000000">
        <w:rPr>
          <w:rtl w:val="0"/>
        </w:rPr>
      </w:r>
    </w:p>
    <w:p w:rsidR="00000000" w:rsidDel="00000000" w:rsidP="00000000" w:rsidRDefault="00000000" w:rsidRPr="00000000" w14:paraId="00000072">
      <w:pPr>
        <w:spacing w:line="480" w:lineRule="auto"/>
        <w:jc w:val="both"/>
        <w:rPr>
          <w:b w:val="1"/>
        </w:rPr>
      </w:pPr>
      <w:r w:rsidDel="00000000" w:rsidR="00000000" w:rsidRPr="00000000">
        <w:rPr>
          <w:rtl w:val="0"/>
        </w:rPr>
      </w:r>
    </w:p>
    <w:p w:rsidR="00000000" w:rsidDel="00000000" w:rsidP="00000000" w:rsidRDefault="00000000" w:rsidRPr="00000000" w14:paraId="00000073">
      <w:pPr>
        <w:spacing w:line="480" w:lineRule="auto"/>
        <w:jc w:val="both"/>
        <w:rPr>
          <w:b w:val="1"/>
        </w:rPr>
      </w:pPr>
      <w:r w:rsidDel="00000000" w:rsidR="00000000" w:rsidRPr="00000000">
        <w:rPr>
          <w:rtl w:val="0"/>
        </w:rPr>
      </w:r>
    </w:p>
    <w:p w:rsidR="00000000" w:rsidDel="00000000" w:rsidP="00000000" w:rsidRDefault="00000000" w:rsidRPr="00000000" w14:paraId="00000074">
      <w:pPr>
        <w:spacing w:line="480" w:lineRule="auto"/>
        <w:jc w:val="both"/>
        <w:rPr>
          <w:b w:val="1"/>
        </w:rPr>
      </w:pPr>
      <w:r w:rsidDel="00000000" w:rsidR="00000000" w:rsidRPr="00000000">
        <w:rPr>
          <w:rtl w:val="0"/>
        </w:rPr>
      </w:r>
    </w:p>
    <w:p w:rsidR="00000000" w:rsidDel="00000000" w:rsidP="00000000" w:rsidRDefault="00000000" w:rsidRPr="00000000" w14:paraId="00000075">
      <w:pPr>
        <w:spacing w:line="480" w:lineRule="auto"/>
        <w:jc w:val="both"/>
        <w:rPr>
          <w:b w:val="1"/>
        </w:rPr>
      </w:pPr>
      <w:r w:rsidDel="00000000" w:rsidR="00000000" w:rsidRPr="00000000">
        <w:rPr>
          <w:rtl w:val="0"/>
        </w:rPr>
      </w:r>
    </w:p>
    <w:p w:rsidR="00000000" w:rsidDel="00000000" w:rsidP="00000000" w:rsidRDefault="00000000" w:rsidRPr="00000000" w14:paraId="00000076">
      <w:pPr>
        <w:spacing w:line="480" w:lineRule="auto"/>
        <w:jc w:val="both"/>
        <w:rPr>
          <w:b w:val="1"/>
        </w:rPr>
      </w:pPr>
      <w:r w:rsidDel="00000000" w:rsidR="00000000" w:rsidRPr="00000000">
        <w:rPr>
          <w:rtl w:val="0"/>
        </w:rPr>
      </w:r>
    </w:p>
    <w:p w:rsidR="00000000" w:rsidDel="00000000" w:rsidP="00000000" w:rsidRDefault="00000000" w:rsidRPr="00000000" w14:paraId="00000077">
      <w:pPr>
        <w:spacing w:line="480" w:lineRule="auto"/>
        <w:jc w:val="both"/>
        <w:rPr>
          <w:b w:val="1"/>
        </w:rPr>
      </w:pPr>
      <w:r w:rsidDel="00000000" w:rsidR="00000000" w:rsidRPr="00000000">
        <w:rPr>
          <w:rtl w:val="0"/>
        </w:rPr>
      </w:r>
    </w:p>
    <w:p w:rsidR="00000000" w:rsidDel="00000000" w:rsidP="00000000" w:rsidRDefault="00000000" w:rsidRPr="00000000" w14:paraId="00000078">
      <w:pPr>
        <w:spacing w:line="480" w:lineRule="auto"/>
        <w:jc w:val="both"/>
        <w:rPr>
          <w:b w:val="1"/>
        </w:rPr>
      </w:pPr>
      <w:r w:rsidDel="00000000" w:rsidR="00000000" w:rsidRPr="00000000">
        <w:rPr>
          <w:rtl w:val="0"/>
        </w:rPr>
      </w:r>
    </w:p>
    <w:p w:rsidR="00000000" w:rsidDel="00000000" w:rsidP="00000000" w:rsidRDefault="00000000" w:rsidRPr="00000000" w14:paraId="00000079">
      <w:pPr>
        <w:spacing w:line="480" w:lineRule="auto"/>
        <w:jc w:val="both"/>
        <w:rPr/>
      </w:pPr>
      <w:r w:rsidDel="00000000" w:rsidR="00000000" w:rsidRPr="00000000">
        <w:rPr>
          <w:b w:val="1"/>
          <w:rtl w:val="0"/>
        </w:rPr>
        <w:t xml:space="preserve">Table S2</w:t>
      </w:r>
      <w:r w:rsidDel="00000000" w:rsidR="00000000" w:rsidRPr="00000000">
        <w:rPr>
          <w:rtl w:val="0"/>
        </w:rPr>
        <w:t xml:space="preserve">. Cross-tabulation of all maternal sleep characteristics.</w:t>
      </w:r>
    </w:p>
    <w:tbl>
      <w:tblPr>
        <w:tblStyle w:val="Table2"/>
        <w:tblW w:w="75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040"/>
        <w:gridCol w:w="1890"/>
        <w:gridCol w:w="1320"/>
        <w:tblGridChange w:id="0">
          <w:tblGrid>
            <w:gridCol w:w="2265"/>
            <w:gridCol w:w="2040"/>
            <w:gridCol w:w="1890"/>
            <w:gridCol w:w="1320"/>
          </w:tblGrid>
        </w:tblGridChange>
      </w:tblGrid>
      <w:tr>
        <w:trPr>
          <w:cantSplit w:val="0"/>
          <w:trHeight w:val="440" w:hRule="atLeast"/>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c>
          <w:tcPr>
            <w:gridSpan w:val="2"/>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pPr>
            <w:r w:rsidDel="00000000" w:rsidR="00000000" w:rsidRPr="00000000">
              <w:rPr>
                <w:rtl w:val="0"/>
              </w:rPr>
              <w:t xml:space="preserve">Excessive daytime sleepiness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pPr>
            <w:r w:rsidDel="00000000" w:rsidR="00000000" w:rsidRPr="00000000">
              <w:rPr>
                <w:rtl w:val="0"/>
              </w:rPr>
              <w:t xml:space="preserve">p-value</w:t>
            </w:r>
          </w:p>
        </w:tc>
      </w:tr>
      <w:tr>
        <w:trPr>
          <w:cantSplit w:val="0"/>
          <w:tblHeader w:val="0"/>
        </w:trPr>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pPr>
            <w:r w:rsidDel="00000000" w:rsidR="00000000" w:rsidRPr="00000000">
              <w:rPr>
                <w:rtl w:val="0"/>
              </w:rPr>
              <w:t xml:space="preserve">Sleep disturbances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pPr>
            <w:r w:rsidDel="00000000" w:rsidR="00000000" w:rsidRPr="00000000">
              <w:rPr>
                <w:rtl w:val="0"/>
              </w:rPr>
              <w:t xml:space="preserve">yes</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pPr>
            <w:r w:rsidDel="00000000" w:rsidR="00000000" w:rsidRPr="00000000">
              <w:rPr>
                <w:rtl w:val="0"/>
              </w:rPr>
              <w:t xml:space="preserve">0.28</w:t>
            </w:r>
          </w:p>
        </w:tc>
      </w:tr>
      <w:tr>
        <w:trPr>
          <w:cantSplit w:val="0"/>
          <w:tblHeader w:val="0"/>
        </w:trPr>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no</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pPr>
            <w:r w:rsidDel="00000000" w:rsidR="00000000" w:rsidRPr="00000000">
              <w:rPr>
                <w:rtl w:val="0"/>
              </w:rPr>
              <w:t xml:space="preserve">434</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pPr>
            <w:r w:rsidDel="00000000" w:rsidR="00000000" w:rsidRPr="00000000">
              <w:rPr>
                <w:rtl w:val="0"/>
              </w:rPr>
              <w:t xml:space="preserve">35</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yes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pPr>
            <w:r w:rsidDel="00000000" w:rsidR="00000000" w:rsidRPr="00000000">
              <w:rPr>
                <w:rtl w:val="0"/>
              </w:rPr>
              <w:t xml:space="preserve">67</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pPr>
            <w:r w:rsidDel="00000000" w:rsidR="00000000" w:rsidRPr="00000000">
              <w:rPr>
                <w:rtl w:val="0"/>
              </w:rPr>
              <w:t xml:space="preserve">9</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pPr>
            <w:r w:rsidDel="00000000" w:rsidR="00000000" w:rsidRPr="00000000">
              <w:rPr>
                <w:rtl w:val="0"/>
              </w:rPr>
            </w:r>
          </w:p>
        </w:tc>
      </w:tr>
      <w:tr>
        <w:trPr>
          <w:cantSplit w:val="0"/>
          <w:tblHeader w:val="0"/>
        </w:trPr>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jc w:val="center"/>
              <w:rPr/>
            </w:pPr>
            <w:r w:rsidDel="00000000" w:rsidR="00000000" w:rsidRPr="00000000">
              <w:rPr>
                <w:rFonts w:ascii="Arial Unicode MS" w:cs="Arial Unicode MS" w:eastAsia="Arial Unicode MS" w:hAnsi="Arial Unicode MS"/>
                <w:rtl w:val="0"/>
              </w:rPr>
              <w:t xml:space="preserve">≤ 7 hours of sleep</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pPr>
            <w:r w:rsidDel="00000000" w:rsidR="00000000" w:rsidRPr="00000000">
              <w:rPr>
                <w:rtl w:val="0"/>
              </w:rPr>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pPr>
            <w:r w:rsidDel="00000000" w:rsidR="00000000" w:rsidRPr="00000000">
              <w:rPr>
                <w:rtl w:val="0"/>
              </w:rPr>
              <w:t xml:space="preserve">0.16</w:t>
            </w:r>
          </w:p>
        </w:tc>
      </w:tr>
      <w:tr>
        <w:trPr>
          <w:cantSplit w:val="0"/>
          <w:tblHeader w:val="0"/>
        </w:trPr>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both"/>
              <w:rPr/>
            </w:pPr>
            <w:r w:rsidDel="00000000" w:rsidR="00000000" w:rsidRPr="00000000">
              <w:rPr>
                <w:rtl w:val="0"/>
              </w:rPr>
              <w:t xml:space="preserve">no</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pPr>
            <w:r w:rsidDel="00000000" w:rsidR="00000000" w:rsidRPr="00000000">
              <w:rPr>
                <w:rtl w:val="0"/>
              </w:rPr>
              <w:t xml:space="preserve">316</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pPr>
            <w:r w:rsidDel="00000000" w:rsidR="00000000" w:rsidRPr="00000000">
              <w:rPr>
                <w:rtl w:val="0"/>
              </w:rPr>
              <w:t xml:space="preserve">33</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both"/>
              <w:rPr/>
            </w:pPr>
            <w:r w:rsidDel="00000000" w:rsidR="00000000" w:rsidRPr="00000000">
              <w:rPr>
                <w:rtl w:val="0"/>
              </w:rPr>
              <w:t xml:space="preserve">yes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pPr>
            <w:r w:rsidDel="00000000" w:rsidR="00000000" w:rsidRPr="00000000">
              <w:rPr>
                <w:rtl w:val="0"/>
              </w:rPr>
              <w:t xml:space="preserve">185</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pPr>
            <w:r w:rsidDel="00000000" w:rsidR="00000000" w:rsidRPr="00000000">
              <w:rPr>
                <w:rtl w:val="0"/>
              </w:rPr>
              <w:t xml:space="preserve">11</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pPr>
            <w:r w:rsidDel="00000000" w:rsidR="00000000" w:rsidRPr="00000000">
              <w:rPr>
                <w:rtl w:val="0"/>
              </w:rPr>
            </w:r>
          </w:p>
        </w:tc>
      </w:tr>
      <w:tr>
        <w:trPr>
          <w:cantSplit w:val="0"/>
          <w:tblHeader w:val="0"/>
        </w:trPr>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jc w:val="center"/>
              <w:rPr/>
            </w:pPr>
            <w:r w:rsidDel="00000000" w:rsidR="00000000" w:rsidRPr="00000000">
              <w:rPr>
                <w:rtl w:val="0"/>
              </w:rPr>
              <w:t xml:space="preserve">Snoring </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pPr>
            <w:r w:rsidDel="00000000" w:rsidR="00000000" w:rsidRPr="00000000">
              <w:rPr>
                <w:rtl w:val="0"/>
              </w:rPr>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0.15</w:t>
            </w:r>
          </w:p>
        </w:tc>
      </w:tr>
      <w:tr>
        <w:trPr>
          <w:cantSplit w:val="0"/>
          <w:tblHeader w:val="0"/>
        </w:trPr>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both"/>
              <w:rPr/>
            </w:pPr>
            <w:r w:rsidDel="00000000" w:rsidR="00000000" w:rsidRPr="00000000">
              <w:rPr>
                <w:rtl w:val="0"/>
              </w:rPr>
              <w:t xml:space="preserve">no</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pPr>
            <w:r w:rsidDel="00000000" w:rsidR="00000000" w:rsidRPr="00000000">
              <w:rPr>
                <w:rtl w:val="0"/>
              </w:rPr>
              <w:t xml:space="preserve">405</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pPr>
            <w:r w:rsidDel="00000000" w:rsidR="00000000" w:rsidRPr="00000000">
              <w:rPr>
                <w:rtl w:val="0"/>
              </w:rPr>
              <w:t xml:space="preserve">31</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both"/>
              <w:rPr/>
            </w:pPr>
            <w:r w:rsidDel="00000000" w:rsidR="00000000" w:rsidRPr="00000000">
              <w:rPr>
                <w:rtl w:val="0"/>
              </w:rPr>
              <w:t xml:space="preserve">yes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pPr>
            <w:r w:rsidDel="00000000" w:rsidR="00000000" w:rsidRPr="00000000">
              <w:rPr>
                <w:rtl w:val="0"/>
              </w:rPr>
              <w:t xml:space="preserve">96</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pPr>
            <w:r w:rsidDel="00000000" w:rsidR="00000000" w:rsidRPr="00000000">
              <w:rPr>
                <w:rtl w:val="0"/>
              </w:rPr>
              <w:t xml:space="preserve">13</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pPr>
            <w:r w:rsidDel="00000000" w:rsidR="00000000" w:rsidRPr="00000000">
              <w:rPr>
                <w:rtl w:val="0"/>
              </w:rPr>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jc w:val="both"/>
              <w:rPr/>
            </w:pPr>
            <w:r w:rsidDel="00000000" w:rsidR="00000000" w:rsidRPr="00000000">
              <w:rPr>
                <w:rtl w:val="0"/>
              </w:rPr>
            </w:r>
          </w:p>
        </w:tc>
        <w:tc>
          <w:tcPr>
            <w:gridSpan w:val="2"/>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pPr>
            <w:r w:rsidDel="00000000" w:rsidR="00000000" w:rsidRPr="00000000">
              <w:rPr>
                <w:rtl w:val="0"/>
              </w:rPr>
              <w:t xml:space="preserve">Sleep disturbances</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pPr>
            <w:r w:rsidDel="00000000" w:rsidR="00000000" w:rsidRPr="00000000">
              <w:rPr>
                <w:rtl w:val="0"/>
              </w:rPr>
            </w:r>
          </w:p>
        </w:tc>
      </w:tr>
      <w:tr>
        <w:trPr>
          <w:cantSplit w:val="0"/>
          <w:tblHeader w:val="0"/>
        </w:trPr>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jc w:val="center"/>
              <w:rPr/>
            </w:pPr>
            <w:r w:rsidDel="00000000" w:rsidR="00000000" w:rsidRPr="00000000">
              <w:rPr>
                <w:rFonts w:ascii="Arial Unicode MS" w:cs="Arial Unicode MS" w:eastAsia="Arial Unicode MS" w:hAnsi="Arial Unicode MS"/>
                <w:rtl w:val="0"/>
              </w:rPr>
              <w:t xml:space="preserve">≤ 7 hours of sleep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pPr>
            <w:r w:rsidDel="00000000" w:rsidR="00000000" w:rsidRPr="00000000">
              <w:rPr>
                <w:rtl w:val="0"/>
              </w:rPr>
              <w:t xml:space="preserve">yes</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center"/>
              <w:rPr/>
            </w:pPr>
            <w:r w:rsidDel="00000000" w:rsidR="00000000" w:rsidRPr="00000000">
              <w:rPr>
                <w:rtl w:val="0"/>
              </w:rPr>
              <w:t xml:space="preserve">0.76</w:t>
            </w:r>
          </w:p>
        </w:tc>
      </w:tr>
      <w:tr>
        <w:trPr>
          <w:cantSplit w:val="0"/>
          <w:tblHeader w:val="0"/>
        </w:trPr>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both"/>
              <w:rPr/>
            </w:pPr>
            <w:r w:rsidDel="00000000" w:rsidR="00000000" w:rsidRPr="00000000">
              <w:rPr>
                <w:rtl w:val="0"/>
              </w:rPr>
              <w:t xml:space="preserve">no</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center"/>
              <w:rPr/>
            </w:pPr>
            <w:r w:rsidDel="00000000" w:rsidR="00000000" w:rsidRPr="00000000">
              <w:rPr>
                <w:rtl w:val="0"/>
              </w:rPr>
              <w:t xml:space="preserve">302</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pPr>
            <w:r w:rsidDel="00000000" w:rsidR="00000000" w:rsidRPr="00000000">
              <w:rPr>
                <w:rtl w:val="0"/>
              </w:rPr>
              <w:t xml:space="preserve">47</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both"/>
              <w:rPr/>
            </w:pPr>
            <w:r w:rsidDel="00000000" w:rsidR="00000000" w:rsidRPr="00000000">
              <w:rPr>
                <w:rtl w:val="0"/>
              </w:rPr>
              <w:t xml:space="preserve">yes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pPr>
            <w:r w:rsidDel="00000000" w:rsidR="00000000" w:rsidRPr="00000000">
              <w:rPr>
                <w:rtl w:val="0"/>
              </w:rPr>
              <w:t xml:space="preserve">167</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pPr>
            <w:r w:rsidDel="00000000" w:rsidR="00000000" w:rsidRPr="00000000">
              <w:rPr>
                <w:rtl w:val="0"/>
              </w:rPr>
              <w:t xml:space="preserve">29</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pPr>
            <w:r w:rsidDel="00000000" w:rsidR="00000000" w:rsidRPr="00000000">
              <w:rPr>
                <w:rtl w:val="0"/>
              </w:rPr>
            </w:r>
          </w:p>
        </w:tc>
      </w:tr>
      <w:tr>
        <w:trPr>
          <w:cantSplit w:val="0"/>
          <w:tblHeader w:val="0"/>
        </w:trPr>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jc w:val="center"/>
              <w:rPr/>
            </w:pPr>
            <w:r w:rsidDel="00000000" w:rsidR="00000000" w:rsidRPr="00000000">
              <w:rPr>
                <w:rtl w:val="0"/>
              </w:rPr>
              <w:t xml:space="preserve">Snoring </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pPr>
            <w:r w:rsidDel="00000000" w:rsidR="00000000" w:rsidRPr="00000000">
              <w:rPr>
                <w:rtl w:val="0"/>
              </w:rPr>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pPr>
            <w:r w:rsidDel="00000000" w:rsidR="00000000" w:rsidRPr="00000000">
              <w:rPr>
                <w:rtl w:val="0"/>
              </w:rPr>
              <w:t xml:space="preserve">0.31</w:t>
            </w:r>
          </w:p>
        </w:tc>
      </w:tr>
      <w:tr>
        <w:trPr>
          <w:cantSplit w:val="0"/>
          <w:tblHeader w:val="0"/>
        </w:trPr>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both"/>
              <w:rPr/>
            </w:pPr>
            <w:r w:rsidDel="00000000" w:rsidR="00000000" w:rsidRPr="00000000">
              <w:rPr>
                <w:rtl w:val="0"/>
              </w:rPr>
              <w:t xml:space="preserve">no</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pPr>
            <w:r w:rsidDel="00000000" w:rsidR="00000000" w:rsidRPr="00000000">
              <w:rPr>
                <w:rtl w:val="0"/>
              </w:rPr>
              <w:t xml:space="preserve">379</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pPr>
            <w:r w:rsidDel="00000000" w:rsidR="00000000" w:rsidRPr="00000000">
              <w:rPr>
                <w:rtl w:val="0"/>
              </w:rPr>
              <w:t xml:space="preserve">57</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both"/>
              <w:rPr/>
            </w:pPr>
            <w:r w:rsidDel="00000000" w:rsidR="00000000" w:rsidRPr="00000000">
              <w:rPr>
                <w:rtl w:val="0"/>
              </w:rPr>
              <w:t xml:space="preserve">yes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center"/>
              <w:rPr/>
            </w:pPr>
            <w:r w:rsidDel="00000000" w:rsidR="00000000" w:rsidRPr="00000000">
              <w:rPr>
                <w:rtl w:val="0"/>
              </w:rPr>
              <w:t xml:space="preserve">90</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pPr>
            <w:r w:rsidDel="00000000" w:rsidR="00000000" w:rsidRPr="00000000">
              <w:rPr>
                <w:rtl w:val="0"/>
              </w:rPr>
              <w:t xml:space="preserve">19</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pPr>
            <w:r w:rsidDel="00000000" w:rsidR="00000000" w:rsidRPr="00000000">
              <w:rPr>
                <w:rtl w:val="0"/>
              </w:rPr>
            </w:r>
          </w:p>
        </w:tc>
      </w:tr>
      <w:tr>
        <w:trPr>
          <w:cantSplit w:val="0"/>
          <w:trHeight w:val="420" w:hRule="atLeast"/>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jc w:val="both"/>
              <w:rPr/>
            </w:pPr>
            <w:r w:rsidDel="00000000" w:rsidR="00000000" w:rsidRPr="00000000">
              <w:rPr>
                <w:rtl w:val="0"/>
              </w:rPr>
            </w:r>
          </w:p>
        </w:tc>
        <w:tc>
          <w:tcPr>
            <w:gridSpan w:val="2"/>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jc w:val="center"/>
              <w:rPr/>
            </w:pPr>
            <w:r w:rsidDel="00000000" w:rsidR="00000000" w:rsidRPr="00000000">
              <w:rPr>
                <w:rFonts w:ascii="Arial Unicode MS" w:cs="Arial Unicode MS" w:eastAsia="Arial Unicode MS" w:hAnsi="Arial Unicode MS"/>
                <w:rtl w:val="0"/>
              </w:rPr>
              <w:t xml:space="preserve">≤ 7 hours of sleep</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pPr>
            <w:r w:rsidDel="00000000" w:rsidR="00000000" w:rsidRPr="00000000">
              <w:rPr>
                <w:rtl w:val="0"/>
              </w:rPr>
            </w:r>
          </w:p>
        </w:tc>
      </w:tr>
      <w:tr>
        <w:trPr>
          <w:cantSplit w:val="0"/>
          <w:tblHeader w:val="0"/>
        </w:trPr>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jc w:val="center"/>
              <w:rPr/>
            </w:pPr>
            <w:r w:rsidDel="00000000" w:rsidR="00000000" w:rsidRPr="00000000">
              <w:rPr>
                <w:rtl w:val="0"/>
              </w:rPr>
              <w:t xml:space="preserve">Snoring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pPr>
            <w:r w:rsidDel="00000000" w:rsidR="00000000" w:rsidRPr="00000000">
              <w:rPr>
                <w:rtl w:val="0"/>
              </w:rPr>
              <w:t xml:space="preserve">yes</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pPr>
            <w:r w:rsidDel="00000000" w:rsidR="00000000" w:rsidRPr="00000000">
              <w:rPr>
                <w:rtl w:val="0"/>
              </w:rPr>
              <w:t xml:space="preserve">0.95</w:t>
            </w:r>
          </w:p>
        </w:tc>
      </w:tr>
      <w:tr>
        <w:trPr>
          <w:cantSplit w:val="0"/>
          <w:tblHeader w:val="0"/>
        </w:trPr>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both"/>
              <w:rPr/>
            </w:pPr>
            <w:r w:rsidDel="00000000" w:rsidR="00000000" w:rsidRPr="00000000">
              <w:rPr>
                <w:rtl w:val="0"/>
              </w:rPr>
              <w:t xml:space="preserve">no</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pPr>
            <w:r w:rsidDel="00000000" w:rsidR="00000000" w:rsidRPr="00000000">
              <w:rPr>
                <w:rtl w:val="0"/>
              </w:rPr>
              <w:t xml:space="preserve">280</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pPr>
            <w:r w:rsidDel="00000000" w:rsidR="00000000" w:rsidRPr="00000000">
              <w:rPr>
                <w:rtl w:val="0"/>
              </w:rPr>
              <w:t xml:space="preserve">156</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both"/>
              <w:rPr/>
            </w:pPr>
            <w:r w:rsidDel="00000000" w:rsidR="00000000" w:rsidRPr="00000000">
              <w:rPr>
                <w:rtl w:val="0"/>
              </w:rPr>
              <w:t xml:space="preserve">yes</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pPr>
            <w:r w:rsidDel="00000000" w:rsidR="00000000" w:rsidRPr="00000000">
              <w:rPr>
                <w:rtl w:val="0"/>
              </w:rPr>
              <w:t xml:space="preserve">69</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pPr>
            <w:r w:rsidDel="00000000" w:rsidR="00000000" w:rsidRPr="00000000">
              <w:rPr>
                <w:rtl w:val="0"/>
              </w:rPr>
              <w:t xml:space="preserve">40</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pPr>
            <w:r w:rsidDel="00000000" w:rsidR="00000000" w:rsidRPr="00000000">
              <w:rPr>
                <w:rtl w:val="0"/>
              </w:rPr>
            </w:r>
          </w:p>
        </w:tc>
      </w:tr>
    </w:tbl>
    <w:p w:rsidR="00000000" w:rsidDel="00000000" w:rsidP="00000000" w:rsidRDefault="00000000" w:rsidRPr="00000000" w14:paraId="000000CE">
      <w:pPr>
        <w:spacing w:line="480" w:lineRule="auto"/>
        <w:jc w:val="both"/>
        <w:rPr/>
      </w:pPr>
      <w:r w:rsidDel="00000000" w:rsidR="00000000" w:rsidRPr="00000000">
        <w:rPr>
          <w:rtl w:val="0"/>
        </w:rPr>
      </w:r>
    </w:p>
    <w:p w:rsidR="00000000" w:rsidDel="00000000" w:rsidP="00000000" w:rsidRDefault="00000000" w:rsidRPr="00000000" w14:paraId="000000CF">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D0">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D1">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D2">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D3">
      <w:pPr>
        <w:spacing w:line="480" w:lineRule="auto"/>
        <w:jc w:val="both"/>
        <w:rPr>
          <w:sz w:val="24"/>
          <w:szCs w:val="24"/>
        </w:rPr>
      </w:pPr>
      <w:r w:rsidDel="00000000" w:rsidR="00000000" w:rsidRPr="00000000">
        <w:rPr>
          <w:b w:val="1"/>
          <w:sz w:val="24"/>
          <w:szCs w:val="24"/>
          <w:rtl w:val="0"/>
        </w:rPr>
        <w:t xml:space="preserve">Figure S1.</w:t>
      </w:r>
      <w:r w:rsidDel="00000000" w:rsidR="00000000" w:rsidRPr="00000000">
        <w:rPr>
          <w:rtl w:val="0"/>
        </w:rPr>
        <w:t xml:space="preserve"> </w:t>
      </w:r>
      <w:r w:rsidDel="00000000" w:rsidR="00000000" w:rsidRPr="00000000">
        <w:rPr>
          <w:sz w:val="24"/>
          <w:szCs w:val="24"/>
          <w:rtl w:val="0"/>
        </w:rPr>
        <w:t xml:space="preserve">Adjusted estimates of the association between maternal indicators of poor sleep during pregnancy and the risk of infection in offspring (n=545).</w:t>
      </w:r>
    </w:p>
    <w:p w:rsidR="00000000" w:rsidDel="00000000" w:rsidP="00000000" w:rsidRDefault="00000000" w:rsidRPr="00000000" w14:paraId="000000D4">
      <w:pPr>
        <w:spacing w:line="480" w:lineRule="auto"/>
        <w:jc w:val="both"/>
        <w:rPr>
          <w:sz w:val="24"/>
          <w:szCs w:val="24"/>
        </w:rPr>
      </w:pPr>
      <w:r w:rsidDel="00000000" w:rsidR="00000000" w:rsidRPr="00000000">
        <w:rPr>
          <w:sz w:val="24"/>
          <w:szCs w:val="24"/>
          <w:u w:val="single"/>
          <w:rtl w:val="0"/>
        </w:rPr>
        <w:t xml:space="preserve">Caption</w:t>
      </w:r>
      <w:r w:rsidDel="00000000" w:rsidR="00000000" w:rsidRPr="00000000">
        <w:rPr>
          <w:sz w:val="24"/>
          <w:szCs w:val="24"/>
          <w:rtl w:val="0"/>
        </w:rPr>
        <w:t xml:space="preserve">: Forest plots, hazard ratios (HR), 95% confidence interval and p-value for maternal (n= 545) sleep characteristics and infections [Polyomaviruses (BKPyV, JCPyV, KIPyV, WUPyV, MCPyv), herpesviruses (EBV, CMV), Adenovirus-36 (Adv-36), </w:t>
      </w:r>
      <w:r w:rsidDel="00000000" w:rsidR="00000000" w:rsidRPr="00000000">
        <w:rPr>
          <w:i w:val="1"/>
          <w:sz w:val="24"/>
          <w:szCs w:val="24"/>
          <w:rtl w:val="0"/>
        </w:rPr>
        <w:t xml:space="preserve">Helicobacter pylori </w:t>
      </w:r>
      <w:r w:rsidDel="00000000" w:rsidR="00000000" w:rsidRPr="00000000">
        <w:rPr>
          <w:sz w:val="24"/>
          <w:szCs w:val="24"/>
          <w:rtl w:val="0"/>
        </w:rPr>
        <w:t xml:space="preserve">(</w:t>
      </w:r>
      <w:r w:rsidDel="00000000" w:rsidR="00000000" w:rsidRPr="00000000">
        <w:rPr>
          <w:i w:val="1"/>
          <w:sz w:val="24"/>
          <w:szCs w:val="24"/>
          <w:rtl w:val="0"/>
        </w:rPr>
        <w:t xml:space="preserve">H.pylori)</w:t>
      </w:r>
      <w:r w:rsidDel="00000000" w:rsidR="00000000" w:rsidRPr="00000000">
        <w:rPr>
          <w:sz w:val="24"/>
          <w:szCs w:val="24"/>
          <w:rtl w:val="0"/>
        </w:rPr>
        <w:t xml:space="preserve"> and </w:t>
      </w:r>
      <w:r w:rsidDel="00000000" w:rsidR="00000000" w:rsidRPr="00000000">
        <w:rPr>
          <w:i w:val="1"/>
          <w:sz w:val="24"/>
          <w:szCs w:val="24"/>
          <w:rtl w:val="0"/>
        </w:rPr>
        <w:t xml:space="preserve">Toxoplasma gondii</w:t>
      </w:r>
      <w:r w:rsidDel="00000000" w:rsidR="00000000" w:rsidRPr="00000000">
        <w:rPr>
          <w:sz w:val="24"/>
          <w:szCs w:val="24"/>
          <w:rtl w:val="0"/>
        </w:rPr>
        <w:t xml:space="preserve"> (</w:t>
      </w:r>
      <w:r w:rsidDel="00000000" w:rsidR="00000000" w:rsidRPr="00000000">
        <w:rPr>
          <w:i w:val="1"/>
          <w:sz w:val="24"/>
          <w:szCs w:val="24"/>
          <w:rtl w:val="0"/>
        </w:rPr>
        <w:t xml:space="preserve">T.gondii</w:t>
      </w:r>
      <w:r w:rsidDel="00000000" w:rsidR="00000000" w:rsidRPr="00000000">
        <w:rPr>
          <w:sz w:val="24"/>
          <w:szCs w:val="24"/>
          <w:rtl w:val="0"/>
        </w:rPr>
        <w:t xml:space="preserve">)] in offspring. In red, statistically significant associations. Models are adjusted by maternal age, maternal education, marital status, pre-pregnancy BMI, smoking at 30 weeks of gestation and children’s sleep duration at age 4.</w:t>
      </w:r>
    </w:p>
    <w:p w:rsidR="00000000" w:rsidDel="00000000" w:rsidP="00000000" w:rsidRDefault="00000000" w:rsidRPr="00000000" w14:paraId="000000D5">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D6">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D7">
      <w:pPr>
        <w:spacing w:line="480" w:lineRule="auto"/>
        <w:jc w:val="both"/>
        <w:rPr>
          <w:sz w:val="24"/>
          <w:szCs w:val="24"/>
        </w:rPr>
      </w:pPr>
      <w:r w:rsidDel="00000000" w:rsidR="00000000" w:rsidRPr="00000000">
        <w:rPr>
          <w:b w:val="1"/>
          <w:sz w:val="24"/>
          <w:szCs w:val="24"/>
          <w:rtl w:val="0"/>
        </w:rPr>
        <w:t xml:space="preserve">Figure S2</w:t>
      </w:r>
      <w:r w:rsidDel="00000000" w:rsidR="00000000" w:rsidRPr="00000000">
        <w:rPr>
          <w:sz w:val="24"/>
          <w:szCs w:val="24"/>
          <w:rtl w:val="0"/>
        </w:rPr>
        <w:t xml:space="preserve">. Adjusted estimates of the association between maternal sleep score and the risk of infection in offspring (n= 545).</w:t>
      </w:r>
    </w:p>
    <w:p w:rsidR="00000000" w:rsidDel="00000000" w:rsidP="00000000" w:rsidRDefault="00000000" w:rsidRPr="00000000" w14:paraId="000000D8">
      <w:pPr>
        <w:spacing w:line="480" w:lineRule="auto"/>
        <w:jc w:val="both"/>
        <w:rPr>
          <w:sz w:val="24"/>
          <w:szCs w:val="24"/>
        </w:rPr>
      </w:pPr>
      <w:r w:rsidDel="00000000" w:rsidR="00000000" w:rsidRPr="00000000">
        <w:rPr>
          <w:sz w:val="24"/>
          <w:szCs w:val="24"/>
          <w:u w:val="single"/>
          <w:rtl w:val="0"/>
        </w:rPr>
        <w:t xml:space="preserve">Caption</w:t>
      </w:r>
      <w:r w:rsidDel="00000000" w:rsidR="00000000" w:rsidRPr="00000000">
        <w:rPr>
          <w:sz w:val="24"/>
          <w:szCs w:val="24"/>
          <w:rtl w:val="0"/>
        </w:rPr>
        <w:t xml:space="preserve">: Forest plots, hazard ratios (HR), 95% confidence interval and p-value for maternal adverse sleep score and infections  [Polyomaviruses (BKPyV, JCPyV, KIPyV, WUPyV, MCPyv), herpesviruses (EBV, CMV), Adenovirus-36 (Adv-36), </w:t>
      </w:r>
      <w:r w:rsidDel="00000000" w:rsidR="00000000" w:rsidRPr="00000000">
        <w:rPr>
          <w:i w:val="1"/>
          <w:sz w:val="24"/>
          <w:szCs w:val="24"/>
          <w:rtl w:val="0"/>
        </w:rPr>
        <w:t xml:space="preserve">Helicobacter pylori </w:t>
      </w:r>
      <w:r w:rsidDel="00000000" w:rsidR="00000000" w:rsidRPr="00000000">
        <w:rPr>
          <w:sz w:val="24"/>
          <w:szCs w:val="24"/>
          <w:rtl w:val="0"/>
        </w:rPr>
        <w:t xml:space="preserve">(</w:t>
      </w:r>
      <w:r w:rsidDel="00000000" w:rsidR="00000000" w:rsidRPr="00000000">
        <w:rPr>
          <w:i w:val="1"/>
          <w:sz w:val="24"/>
          <w:szCs w:val="24"/>
          <w:rtl w:val="0"/>
        </w:rPr>
        <w:t xml:space="preserve">H.pylori)</w:t>
      </w:r>
      <w:r w:rsidDel="00000000" w:rsidR="00000000" w:rsidRPr="00000000">
        <w:rPr>
          <w:sz w:val="24"/>
          <w:szCs w:val="24"/>
          <w:rtl w:val="0"/>
        </w:rPr>
        <w:t xml:space="preserve"> and </w:t>
      </w:r>
      <w:r w:rsidDel="00000000" w:rsidR="00000000" w:rsidRPr="00000000">
        <w:rPr>
          <w:i w:val="1"/>
          <w:sz w:val="24"/>
          <w:szCs w:val="24"/>
          <w:rtl w:val="0"/>
        </w:rPr>
        <w:t xml:space="preserve">Toxoplasma gondii</w:t>
      </w:r>
      <w:r w:rsidDel="00000000" w:rsidR="00000000" w:rsidRPr="00000000">
        <w:rPr>
          <w:sz w:val="24"/>
          <w:szCs w:val="24"/>
          <w:rtl w:val="0"/>
        </w:rPr>
        <w:t xml:space="preserve"> (</w:t>
      </w:r>
      <w:r w:rsidDel="00000000" w:rsidR="00000000" w:rsidRPr="00000000">
        <w:rPr>
          <w:i w:val="1"/>
          <w:sz w:val="24"/>
          <w:szCs w:val="24"/>
          <w:rtl w:val="0"/>
        </w:rPr>
        <w:t xml:space="preserve">T.gondii</w:t>
      </w:r>
      <w:r w:rsidDel="00000000" w:rsidR="00000000" w:rsidRPr="00000000">
        <w:rPr>
          <w:sz w:val="24"/>
          <w:szCs w:val="24"/>
          <w:rtl w:val="0"/>
        </w:rPr>
        <w:t xml:space="preserve">)] in offspring. In red, statistically significant associations. The numbers below each antigen indicated the sleep score assessed. Sleep scores (0 to 4) encompasses all the sleep characteristics evaluated in this study. Higher scores reflect poorer sleep.  Models are adjusted by maternal age, maternal education, marital status, pre-pregnancy BMI, smoking at 30 weeks of gestation and children’s sleep duration at age 4.</w:t>
      </w:r>
    </w:p>
    <w:p w:rsidR="00000000" w:rsidDel="00000000" w:rsidP="00000000" w:rsidRDefault="00000000" w:rsidRPr="00000000" w14:paraId="000000D9">
      <w:pPr>
        <w:spacing w:line="480" w:lineRule="auto"/>
        <w:jc w:val="both"/>
        <w:rPr>
          <w:sz w:val="24"/>
          <w:szCs w:val="24"/>
        </w:rPr>
      </w:pPr>
      <w:r w:rsidDel="00000000" w:rsidR="00000000" w:rsidRPr="00000000">
        <w:rPr>
          <w:rtl w:val="0"/>
        </w:rPr>
      </w:r>
    </w:p>
    <w:p w:rsidR="00000000" w:rsidDel="00000000" w:rsidP="00000000" w:rsidRDefault="00000000" w:rsidRPr="00000000" w14:paraId="000000DA">
      <w:pPr>
        <w:spacing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