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EB109C" w14:textId="77777777" w:rsidR="006D3311" w:rsidRDefault="00000000">
      <w:pPr>
        <w:pStyle w:val="Title2"/>
        <w:spacing w:line="480" w:lineRule="auto"/>
        <w:jc w:val="both"/>
        <w:rPr>
          <w:b w:val="0"/>
          <w:sz w:val="32"/>
          <w:szCs w:val="32"/>
        </w:rPr>
      </w:pPr>
      <w:r>
        <w:rPr>
          <w:rFonts w:eastAsia="SimSun" w:hint="eastAsia"/>
          <w:b w:val="0"/>
          <w:sz w:val="28"/>
          <w:szCs w:val="28"/>
          <w:lang w:eastAsia="zh-CN"/>
        </w:rPr>
        <w:t xml:space="preserve">Supplementary </w:t>
      </w:r>
      <w:r>
        <w:rPr>
          <w:b w:val="0"/>
          <w:sz w:val="28"/>
          <w:szCs w:val="28"/>
        </w:rPr>
        <w:t>Information</w:t>
      </w:r>
      <w:r>
        <w:rPr>
          <w:b w:val="0"/>
          <w:sz w:val="32"/>
          <w:szCs w:val="32"/>
        </w:rPr>
        <w:t xml:space="preserve"> </w:t>
      </w:r>
    </w:p>
    <w:p w14:paraId="42E90AA9" w14:textId="77777777" w:rsidR="006D3311" w:rsidRDefault="00000000">
      <w:pPr>
        <w:pStyle w:val="NormalWeb"/>
        <w:spacing w:beforeAutospacing="0" w:afterLines="80" w:after="249" w:afterAutospacing="0" w:line="480" w:lineRule="auto"/>
        <w:jc w:val="both"/>
        <w:rPr>
          <w:b/>
          <w:bCs/>
          <w:sz w:val="22"/>
          <w:szCs w:val="22"/>
          <w:lang w:bidi="ar"/>
        </w:rPr>
      </w:pPr>
      <w:bookmarkStart w:id="0" w:name="_Hlk207014901"/>
      <w:r>
        <w:rPr>
          <w:b/>
          <w:bCs/>
          <w:sz w:val="22"/>
          <w:szCs w:val="22"/>
          <w:lang w:bidi="ar"/>
        </w:rPr>
        <w:t>Entorhinal cholecystokinin in Alzheimer’s disease: its earliest vulnerability and rescue effects across different disease stages</w:t>
      </w:r>
      <w:bookmarkEnd w:id="0"/>
    </w:p>
    <w:p w14:paraId="014AD502" w14:textId="77777777" w:rsidR="006D3311" w:rsidRDefault="00000000">
      <w:pPr>
        <w:pStyle w:val="NormalWeb"/>
        <w:spacing w:beforeAutospacing="0" w:afterLines="80" w:after="249" w:afterAutospacing="0" w:line="480" w:lineRule="auto"/>
        <w:jc w:val="both"/>
        <w:rPr>
          <w:sz w:val="22"/>
          <w:szCs w:val="22"/>
          <w:vertAlign w:val="superscript"/>
          <w:lang w:bidi="ar"/>
        </w:rPr>
      </w:pPr>
      <w:r>
        <w:rPr>
          <w:rFonts w:eastAsia="SimSun"/>
          <w:color w:val="000000"/>
          <w:sz w:val="22"/>
          <w:szCs w:val="22"/>
          <w:lang w:bidi="ar"/>
        </w:rPr>
        <w:t xml:space="preserve">Yixuan </w:t>
      </w:r>
      <w:proofErr w:type="gramStart"/>
      <w:r>
        <w:rPr>
          <w:rFonts w:eastAsia="SimSun"/>
          <w:color w:val="000000"/>
          <w:sz w:val="22"/>
          <w:szCs w:val="22"/>
          <w:lang w:bidi="ar"/>
        </w:rPr>
        <w:t>Sui</w:t>
      </w:r>
      <w:r>
        <w:rPr>
          <w:sz w:val="22"/>
          <w:szCs w:val="22"/>
          <w:vertAlign w:val="superscript"/>
          <w:lang w:bidi="ar"/>
        </w:rPr>
        <w:t>1</w:t>
      </w:r>
      <w:r>
        <w:rPr>
          <w:rFonts w:eastAsia="SimSun"/>
          <w:b/>
          <w:bCs/>
          <w:color w:val="000000"/>
          <w:sz w:val="22"/>
          <w:szCs w:val="22"/>
          <w:vertAlign w:val="superscript"/>
          <w:lang w:bidi="ar"/>
        </w:rPr>
        <w:t>†</w:t>
      </w:r>
      <w:r>
        <w:rPr>
          <w:rFonts w:eastAsia="SimSun"/>
          <w:color w:val="000000"/>
          <w:sz w:val="22"/>
          <w:szCs w:val="22"/>
          <w:lang w:bidi="ar"/>
        </w:rPr>
        <w:t>,</w:t>
      </w:r>
      <w:proofErr w:type="gramEnd"/>
      <w:r>
        <w:rPr>
          <w:rFonts w:eastAsia="SimSun"/>
          <w:color w:val="000000"/>
          <w:sz w:val="22"/>
          <w:szCs w:val="22"/>
          <w:lang w:bidi="ar"/>
        </w:rPr>
        <w:t xml:space="preserve"> Nan </w:t>
      </w:r>
      <w:proofErr w:type="gramStart"/>
      <w:r>
        <w:rPr>
          <w:rFonts w:eastAsia="SimSun"/>
          <w:color w:val="000000"/>
          <w:sz w:val="22"/>
          <w:szCs w:val="22"/>
          <w:lang w:bidi="ar"/>
        </w:rPr>
        <w:t>Zhang</w:t>
      </w:r>
      <w:r>
        <w:rPr>
          <w:sz w:val="22"/>
          <w:szCs w:val="22"/>
          <w:vertAlign w:val="superscript"/>
          <w:lang w:bidi="ar"/>
        </w:rPr>
        <w:t>1</w:t>
      </w:r>
      <w:r>
        <w:rPr>
          <w:rFonts w:eastAsia="SimSun"/>
          <w:b/>
          <w:bCs/>
          <w:color w:val="000000"/>
          <w:sz w:val="22"/>
          <w:szCs w:val="22"/>
          <w:vertAlign w:val="superscript"/>
          <w:lang w:bidi="ar"/>
        </w:rPr>
        <w:t>†</w:t>
      </w:r>
      <w:r>
        <w:rPr>
          <w:sz w:val="22"/>
          <w:szCs w:val="22"/>
          <w:lang w:bidi="ar"/>
        </w:rPr>
        <w:t>*</w:t>
      </w:r>
      <w:proofErr w:type="gramEnd"/>
      <w:r>
        <w:rPr>
          <w:rFonts w:eastAsia="SimSun"/>
          <w:color w:val="000000"/>
          <w:sz w:val="22"/>
          <w:szCs w:val="22"/>
          <w:lang w:bidi="ar"/>
        </w:rPr>
        <w:t>, Xi Chen</w:t>
      </w:r>
      <w:r>
        <w:rPr>
          <w:sz w:val="22"/>
          <w:szCs w:val="22"/>
          <w:vertAlign w:val="superscript"/>
          <w:lang w:bidi="ar"/>
        </w:rPr>
        <w:t>1,2</w:t>
      </w:r>
      <w:r>
        <w:rPr>
          <w:rFonts w:eastAsia="SimSun"/>
          <w:color w:val="000000"/>
          <w:sz w:val="22"/>
          <w:szCs w:val="22"/>
          <w:lang w:bidi="ar"/>
        </w:rPr>
        <w:t>, Micky D Tortorella</w:t>
      </w:r>
      <w:r>
        <w:rPr>
          <w:rFonts w:eastAsia="SimSun"/>
          <w:color w:val="000000"/>
          <w:sz w:val="22"/>
          <w:szCs w:val="22"/>
          <w:vertAlign w:val="superscript"/>
          <w:lang w:bidi="ar"/>
        </w:rPr>
        <w:t>3</w:t>
      </w:r>
      <w:r>
        <w:rPr>
          <w:rFonts w:eastAsia="SimSun"/>
          <w:color w:val="000000"/>
          <w:sz w:val="22"/>
          <w:szCs w:val="22"/>
          <w:lang w:bidi="ar"/>
        </w:rPr>
        <w:t>, and Jufang He</w:t>
      </w:r>
      <w:r>
        <w:rPr>
          <w:sz w:val="22"/>
          <w:szCs w:val="22"/>
          <w:vertAlign w:val="superscript"/>
          <w:lang w:bidi="ar"/>
        </w:rPr>
        <w:t>1</w:t>
      </w:r>
    </w:p>
    <w:p w14:paraId="2EDA5883" w14:textId="77777777" w:rsidR="006D3311" w:rsidRDefault="00000000">
      <w:pPr>
        <w:spacing w:afterLines="80" w:after="249" w:line="480" w:lineRule="auto"/>
        <w:jc w:val="both"/>
        <w:rPr>
          <w:rFonts w:ascii="Times New Roman Bold" w:hAnsi="Times New Roman Bold" w:cs="Times New Roman Bold"/>
          <w:b/>
          <w:bCs/>
          <w:lang w:bidi="ar"/>
        </w:rPr>
      </w:pPr>
      <w:r>
        <w:rPr>
          <w:rFonts w:ascii="Times New Roman Bold" w:hAnsi="Times New Roman Bold" w:cs="Times New Roman Bold"/>
          <w:b/>
          <w:bCs/>
          <w:lang w:bidi="ar"/>
        </w:rPr>
        <w:t>Affiliations</w:t>
      </w:r>
    </w:p>
    <w:p w14:paraId="09826892" w14:textId="77777777" w:rsidR="006D3311" w:rsidRDefault="00000000">
      <w:pPr>
        <w:spacing w:afterLines="80" w:after="249" w:line="480" w:lineRule="auto"/>
        <w:jc w:val="both"/>
        <w:rPr>
          <w:rFonts w:eastAsia="SimSun"/>
          <w:color w:val="000000"/>
          <w:sz w:val="22"/>
          <w:szCs w:val="22"/>
          <w:lang w:bidi="ar"/>
        </w:rPr>
      </w:pPr>
      <w:r>
        <w:rPr>
          <w:rFonts w:eastAsia="SimSun" w:hint="eastAsia"/>
          <w:color w:val="000000"/>
          <w:sz w:val="22"/>
          <w:szCs w:val="22"/>
          <w:vertAlign w:val="superscript"/>
          <w:lang w:bidi="ar"/>
        </w:rPr>
        <w:t>1</w:t>
      </w:r>
      <w:r>
        <w:rPr>
          <w:rFonts w:eastAsia="SimSun"/>
          <w:color w:val="000000"/>
          <w:sz w:val="22"/>
          <w:szCs w:val="22"/>
          <w:lang w:bidi="ar"/>
        </w:rPr>
        <w:t>Department of Neuroscience,</w:t>
      </w:r>
      <w:r>
        <w:rPr>
          <w:rFonts w:eastAsia="SimSun" w:hint="eastAsia"/>
          <w:color w:val="000000"/>
          <w:sz w:val="22"/>
          <w:szCs w:val="22"/>
          <w:lang w:bidi="ar"/>
        </w:rPr>
        <w:t xml:space="preserve"> </w:t>
      </w:r>
      <w:r>
        <w:rPr>
          <w:rFonts w:eastAsia="SimSun" w:hint="eastAsia"/>
          <w:color w:val="000000"/>
          <w:sz w:val="22"/>
          <w:szCs w:val="22"/>
          <w:vertAlign w:val="superscript"/>
          <w:lang w:bidi="ar"/>
        </w:rPr>
        <w:t>2</w:t>
      </w:r>
      <w:r>
        <w:rPr>
          <w:rFonts w:eastAsia="SimSun"/>
          <w:color w:val="000000"/>
          <w:sz w:val="22"/>
          <w:szCs w:val="22"/>
          <w:lang w:bidi="ar"/>
        </w:rPr>
        <w:t>Department of</w:t>
      </w:r>
      <w:r>
        <w:rPr>
          <w:rFonts w:eastAsia="SimSun" w:hint="eastAsia"/>
          <w:color w:val="000000"/>
          <w:sz w:val="22"/>
          <w:szCs w:val="22"/>
          <w:lang w:bidi="ar"/>
        </w:rPr>
        <w:t xml:space="preserve"> </w:t>
      </w:r>
      <w:r>
        <w:rPr>
          <w:rFonts w:eastAsia="SimSun"/>
          <w:color w:val="000000"/>
          <w:sz w:val="22"/>
          <w:szCs w:val="22"/>
          <w:lang w:bidi="ar"/>
        </w:rPr>
        <w:t>Biomedical Science</w:t>
      </w:r>
      <w:r>
        <w:rPr>
          <w:rFonts w:eastAsia="SimSun" w:hint="eastAsia"/>
          <w:color w:val="000000"/>
          <w:sz w:val="22"/>
          <w:szCs w:val="22"/>
          <w:lang w:bidi="ar"/>
        </w:rPr>
        <w:t xml:space="preserve">, </w:t>
      </w:r>
      <w:r>
        <w:rPr>
          <w:rFonts w:eastAsia="SimSun"/>
          <w:color w:val="000000"/>
          <w:sz w:val="22"/>
          <w:szCs w:val="22"/>
          <w:lang w:bidi="ar"/>
        </w:rPr>
        <w:t>City University of Hong Kong, Kowloon, Hong Kong</w:t>
      </w:r>
      <w:r>
        <w:rPr>
          <w:rFonts w:eastAsia="SimSun" w:hint="eastAsia"/>
          <w:color w:val="000000"/>
          <w:sz w:val="22"/>
          <w:szCs w:val="22"/>
          <w:lang w:bidi="ar"/>
        </w:rPr>
        <w:t>, China</w:t>
      </w:r>
    </w:p>
    <w:p w14:paraId="6AF252E2" w14:textId="77777777" w:rsidR="006D3311" w:rsidRDefault="00000000">
      <w:pPr>
        <w:pStyle w:val="NormalWeb"/>
        <w:spacing w:beforeAutospacing="0" w:afterLines="80" w:after="249" w:afterAutospacing="0" w:line="480" w:lineRule="auto"/>
        <w:jc w:val="both"/>
        <w:rPr>
          <w:rFonts w:eastAsia="SimSun"/>
          <w:color w:val="000000"/>
          <w:sz w:val="22"/>
          <w:szCs w:val="22"/>
          <w:lang w:bidi="ar"/>
        </w:rPr>
      </w:pPr>
      <w:r>
        <w:rPr>
          <w:rFonts w:eastAsia="SimSun" w:hint="eastAsia"/>
          <w:color w:val="000000"/>
          <w:sz w:val="22"/>
          <w:szCs w:val="22"/>
          <w:vertAlign w:val="superscript"/>
          <w:lang w:bidi="ar"/>
        </w:rPr>
        <w:t>3</w:t>
      </w:r>
      <w:r>
        <w:rPr>
          <w:rFonts w:eastAsia="SimSun" w:hint="eastAsia"/>
          <w:color w:val="000000"/>
          <w:sz w:val="22"/>
          <w:szCs w:val="22"/>
          <w:lang w:bidi="ar"/>
        </w:rPr>
        <w:t>Centre for Regenerative Medicine and Health, Hong Kong Institute of Science &amp; Innovation, Chinese Academy of Sciences, Hong Kong, China</w:t>
      </w:r>
    </w:p>
    <w:p w14:paraId="6D62A63E" w14:textId="77777777" w:rsidR="006D3311" w:rsidRDefault="00000000">
      <w:pPr>
        <w:pStyle w:val="NormalWeb"/>
        <w:spacing w:beforeAutospacing="0" w:afterLines="80" w:after="249" w:afterAutospacing="0" w:line="480" w:lineRule="auto"/>
        <w:jc w:val="both"/>
        <w:rPr>
          <w:rFonts w:eastAsia="SimSun"/>
          <w:color w:val="000000"/>
          <w:sz w:val="22"/>
          <w:szCs w:val="22"/>
          <w:lang w:bidi="ar"/>
        </w:rPr>
      </w:pPr>
      <w:r>
        <w:rPr>
          <w:rFonts w:eastAsia="SimSun"/>
          <w:color w:val="000000"/>
          <w:sz w:val="22"/>
          <w:szCs w:val="22"/>
          <w:lang w:bidi="ar"/>
        </w:rPr>
        <w:t xml:space="preserve">*Correspondence: </w:t>
      </w:r>
      <w:r>
        <w:rPr>
          <w:rStyle w:val="Hyperlink"/>
          <w:rFonts w:eastAsia="SimSun" w:hint="eastAsia"/>
          <w:sz w:val="22"/>
          <w:szCs w:val="22"/>
          <w:lang w:bidi="ar"/>
        </w:rPr>
        <w:t>nzhang55@cityu.edu.hk</w:t>
      </w:r>
    </w:p>
    <w:p w14:paraId="7C907D99" w14:textId="77777777" w:rsidR="006D3311" w:rsidRDefault="00000000">
      <w:pPr>
        <w:spacing w:afterLines="80" w:after="249" w:line="480" w:lineRule="auto"/>
        <w:jc w:val="both"/>
        <w:rPr>
          <w:rFonts w:eastAsia="SimSun"/>
          <w:color w:val="000000"/>
          <w:szCs w:val="22"/>
          <w:lang w:bidi="ar"/>
        </w:rPr>
      </w:pPr>
      <w:r>
        <w:rPr>
          <w:rFonts w:eastAsia="SimSun"/>
          <w:color w:val="000000"/>
          <w:szCs w:val="22"/>
          <w:vertAlign w:val="superscript"/>
          <w:lang w:bidi="ar"/>
        </w:rPr>
        <w:t xml:space="preserve">† </w:t>
      </w:r>
      <w:r>
        <w:rPr>
          <w:rFonts w:eastAsia="SimSun"/>
          <w:color w:val="000000"/>
          <w:szCs w:val="22"/>
          <w:lang w:bidi="ar"/>
        </w:rPr>
        <w:t>Equal contributions.</w:t>
      </w:r>
    </w:p>
    <w:p w14:paraId="4E2F5822" w14:textId="77777777" w:rsidR="006D3311" w:rsidRDefault="006D3311">
      <w:pPr>
        <w:spacing w:afterLines="80" w:after="249" w:line="480" w:lineRule="auto"/>
        <w:jc w:val="both"/>
        <w:rPr>
          <w:rFonts w:eastAsia="SimSun"/>
          <w:color w:val="000000"/>
          <w:szCs w:val="22"/>
          <w:lang w:bidi="ar"/>
        </w:rPr>
      </w:pPr>
    </w:p>
    <w:p w14:paraId="0954EC71" w14:textId="77777777" w:rsidR="006D3311" w:rsidRDefault="00000000">
      <w:pPr>
        <w:spacing w:afterLines="80" w:after="249"/>
        <w:jc w:val="both"/>
        <w:rPr>
          <w:rFonts w:eastAsia="SimSun"/>
          <w:color w:val="000000"/>
          <w:szCs w:val="22"/>
          <w:lang w:eastAsia="zh-CN" w:bidi="ar"/>
        </w:rPr>
      </w:pPr>
      <w:r>
        <w:rPr>
          <w:rFonts w:eastAsia="SimSun"/>
          <w:noProof/>
          <w:color w:val="000000"/>
          <w:szCs w:val="22"/>
          <w:lang w:eastAsia="zh-CN" w:bidi="ar"/>
        </w:rPr>
        <w:lastRenderedPageBreak/>
        <w:drawing>
          <wp:inline distT="0" distB="0" distL="114300" distR="114300" wp14:anchorId="6E450D7E" wp14:editId="6A23955B">
            <wp:extent cx="5273675" cy="5944235"/>
            <wp:effectExtent l="0" t="0" r="9525" b="24765"/>
            <wp:docPr id="3" name="图片 3" descr="SYX_Fig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YX_Figures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4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F6798" w14:textId="77777777" w:rsidR="006D3311" w:rsidRDefault="00000000">
      <w:pPr>
        <w:spacing w:afterLines="80" w:after="249" w:line="480" w:lineRule="auto"/>
        <w:jc w:val="both"/>
        <w:rPr>
          <w:rFonts w:ascii="Times New Roman Regular" w:eastAsia="SimSun" w:hAnsi="Times New Roman Regular" w:cs="Times New Roman Regular"/>
          <w:color w:val="000000" w:themeColor="text1"/>
          <w:sz w:val="22"/>
          <w:szCs w:val="22"/>
          <w:lang w:eastAsia="zh-CN"/>
        </w:rPr>
      </w:pPr>
      <w:r>
        <w:rPr>
          <w:b/>
          <w:sz w:val="22"/>
          <w:szCs w:val="22"/>
        </w:rPr>
        <w:t>Figure S1</w:t>
      </w:r>
      <w:r>
        <w:rPr>
          <w:rFonts w:eastAsia="SimSun" w:hint="eastAsia"/>
          <w:b/>
          <w:sz w:val="22"/>
          <w:szCs w:val="22"/>
          <w:lang w:eastAsia="zh-CN"/>
        </w:rPr>
        <w:t xml:space="preserve"> 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(related to 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ure 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1)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 xml:space="preserve">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Anatomical boundaries of brain regions </w:t>
      </w:r>
      <w:proofErr w:type="gramStart"/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subjected</w:t>
      </w:r>
      <w:proofErr w:type="gramEnd"/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 to volumetric analysis.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A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Representative NeuN-stained (red) sections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showing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the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delineation of the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cerebral cortex (blue)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for volume measurement.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B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Representative NeuN-stained (red) sections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illustrating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the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boundaries of the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entorhinal cortex (Ent, red), perirhinal cortex (</w:t>
      </w:r>
      <w:proofErr w:type="spellStart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PrC</w:t>
      </w:r>
      <w:proofErr w:type="spellEnd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, green), and </w:t>
      </w:r>
      <w:proofErr w:type="spellStart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postrhinal</w:t>
      </w:r>
      <w:proofErr w:type="spellEnd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cortex (POR, yellow).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C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Representative NeuN-stained (red) sections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showing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the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delineation of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the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prefrontal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cortex (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PFC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,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yellow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)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.</w:t>
      </w:r>
    </w:p>
    <w:p w14:paraId="76360310" w14:textId="6BC66182" w:rsidR="006D3311" w:rsidRDefault="00000000">
      <w:pPr>
        <w:spacing w:afterLines="80" w:after="249" w:line="480" w:lineRule="auto"/>
        <w:jc w:val="both"/>
        <w:rPr>
          <w:rFonts w:ascii="Times New Roman Regular" w:hAnsi="Times New Roman Regular" w:cs="Times New Roman Regular"/>
          <w:sz w:val="22"/>
          <w:szCs w:val="22"/>
        </w:rPr>
      </w:pPr>
      <w:r>
        <w:rPr>
          <w:rFonts w:ascii="Times New Roman Bold" w:hAnsi="Times New Roman Bold" w:cs="Times New Roman Bold"/>
          <w:b/>
          <w:bCs/>
          <w:noProof/>
          <w:sz w:val="22"/>
          <w:szCs w:val="22"/>
        </w:rPr>
        <w:lastRenderedPageBreak/>
        <w:drawing>
          <wp:inline distT="0" distB="0" distL="114300" distR="114300" wp14:anchorId="7225A430" wp14:editId="2918C75D">
            <wp:extent cx="5268595" cy="4491990"/>
            <wp:effectExtent l="0" t="0" r="14605" b="3810"/>
            <wp:docPr id="1" name="图片 1" descr="Supplementary Fig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ntary Fig.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ure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S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2 (related t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o Fig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ure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2)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. 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Layer-specific and morphological analysis of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Ent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 neurons during aging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 A </w:t>
      </w:r>
      <w:proofErr w:type="gramStart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Representative images</w:t>
      </w:r>
      <w:proofErr w:type="gramEnd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of NeuN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+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(red) neurons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across layers of the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Ent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in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WT and 3xTg-AD mice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at </w:t>
      </w:r>
      <w:r w:rsidR="001961D2">
        <w:rPr>
          <w:rFonts w:ascii="Times New Roman Regular" w:eastAsia="SimSun" w:hAnsi="Times New Roman Regular" w:cs="Times New Roman Regular"/>
          <w:color w:val="000000" w:themeColor="text1"/>
          <w:sz w:val="22"/>
          <w:szCs w:val="22"/>
          <w:lang w:eastAsia="zh-CN"/>
        </w:rPr>
        <w:t xml:space="preserve">the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indicated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ages. Scale bar, 100 µm.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B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 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Layer-specific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density (x10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vertAlign w:val="superscript"/>
        </w:rPr>
        <w:t>5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cells/mm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vertAlign w:val="superscript"/>
        </w:rPr>
        <w:t>3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)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of NeuN+ neurons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in the Ent.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> 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C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Frequency distribution of </w:t>
      </w:r>
      <w:proofErr w:type="gramStart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neuronal soma</w:t>
      </w:r>
      <w:proofErr w:type="gramEnd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sizes in the Ent of WT and 3xTg-AD mice across ages.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Data are derived from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bidi="ar"/>
        </w:rPr>
        <w:t>n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 = 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>4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 biologically independent mice per group.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 xml:space="preserve">Technical replication details are provided in </w:t>
      </w:r>
      <w:proofErr w:type="gramStart"/>
      <w:r>
        <w:rPr>
          <w:rFonts w:hint="eastAsia"/>
          <w:color w:val="000000" w:themeColor="text1"/>
          <w:sz w:val="22"/>
          <w:szCs w:val="22"/>
        </w:rPr>
        <w:t xml:space="preserve">the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Methods</w:t>
      </w:r>
      <w:proofErr w:type="gramEnd"/>
      <w:r>
        <w:rPr>
          <w:rFonts w:hint="eastAsia"/>
          <w:color w:val="000000" w:themeColor="text1"/>
          <w:sz w:val="22"/>
          <w:szCs w:val="22"/>
        </w:rPr>
        <w:t xml:space="preserve"> and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Table 1</w:t>
      </w:r>
      <w:r>
        <w:rPr>
          <w:rFonts w:hint="eastAsia"/>
          <w:color w:val="000000" w:themeColor="text1"/>
          <w:sz w:val="22"/>
          <w:szCs w:val="22"/>
        </w:rPr>
        <w:t xml:space="preserve">. 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>All d</w:t>
      </w:r>
      <w:r>
        <w:rPr>
          <w:color w:val="000000" w:themeColor="text1"/>
          <w:sz w:val="22"/>
          <w:szCs w:val="22"/>
        </w:rPr>
        <w:t>ata are presented as mean ±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eastAsia="zh-CN"/>
        </w:rPr>
        <w:t>SD</w:t>
      </w:r>
      <w:r>
        <w:rPr>
          <w:color w:val="000000" w:themeColor="text1"/>
          <w:sz w:val="22"/>
          <w:szCs w:val="22"/>
        </w:rPr>
        <w:t>.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Statistical analysis was performed by two-way RM ANOVA with Bonferroni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lang w:eastAsia="zh-CN"/>
        </w:rPr>
        <w:t>’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s post hoc test. </w:t>
      </w:r>
      <w:r>
        <w:rPr>
          <w:i/>
          <w:iCs/>
          <w:sz w:val="22"/>
          <w:szCs w:val="22"/>
        </w:rPr>
        <w:t>**P</w:t>
      </w:r>
      <w:r>
        <w:rPr>
          <w:sz w:val="22"/>
          <w:szCs w:val="22"/>
        </w:rPr>
        <w:t xml:space="preserve">&lt;0.01, </w:t>
      </w:r>
      <w:r>
        <w:rPr>
          <w:i/>
          <w:iCs/>
          <w:sz w:val="22"/>
          <w:szCs w:val="22"/>
        </w:rPr>
        <w:t>*P</w:t>
      </w:r>
      <w:r>
        <w:rPr>
          <w:sz w:val="22"/>
          <w:szCs w:val="22"/>
        </w:rPr>
        <w:t>&lt;0.05</w:t>
      </w:r>
      <w:r>
        <w:rPr>
          <w:rFonts w:hint="eastAsia"/>
          <w:sz w:val="22"/>
          <w:szCs w:val="22"/>
        </w:rPr>
        <w:t xml:space="preserve">, NS </w:t>
      </w:r>
      <w:r>
        <w:rPr>
          <w:rFonts w:hint="eastAsia"/>
          <w:i/>
          <w:iCs/>
          <w:sz w:val="22"/>
          <w:szCs w:val="22"/>
        </w:rPr>
        <w:t>P</w:t>
      </w:r>
      <w:r>
        <w:rPr>
          <w:rFonts w:hint="eastAsia"/>
          <w:sz w:val="22"/>
          <w:szCs w:val="22"/>
        </w:rPr>
        <w:t>&gt;0.05</w:t>
      </w:r>
      <w:r>
        <w:rPr>
          <w:sz w:val="22"/>
          <w:szCs w:val="22"/>
        </w:rPr>
        <w:t xml:space="preserve">.  </w:t>
      </w:r>
    </w:p>
    <w:p w14:paraId="11207CA5" w14:textId="1B9D87BF" w:rsidR="006D3311" w:rsidRDefault="00000000">
      <w:pPr>
        <w:spacing w:afterLines="80" w:after="249" w:line="480" w:lineRule="auto"/>
        <w:jc w:val="both"/>
        <w:rPr>
          <w:rFonts w:ascii="Times New Roman Regular" w:eastAsia="SimSun" w:hAnsi="Times New Roman Regular" w:cs="Times New Roman Regular"/>
          <w:color w:val="000000" w:themeColor="text1"/>
          <w:sz w:val="22"/>
          <w:szCs w:val="22"/>
          <w:lang w:eastAsia="zh-CN"/>
        </w:rPr>
      </w:pPr>
      <w:r>
        <w:rPr>
          <w:rFonts w:ascii="Times New Roman Bold" w:hAnsi="Times New Roman Bold" w:cs="Times New Roman Bold"/>
          <w:b/>
          <w:bCs/>
          <w:noProof/>
          <w:sz w:val="22"/>
          <w:szCs w:val="22"/>
        </w:rPr>
        <w:lastRenderedPageBreak/>
        <w:drawing>
          <wp:inline distT="0" distB="0" distL="114300" distR="114300" wp14:anchorId="36A5136D" wp14:editId="75E711DD">
            <wp:extent cx="5273040" cy="5198110"/>
            <wp:effectExtent l="0" t="0" r="10160" b="8890"/>
            <wp:docPr id="2" name="图片 2" descr="Supplementary Fig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ry Fig.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>ur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e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S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3 (related to Fig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ure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2)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. 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Astrocytic morphological changes across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Ent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 layers with age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A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 </w:t>
      </w:r>
      <w:proofErr w:type="gramStart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Representative images</w:t>
      </w:r>
      <w:proofErr w:type="gramEnd"/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of GFAP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+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(green) astrocytes in Ent layers I, II, III, and V/VI from WT and 3xTg-AD mice across age. Scale bar, 25 µm.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B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Layer-specific volume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  <w:lang w:bidi="ar"/>
        </w:rPr>
        <w:t>(µm</w:t>
      </w:r>
      <w:r>
        <w:rPr>
          <w:rFonts w:hint="eastAsia"/>
          <w:color w:val="000000" w:themeColor="text1"/>
          <w:sz w:val="22"/>
          <w:szCs w:val="22"/>
          <w:vertAlign w:val="superscript"/>
          <w:lang w:bidi="ar"/>
        </w:rPr>
        <w:t>3</w:t>
      </w:r>
      <w:r>
        <w:rPr>
          <w:color w:val="000000" w:themeColor="text1"/>
          <w:sz w:val="22"/>
          <w:szCs w:val="22"/>
          <w:lang w:bidi="ar"/>
        </w:rPr>
        <w:t>)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of GFAP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+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astrocytes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in the Ent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.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Data are derived from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bidi="ar"/>
        </w:rPr>
        <w:t>n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 = 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>4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 biologically independent mice per group.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 xml:space="preserve">Technical replication details are provided in </w:t>
      </w:r>
      <w:proofErr w:type="gramStart"/>
      <w:r>
        <w:rPr>
          <w:rFonts w:hint="eastAsia"/>
          <w:color w:val="000000" w:themeColor="text1"/>
          <w:sz w:val="22"/>
          <w:szCs w:val="22"/>
        </w:rPr>
        <w:t xml:space="preserve">the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Methods</w:t>
      </w:r>
      <w:proofErr w:type="gramEnd"/>
      <w:r>
        <w:rPr>
          <w:rFonts w:hint="eastAsia"/>
          <w:color w:val="000000" w:themeColor="text1"/>
          <w:sz w:val="22"/>
          <w:szCs w:val="22"/>
        </w:rPr>
        <w:t xml:space="preserve"> and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Table 1</w:t>
      </w:r>
      <w:r>
        <w:rPr>
          <w:rFonts w:hint="eastAsia"/>
          <w:color w:val="000000" w:themeColor="text1"/>
          <w:sz w:val="22"/>
          <w:szCs w:val="22"/>
        </w:rPr>
        <w:t xml:space="preserve">. </w:t>
      </w:r>
      <w:r>
        <w:rPr>
          <w:color w:val="000000" w:themeColor="text1"/>
          <w:sz w:val="22"/>
          <w:szCs w:val="22"/>
        </w:rPr>
        <w:t>Data are presented as mean ±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eastAsia="zh-CN"/>
        </w:rPr>
        <w:t>SD</w:t>
      </w:r>
      <w:r>
        <w:rPr>
          <w:color w:val="000000" w:themeColor="text1"/>
          <w:sz w:val="22"/>
          <w:szCs w:val="22"/>
        </w:rPr>
        <w:t>.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Statistical analysis was performed by two-way RM ANOVA with Bonferroni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lang w:eastAsia="zh-CN"/>
        </w:rPr>
        <w:t>’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s post hoc test. </w:t>
      </w:r>
      <w:r>
        <w:rPr>
          <w:i/>
          <w:iCs/>
          <w:color w:val="000000" w:themeColor="text1"/>
          <w:sz w:val="22"/>
          <w:szCs w:val="22"/>
        </w:rPr>
        <w:t>**</w:t>
      </w:r>
      <w:r>
        <w:rPr>
          <w:rFonts w:eastAsia="SimSun" w:hint="eastAsia"/>
          <w:i/>
          <w:iCs/>
          <w:color w:val="000000" w:themeColor="text1"/>
          <w:sz w:val="22"/>
          <w:szCs w:val="22"/>
          <w:lang w:eastAsia="zh-CN"/>
        </w:rPr>
        <w:t>*</w:t>
      </w:r>
      <w:r>
        <w:rPr>
          <w:i/>
          <w:iCs/>
          <w:color w:val="000000" w:themeColor="text1"/>
          <w:sz w:val="22"/>
          <w:szCs w:val="22"/>
        </w:rPr>
        <w:t>P</w:t>
      </w:r>
      <w:r>
        <w:rPr>
          <w:color w:val="000000" w:themeColor="text1"/>
          <w:sz w:val="22"/>
          <w:szCs w:val="22"/>
        </w:rPr>
        <w:t>&lt;0.0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>0</w:t>
      </w:r>
      <w:r>
        <w:rPr>
          <w:color w:val="000000" w:themeColor="text1"/>
          <w:sz w:val="22"/>
          <w:szCs w:val="22"/>
        </w:rPr>
        <w:t>1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, </w:t>
      </w:r>
      <w:r>
        <w:rPr>
          <w:i/>
          <w:iCs/>
          <w:color w:val="000000" w:themeColor="text1"/>
          <w:sz w:val="22"/>
          <w:szCs w:val="22"/>
        </w:rPr>
        <w:t>**P</w:t>
      </w:r>
      <w:r>
        <w:rPr>
          <w:color w:val="000000" w:themeColor="text1"/>
          <w:sz w:val="22"/>
          <w:szCs w:val="22"/>
        </w:rPr>
        <w:t xml:space="preserve">&lt;0.01, </w:t>
      </w:r>
      <w:r>
        <w:rPr>
          <w:i/>
          <w:iCs/>
          <w:color w:val="000000" w:themeColor="text1"/>
          <w:sz w:val="22"/>
          <w:szCs w:val="22"/>
        </w:rPr>
        <w:t>*P</w:t>
      </w:r>
      <w:r>
        <w:rPr>
          <w:color w:val="000000" w:themeColor="text1"/>
          <w:sz w:val="22"/>
          <w:szCs w:val="22"/>
        </w:rPr>
        <w:t>&lt;0.05</w:t>
      </w:r>
      <w:r>
        <w:rPr>
          <w:rFonts w:hint="eastAsia"/>
          <w:color w:val="000000" w:themeColor="text1"/>
          <w:sz w:val="22"/>
          <w:szCs w:val="22"/>
        </w:rPr>
        <w:t xml:space="preserve">, NS </w:t>
      </w:r>
      <w:r>
        <w:rPr>
          <w:rFonts w:hint="eastAsia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&gt;0.05</w:t>
      </w:r>
      <w:r>
        <w:rPr>
          <w:color w:val="000000" w:themeColor="text1"/>
          <w:sz w:val="22"/>
          <w:szCs w:val="22"/>
        </w:rPr>
        <w:t xml:space="preserve">.  </w:t>
      </w:r>
    </w:p>
    <w:p w14:paraId="265A74EC" w14:textId="77777777" w:rsidR="006D3311" w:rsidRDefault="00000000">
      <w:pPr>
        <w:spacing w:afterLines="80" w:after="249" w:line="480" w:lineRule="auto"/>
        <w:jc w:val="both"/>
        <w:rPr>
          <w:color w:val="000000" w:themeColor="text1"/>
          <w:sz w:val="22"/>
          <w:szCs w:val="22"/>
          <w:lang w:eastAsia="zh-CN" w:bidi="ar"/>
        </w:rPr>
      </w:pPr>
      <w:r>
        <w:rPr>
          <w:rFonts w:ascii="Times New Roman Bold" w:hAnsi="Times New Roman Bold" w:cs="Times New Roman Bold"/>
          <w:b/>
          <w:bCs/>
          <w:noProof/>
          <w:sz w:val="22"/>
          <w:szCs w:val="22"/>
        </w:rPr>
        <w:lastRenderedPageBreak/>
        <w:drawing>
          <wp:inline distT="0" distB="0" distL="114300" distR="114300" wp14:anchorId="3CA54040" wp14:editId="2A9E9F8F">
            <wp:extent cx="5273675" cy="7214235"/>
            <wp:effectExtent l="0" t="0" r="9525" b="24765"/>
            <wp:docPr id="4" name="图片 4" descr="Supplementary Fig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upplementary Fig.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1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ure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S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4 (related to 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ure 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3)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 xml:space="preserve">. 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Age-related changes in neuronal and astrocytic properties in the HPC.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A</w:t>
      </w:r>
      <w:r>
        <w:rPr>
          <w:rFonts w:ascii="Times New Roman Regular" w:hAnsi="Times New Roman Regular" w:cs="Times New Roman Regular" w:hint="eastAsia"/>
          <w:sz w:val="22"/>
          <w:szCs w:val="22"/>
        </w:rPr>
        <w:t xml:space="preserve"> </w:t>
      </w:r>
      <w:proofErr w:type="gramStart"/>
      <w:r>
        <w:rPr>
          <w:rFonts w:ascii="Times New Roman Regular" w:hAnsi="Times New Roman Regular" w:cs="Times New Roman Regular" w:hint="eastAsia"/>
          <w:sz w:val="22"/>
          <w:szCs w:val="22"/>
        </w:rPr>
        <w:t>Representative images</w:t>
      </w:r>
      <w:proofErr w:type="gramEnd"/>
      <w:r>
        <w:rPr>
          <w:rFonts w:ascii="Times New Roman Regular" w:hAnsi="Times New Roman Regular" w:cs="Times New Roman Regular" w:hint="eastAsia"/>
          <w:sz w:val="22"/>
          <w:szCs w:val="22"/>
        </w:rPr>
        <w:t xml:space="preserve"> of NeuN+</w:t>
      </w:r>
      <w:r>
        <w:rPr>
          <w:rFonts w:ascii="Times New Roman Regular" w:hAnsi="Times New Roman Regular" w:cs="Times New Roman Regular"/>
          <w:sz w:val="22"/>
          <w:szCs w:val="22"/>
        </w:rPr>
        <w:t xml:space="preserve"> (red)</w:t>
      </w:r>
      <w:r>
        <w:rPr>
          <w:rFonts w:ascii="Times New Roman Regular" w:hAnsi="Times New Roman Regular" w:cs="Times New Roman Regular" w:hint="eastAsia"/>
          <w:sz w:val="22"/>
          <w:szCs w:val="22"/>
        </w:rPr>
        <w:t xml:space="preserve"> neurons in the hippocampal subregions CA1 and CA3 of WT and 3xTg-AD mice across ages. Scale bar, 100 µm; magnified images, 30 µm.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B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 xml:space="preserve"> </w:t>
      </w:r>
      <w:r>
        <w:rPr>
          <w:rFonts w:ascii="Times New Roman Regular" w:hAnsi="Times New Roman Regular" w:cs="Times New Roman Regular" w:hint="eastAsia"/>
          <w:sz w:val="22"/>
          <w:szCs w:val="22"/>
        </w:rPr>
        <w:t>Density (</w:t>
      </w:r>
      <w:r>
        <w:rPr>
          <w:rFonts w:hint="eastAsia"/>
          <w:sz w:val="22"/>
          <w:szCs w:val="22"/>
          <w:lang w:bidi="ar"/>
        </w:rPr>
        <w:t>x10</w:t>
      </w:r>
      <w:r>
        <w:rPr>
          <w:rFonts w:hint="eastAsia"/>
          <w:sz w:val="22"/>
          <w:szCs w:val="22"/>
          <w:vertAlign w:val="superscript"/>
          <w:lang w:bidi="ar"/>
        </w:rPr>
        <w:t xml:space="preserve">5 </w:t>
      </w:r>
      <w:r>
        <w:rPr>
          <w:rFonts w:ascii="Times New Roman Regular" w:hAnsi="Times New Roman Regular" w:cs="Times New Roman Regular" w:hint="eastAsia"/>
          <w:sz w:val="22"/>
          <w:szCs w:val="22"/>
        </w:rPr>
        <w:t>cells/mm</w:t>
      </w:r>
      <w:r>
        <w:rPr>
          <w:rFonts w:ascii="Times New Roman Regular" w:hAnsi="Times New Roman Regular" w:cs="Times New Roman Regular" w:hint="eastAsia"/>
          <w:sz w:val="22"/>
          <w:szCs w:val="22"/>
          <w:vertAlign w:val="superscript"/>
        </w:rPr>
        <w:t>3</w:t>
      </w:r>
      <w:r>
        <w:rPr>
          <w:rFonts w:ascii="Times New Roman Regular" w:hAnsi="Times New Roman Regular" w:cs="Times New Roman Regular" w:hint="eastAsia"/>
          <w:sz w:val="22"/>
          <w:szCs w:val="22"/>
        </w:rPr>
        <w:t xml:space="preserve">) of NeuN+ neurons in CA1 and CA3.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C</w:t>
      </w:r>
      <w:r>
        <w:rPr>
          <w:rFonts w:ascii="Times New Roman Regular" w:hAnsi="Times New Roman Regular" w:cs="Times New Roman Regular" w:hint="eastAsia"/>
          <w:sz w:val="22"/>
          <w:szCs w:val="22"/>
        </w:rPr>
        <w:t xml:space="preserve"> 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lastRenderedPageBreak/>
        <w:t>Representative images of GFAP+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(green)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astrocytes in CA1, CA3, and DG of WT and 3xTg-AD mice across ages. Scale bar, 50 µm.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D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Density (cells/mm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vertAlign w:val="superscript"/>
        </w:rPr>
        <w:t>3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) of GFAP+ astrocytes in CA1, CA3, and DG.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 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E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 xml:space="preserve"> Volume (µm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vertAlign w:val="superscript"/>
        </w:rPr>
        <w:t>3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</w:rPr>
        <w:t>) of astrocytes in CA1, CA3, and DG.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Data are derived from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bidi="ar"/>
        </w:rPr>
        <w:t>n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 = 4 biologically independent mice per group per age. Detailed information on technical replicates is provided in </w:t>
      </w:r>
      <w:proofErr w:type="gramStart"/>
      <w:r>
        <w:rPr>
          <w:rFonts w:hint="eastAsia"/>
          <w:color w:val="000000" w:themeColor="text1"/>
          <w:sz w:val="22"/>
          <w:szCs w:val="22"/>
          <w:lang w:bidi="ar"/>
        </w:rPr>
        <w:t xml:space="preserve">the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bidi="ar"/>
        </w:rPr>
        <w:t>Methods</w:t>
      </w:r>
      <w:proofErr w:type="gramEnd"/>
      <w:r>
        <w:rPr>
          <w:rFonts w:hint="eastAsia"/>
          <w:color w:val="000000" w:themeColor="text1"/>
          <w:sz w:val="22"/>
          <w:szCs w:val="22"/>
          <w:lang w:bidi="ar"/>
        </w:rPr>
        <w:t xml:space="preserve"> and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bidi="ar"/>
        </w:rPr>
        <w:t>Table 1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. Data are presented as mean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lang w:bidi="ar"/>
        </w:rPr>
        <w:t>±</w:t>
      </w:r>
      <w:r>
        <w:rPr>
          <w:rFonts w:hint="eastAsia"/>
          <w:color w:val="000000" w:themeColor="text1"/>
          <w:sz w:val="22"/>
          <w:szCs w:val="22"/>
          <w:lang w:bidi="ar"/>
        </w:rPr>
        <w:t xml:space="preserve"> SD.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Statistical significance was assessed by two-way RM ANOVA with Bonferroni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lang w:eastAsia="zh-CN"/>
        </w:rPr>
        <w:t>’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>s post hoc test. 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eastAsia="zh-CN" w:bidi="ar"/>
        </w:rPr>
        <w:t>P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&lt; 0.05 for between-genotype comparisons at the same </w:t>
      </w:r>
      <w:proofErr w:type="gramStart"/>
      <w:r>
        <w:rPr>
          <w:rFonts w:hint="eastAsia"/>
          <w:color w:val="000000" w:themeColor="text1"/>
          <w:sz w:val="22"/>
          <w:szCs w:val="22"/>
          <w:lang w:eastAsia="zh-CN" w:bidi="ar"/>
        </w:rPr>
        <w:t>age; ##</w:t>
      </w:r>
      <w:proofErr w:type="gramEnd"/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eastAsia="zh-CN" w:bidi="ar"/>
        </w:rPr>
        <w:t>P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&lt; </w:t>
      </w:r>
      <w:proofErr w:type="gramStart"/>
      <w:r>
        <w:rPr>
          <w:rFonts w:hint="eastAsia"/>
          <w:color w:val="000000" w:themeColor="text1"/>
          <w:sz w:val="22"/>
          <w:szCs w:val="22"/>
          <w:lang w:eastAsia="zh-CN" w:bidi="ar"/>
        </w:rPr>
        <w:t>0.01, #</w:t>
      </w:r>
      <w:proofErr w:type="gramEnd"/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eastAsia="zh-CN" w:bidi="ar"/>
        </w:rPr>
        <w:t>P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&lt; 0.05 for within-genotype comparisons relative to the 12-month-old group. </w:t>
      </w:r>
      <w:r>
        <w:rPr>
          <w:rFonts w:hint="eastAsia"/>
          <w:color w:val="000000" w:themeColor="text1"/>
          <w:sz w:val="22"/>
          <w:szCs w:val="22"/>
        </w:rPr>
        <w:t xml:space="preserve">NS </w:t>
      </w:r>
      <w:r>
        <w:rPr>
          <w:rFonts w:hint="eastAsia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&gt;0.05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. </w:t>
      </w:r>
    </w:p>
    <w:p w14:paraId="7744574D" w14:textId="3497AB05" w:rsidR="006D3311" w:rsidRDefault="00000000">
      <w:pPr>
        <w:spacing w:afterLines="80" w:after="249" w:line="480" w:lineRule="auto"/>
        <w:jc w:val="both"/>
        <w:rPr>
          <w:color w:val="000000" w:themeColor="text1"/>
          <w:sz w:val="22"/>
          <w:szCs w:val="22"/>
          <w:lang w:eastAsia="zh-CN"/>
        </w:rPr>
      </w:pPr>
      <w:r>
        <w:rPr>
          <w:rFonts w:ascii="Times New Roman Bold" w:hAnsi="Times New Roman Bold" w:cs="Times New Roman Bold"/>
          <w:b/>
          <w:bCs/>
          <w:noProof/>
          <w:color w:val="000000" w:themeColor="text1"/>
          <w:sz w:val="22"/>
          <w:szCs w:val="22"/>
        </w:rPr>
        <w:drawing>
          <wp:inline distT="0" distB="0" distL="114300" distR="114300" wp14:anchorId="225BEF4B" wp14:editId="3BF7C885">
            <wp:extent cx="5273675" cy="1118235"/>
            <wp:effectExtent l="0" t="0" r="9525" b="24765"/>
            <wp:docPr id="5" name="图片 5" descr="Supplementary Fig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upplementary Fig.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Fig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ure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S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5 (related to Fig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ure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4)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.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CCK and CCK-BR mRNA expression in the entorhinal cortex of young WT and 3xTg-AD mice.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A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CCK (left) and CCK-BR (right) mRNA levels in the Ent of WT and 3xTg-AD mice at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2 and 5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months of age.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 xml:space="preserve">Gene expression was normalized to </w:t>
      </w:r>
      <w:r>
        <w:rPr>
          <w:rFonts w:hint="eastAsia"/>
          <w:color w:val="000000" w:themeColor="text1"/>
          <w:sz w:val="22"/>
          <w:szCs w:val="22"/>
          <w:lang w:eastAsia="zh-CN"/>
        </w:rPr>
        <w:t>GAPDH</w:t>
      </w:r>
      <w:r>
        <w:rPr>
          <w:rFonts w:hint="eastAsia"/>
          <w:color w:val="000000" w:themeColor="text1"/>
          <w:sz w:val="22"/>
          <w:szCs w:val="22"/>
        </w:rPr>
        <w:t xml:space="preserve"> and is presented as fold change relative to </w:t>
      </w:r>
      <w:r>
        <w:rPr>
          <w:color w:val="000000" w:themeColor="text1"/>
          <w:sz w:val="22"/>
          <w:szCs w:val="22"/>
          <w:lang w:eastAsia="zh-CN"/>
        </w:rPr>
        <w:t>2-month-old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WT control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>(</w:t>
      </w:r>
      <w:r>
        <w:rPr>
          <w:rFonts w:hint="eastAsia"/>
          <w:color w:val="000000" w:themeColor="text1"/>
          <w:sz w:val="22"/>
          <w:szCs w:val="22"/>
          <w:lang w:eastAsia="zh-CN"/>
        </w:rPr>
        <w:t>set to 1.0</w:t>
      </w:r>
      <w:r>
        <w:rPr>
          <w:rFonts w:hint="eastAsia"/>
          <w:color w:val="000000" w:themeColor="text1"/>
          <w:sz w:val="22"/>
          <w:szCs w:val="22"/>
        </w:rPr>
        <w:t>).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bidi="ar"/>
        </w:rPr>
        <w:t>Data are derived from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eastAsia="zh-CN"/>
        </w:rPr>
        <w:t xml:space="preserve"> n 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= 3 biologically independent mice per group; each sample was measured in technical triplicate, and the mean value was used for analysis. Due to the small sample size, statistical comparisons between 3xTg-AD and WT mice at each age were performed using the Mann-Whitney U test. </w:t>
      </w:r>
      <w:r>
        <w:rPr>
          <w:color w:val="000000" w:themeColor="text1"/>
          <w:sz w:val="22"/>
          <w:szCs w:val="22"/>
          <w:lang w:eastAsia="zh-CN"/>
        </w:rPr>
        <w:t>NS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eastAsia="zh-CN"/>
        </w:rPr>
        <w:t>P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&gt; 0.05.</w:t>
      </w:r>
    </w:p>
    <w:p w14:paraId="13D60F73" w14:textId="1C419929" w:rsidR="006D3311" w:rsidRDefault="00000000">
      <w:pPr>
        <w:spacing w:afterLines="80" w:after="249" w:line="480" w:lineRule="auto"/>
        <w:jc w:val="both"/>
        <w:rPr>
          <w:color w:val="000000" w:themeColor="text1"/>
          <w:sz w:val="22"/>
          <w:szCs w:val="22"/>
        </w:rPr>
      </w:pPr>
      <w:r>
        <w:rPr>
          <w:rFonts w:ascii="Times New Roman Bold" w:hAnsi="Times New Roman Bold" w:cs="Times New Roman Bold"/>
          <w:b/>
          <w:bCs/>
          <w:noProof/>
          <w:sz w:val="22"/>
          <w:szCs w:val="22"/>
        </w:rPr>
        <w:lastRenderedPageBreak/>
        <w:drawing>
          <wp:inline distT="0" distB="0" distL="114300" distR="114300" wp14:anchorId="2BD4599B" wp14:editId="0C7E4722">
            <wp:extent cx="5269230" cy="7142480"/>
            <wp:effectExtent l="0" t="0" r="13970" b="20320"/>
            <wp:docPr id="6" name="图片 6" descr="Supplementary Fig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upplementary Fig.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ure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S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6 (related to 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>u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re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5)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. 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Sex-grouped analysis of behavioral performance in NOR and rotarod tests.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A 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Sex-grouped NOR performance in 3xTg-AD and WT mice: location </w:t>
      </w:r>
      <w:r>
        <w:rPr>
          <w:rFonts w:hint="eastAsia"/>
          <w:sz w:val="22"/>
          <w:szCs w:val="22"/>
          <w:lang w:eastAsia="zh-CN"/>
        </w:rPr>
        <w:t xml:space="preserve">preference (left) and recognition index (right). </w:t>
      </w:r>
      <w:r>
        <w:rPr>
          <w:rFonts w:ascii="Times New Roman Bold" w:hAnsi="Times New Roman Bold" w:cs="Times New Roman Bold"/>
          <w:b/>
          <w:bCs/>
          <w:sz w:val="22"/>
          <w:szCs w:val="22"/>
          <w:lang w:eastAsia="zh-CN"/>
        </w:rPr>
        <w:t>B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  <w:lang w:eastAsia="zh-CN"/>
        </w:rPr>
        <w:t>-C</w:t>
      </w:r>
      <w:r>
        <w:rPr>
          <w:rFonts w:ascii="Times New Roman Bold" w:hAnsi="Times New Roman Bold" w:cs="Times New Roman Bold"/>
          <w:b/>
          <w:bCs/>
          <w:sz w:val="22"/>
          <w:szCs w:val="22"/>
          <w:lang w:eastAsia="zh-CN"/>
        </w:rPr>
        <w:t xml:space="preserve"> </w:t>
      </w:r>
      <w:r>
        <w:rPr>
          <w:rFonts w:hint="eastAsia"/>
          <w:sz w:val="22"/>
          <w:szCs w:val="22"/>
          <w:lang w:eastAsia="zh-CN"/>
        </w:rPr>
        <w:t>Total object exploration time during NOR training (</w:t>
      </w:r>
      <w:r>
        <w:rPr>
          <w:rFonts w:ascii="Times New Roman Bold" w:hAnsi="Times New Roman Bold" w:cs="Times New Roman Bold"/>
          <w:b/>
          <w:bCs/>
          <w:sz w:val="22"/>
          <w:szCs w:val="22"/>
          <w:lang w:eastAsia="zh-CN"/>
        </w:rPr>
        <w:t>B</w:t>
      </w:r>
      <w:r>
        <w:rPr>
          <w:rFonts w:hint="eastAsia"/>
          <w:sz w:val="22"/>
          <w:szCs w:val="22"/>
          <w:lang w:eastAsia="zh-CN"/>
        </w:rPr>
        <w:t>) and testing (</w:t>
      </w:r>
      <w:r>
        <w:rPr>
          <w:rFonts w:ascii="Times New Roman Bold" w:hAnsi="Times New Roman Bold" w:cs="Times New Roman Bold"/>
          <w:b/>
          <w:bCs/>
          <w:sz w:val="22"/>
          <w:szCs w:val="22"/>
          <w:lang w:eastAsia="zh-CN"/>
        </w:rPr>
        <w:t>C</w:t>
      </w:r>
      <w:r>
        <w:rPr>
          <w:rFonts w:hint="eastAsia"/>
          <w:sz w:val="22"/>
          <w:szCs w:val="22"/>
          <w:lang w:eastAsia="zh-CN"/>
        </w:rPr>
        <w:t>)</w:t>
      </w:r>
      <w:r>
        <w:rPr>
          <w:rFonts w:hint="eastAsia"/>
          <w:color w:val="FF0000"/>
          <w:sz w:val="22"/>
          <w:szCs w:val="22"/>
          <w:lang w:eastAsia="zh-CN"/>
        </w:rPr>
        <w:t xml:space="preserve"> </w:t>
      </w:r>
      <w:r>
        <w:rPr>
          <w:rFonts w:hint="eastAsia"/>
          <w:sz w:val="22"/>
          <w:szCs w:val="22"/>
          <w:lang w:eastAsia="zh-CN"/>
        </w:rPr>
        <w:t xml:space="preserve">in 3xTg-AD and WT mice: (left) sexes combined and (right) </w:t>
      </w:r>
      <w:r>
        <w:rPr>
          <w:rFonts w:hint="eastAsia"/>
          <w:sz w:val="22"/>
          <w:szCs w:val="22"/>
          <w:lang w:eastAsia="zh-CN"/>
        </w:rPr>
        <w:lastRenderedPageBreak/>
        <w:t xml:space="preserve">separated by sex. </w:t>
      </w:r>
      <w:r>
        <w:rPr>
          <w:rFonts w:ascii="Times New Roman Bold" w:hAnsi="Times New Roman Bold" w:cs="Times New Roman Bold"/>
          <w:b/>
          <w:bCs/>
          <w:sz w:val="22"/>
          <w:szCs w:val="22"/>
          <w:lang w:eastAsia="zh-CN"/>
        </w:rPr>
        <w:t>D</w:t>
      </w:r>
      <w:r>
        <w:rPr>
          <w:rFonts w:hint="eastAsia"/>
          <w:sz w:val="22"/>
          <w:szCs w:val="22"/>
          <w:lang w:eastAsia="zh-CN"/>
        </w:rPr>
        <w:t xml:space="preserve"> Sex-grouped NOR performance in CCK-4- or VEH-treated 3xTg-AD mice at indicated ages: location preference (left) and recognition index (right). </w:t>
      </w:r>
      <w:r>
        <w:rPr>
          <w:rFonts w:ascii="Times New Roman Bold" w:hAnsi="Times New Roman Bold" w:cs="Times New Roman Bold"/>
          <w:b/>
          <w:bCs/>
          <w:sz w:val="22"/>
          <w:szCs w:val="22"/>
          <w:lang w:eastAsia="zh-CN"/>
        </w:rPr>
        <w:t>E-F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  <w:lang w:eastAsia="zh-CN"/>
        </w:rPr>
        <w:t xml:space="preserve"> </w:t>
      </w:r>
      <w:r>
        <w:rPr>
          <w:rFonts w:hint="eastAsia"/>
          <w:sz w:val="22"/>
          <w:szCs w:val="22"/>
          <w:lang w:eastAsia="zh-CN"/>
        </w:rPr>
        <w:t>Total object exploration time during NOR training (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  <w:lang w:eastAsia="zh-CN"/>
        </w:rPr>
        <w:t>E</w:t>
      </w:r>
      <w:r>
        <w:rPr>
          <w:rFonts w:hint="eastAsia"/>
          <w:sz w:val="22"/>
          <w:szCs w:val="22"/>
          <w:lang w:eastAsia="zh-CN"/>
        </w:rPr>
        <w:t>) and testing (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  <w:lang w:eastAsia="zh-CN"/>
        </w:rPr>
        <w:t>F</w:t>
      </w:r>
      <w:r>
        <w:rPr>
          <w:rFonts w:hint="eastAsia"/>
          <w:sz w:val="22"/>
          <w:szCs w:val="22"/>
          <w:lang w:eastAsia="zh-CN"/>
        </w:rPr>
        <w:t>) in CCK-4- or VEH-treated 3xTg-AD mice at indicated ages: (left) sexes combined and (right) separated by sex.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G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 xml:space="preserve"> </w:t>
      </w:r>
      <w:r>
        <w:rPr>
          <w:rFonts w:hint="eastAsia"/>
          <w:sz w:val="22"/>
          <w:szCs w:val="22"/>
          <w:lang w:eastAsia="zh-CN"/>
        </w:rPr>
        <w:t xml:space="preserve">Sex-grouped daily </w:t>
      </w:r>
      <w:r>
        <w:rPr>
          <w:rFonts w:ascii="Times New Roman Regular" w:hAnsi="Times New Roman Regular" w:cs="Times New Roman Regular"/>
          <w:sz w:val="22"/>
          <w:szCs w:val="22"/>
        </w:rPr>
        <w:t>latency to fall</w:t>
      </w:r>
      <w:r>
        <w:rPr>
          <w:rFonts w:ascii="Times New Roman Regular" w:eastAsia="SimSun" w:hAnsi="Times New Roman Regular" w:cs="Times New Roman Regular" w:hint="eastAsia"/>
          <w:sz w:val="22"/>
          <w:szCs w:val="22"/>
          <w:lang w:eastAsia="zh-CN"/>
        </w:rPr>
        <w:t xml:space="preserve"> </w:t>
      </w:r>
      <w:r>
        <w:rPr>
          <w:rFonts w:ascii="Times New Roman Regular" w:hAnsi="Times New Roman Regular" w:cs="Times New Roman Regular"/>
          <w:sz w:val="22"/>
          <w:szCs w:val="22"/>
        </w:rPr>
        <w:t>in the rotarod test</w:t>
      </w:r>
      <w:r>
        <w:rPr>
          <w:rFonts w:ascii="Times New Roman Regular" w:eastAsia="SimSun" w:hAnsi="Times New Roman Regular" w:cs="Times New Roman Regular" w:hint="eastAsia"/>
          <w:sz w:val="22"/>
          <w:szCs w:val="22"/>
          <w:lang w:eastAsia="zh-CN"/>
        </w:rPr>
        <w:t xml:space="preserve"> of </w:t>
      </w:r>
      <w:r>
        <w:rPr>
          <w:rFonts w:hint="eastAsia"/>
          <w:sz w:val="22"/>
          <w:szCs w:val="22"/>
          <w:lang w:eastAsia="zh-CN"/>
        </w:rPr>
        <w:t>3xTg-AD and WT mice</w:t>
      </w:r>
      <w:r>
        <w:rPr>
          <w:rFonts w:ascii="Times New Roman Regular" w:hAnsi="Times New Roman Regular" w:cs="Times New Roman Regular"/>
          <w:sz w:val="22"/>
          <w:szCs w:val="22"/>
        </w:rPr>
        <w:t>.</w:t>
      </w:r>
      <w:r>
        <w:rPr>
          <w:rFonts w:ascii="Times New Roman Regular" w:eastAsia="SimSun" w:hAnsi="Times New Roman Regular" w:cs="Times New Roman Regular" w:hint="eastAsia"/>
          <w:sz w:val="22"/>
          <w:szCs w:val="22"/>
          <w:lang w:eastAsia="zh-CN"/>
        </w:rPr>
        <w:t xml:space="preserve"> </w:t>
      </w:r>
      <w:r>
        <w:rPr>
          <w:b/>
          <w:bCs/>
          <w:sz w:val="22"/>
          <w:szCs w:val="22"/>
          <w:lang w:bidi="ar"/>
        </w:rPr>
        <w:t>H</w:t>
      </w:r>
      <w:r>
        <w:rPr>
          <w:rFonts w:eastAsia="SimSun" w:hint="eastAsia"/>
          <w:b/>
          <w:bCs/>
          <w:sz w:val="22"/>
          <w:szCs w:val="22"/>
          <w:lang w:eastAsia="zh-CN" w:bidi="ar"/>
        </w:rPr>
        <w:t xml:space="preserve"> </w:t>
      </w:r>
      <w:r>
        <w:rPr>
          <w:rFonts w:hint="eastAsia"/>
          <w:sz w:val="22"/>
          <w:szCs w:val="22"/>
          <w:lang w:eastAsia="zh-CN"/>
        </w:rPr>
        <w:t xml:space="preserve">Sex-grouped daily </w:t>
      </w:r>
      <w:r>
        <w:rPr>
          <w:sz w:val="22"/>
          <w:szCs w:val="22"/>
          <w:lang w:bidi="ar"/>
        </w:rPr>
        <w:t xml:space="preserve">latency to fall </w:t>
      </w:r>
      <w:r>
        <w:rPr>
          <w:rFonts w:eastAsia="SimSun" w:hint="eastAsia"/>
          <w:sz w:val="22"/>
          <w:szCs w:val="22"/>
          <w:lang w:eastAsia="zh-CN" w:bidi="ar"/>
        </w:rPr>
        <w:t>in</w:t>
      </w:r>
      <w:r>
        <w:rPr>
          <w:sz w:val="22"/>
          <w:szCs w:val="22"/>
          <w:lang w:bidi="ar"/>
        </w:rPr>
        <w:t> CCK-4- or VEH-treated 12- and 18-month-old 3xTg-AD mice.</w:t>
      </w:r>
      <w:r>
        <w:rPr>
          <w:rFonts w:eastAsia="SimSun" w:hint="eastAsia"/>
          <w:b/>
          <w:bCs/>
          <w:color w:val="000000" w:themeColor="text1"/>
          <w:sz w:val="22"/>
          <w:szCs w:val="22"/>
          <w:lang w:eastAsia="zh-CN" w:bidi="ar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>Sample sizes: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For</w:t>
      </w:r>
      <w:r>
        <w:rPr>
          <w:rFonts w:hint="eastAsia"/>
          <w:color w:val="000000" w:themeColor="text1"/>
          <w:sz w:val="22"/>
          <w:szCs w:val="22"/>
        </w:rPr>
        <w:t xml:space="preserve"> </w:t>
      </w:r>
      <w:proofErr w:type="gramStart"/>
      <w:r>
        <w:rPr>
          <w:rFonts w:hint="eastAsia"/>
          <w:color w:val="000000" w:themeColor="text1"/>
          <w:sz w:val="22"/>
          <w:szCs w:val="22"/>
          <w:lang w:eastAsia="zh-CN" w:bidi="ar"/>
        </w:rPr>
        <w:t>sexes-combined</w:t>
      </w:r>
      <w:proofErr w:type="gramEnd"/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 NOR data (left panels of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B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,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C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,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E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,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F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),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n</w:t>
      </w:r>
      <w:r>
        <w:rPr>
          <w:rFonts w:hint="eastAsia"/>
          <w:color w:val="000000" w:themeColor="text1"/>
          <w:sz w:val="22"/>
          <w:szCs w:val="22"/>
        </w:rPr>
        <w:t xml:space="preserve"> = 10 biologically independent mice per group. </w:t>
      </w:r>
      <w:r>
        <w:rPr>
          <w:rFonts w:hint="eastAsia"/>
          <w:color w:val="000000" w:themeColor="text1"/>
          <w:sz w:val="22"/>
          <w:szCs w:val="22"/>
          <w:lang w:eastAsia="zh-CN"/>
        </w:rPr>
        <w:t>For</w:t>
      </w:r>
      <w:r>
        <w:rPr>
          <w:rFonts w:hint="eastAsia"/>
          <w:color w:val="000000" w:themeColor="text1"/>
          <w:sz w:val="22"/>
          <w:szCs w:val="22"/>
        </w:rPr>
        <w:t xml:space="preserve"> </w:t>
      </w:r>
      <w:proofErr w:type="gramStart"/>
      <w:r>
        <w:rPr>
          <w:rFonts w:hint="eastAsia"/>
          <w:color w:val="000000" w:themeColor="text1"/>
          <w:sz w:val="22"/>
          <w:szCs w:val="22"/>
          <w:lang w:eastAsia="zh-CN"/>
        </w:rPr>
        <w:t>sex-grouped</w:t>
      </w:r>
      <w:proofErr w:type="gramEnd"/>
      <w:r>
        <w:rPr>
          <w:rFonts w:hint="eastAsia"/>
          <w:color w:val="000000" w:themeColor="text1"/>
          <w:sz w:val="22"/>
          <w:szCs w:val="22"/>
          <w:lang w:eastAsia="zh-CN"/>
        </w:rPr>
        <w:t xml:space="preserve"> NOR data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 xml:space="preserve">,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n</w:t>
      </w:r>
      <w:r>
        <w:rPr>
          <w:rFonts w:hint="eastAsia"/>
          <w:color w:val="000000" w:themeColor="text1"/>
          <w:sz w:val="22"/>
          <w:szCs w:val="22"/>
        </w:rPr>
        <w:t xml:space="preserve"> = 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5 </w:t>
      </w:r>
      <w:r>
        <w:rPr>
          <w:rFonts w:hint="eastAsia"/>
          <w:color w:val="000000" w:themeColor="text1"/>
          <w:sz w:val="22"/>
          <w:szCs w:val="22"/>
        </w:rPr>
        <w:t xml:space="preserve">mice per 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sex per </w:t>
      </w:r>
      <w:r>
        <w:rPr>
          <w:rFonts w:hint="eastAsia"/>
          <w:color w:val="000000" w:themeColor="text1"/>
          <w:sz w:val="22"/>
          <w:szCs w:val="22"/>
        </w:rPr>
        <w:t>group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. </w:t>
      </w:r>
      <w:r>
        <w:rPr>
          <w:rFonts w:hint="eastAsia"/>
          <w:color w:val="000000" w:themeColor="text1"/>
          <w:sz w:val="22"/>
          <w:szCs w:val="22"/>
          <w:lang w:eastAsia="zh-CN"/>
        </w:rPr>
        <w:t>For</w:t>
      </w:r>
      <w:r>
        <w:rPr>
          <w:rFonts w:hint="eastAsia"/>
          <w:color w:val="000000" w:themeColor="text1"/>
          <w:sz w:val="22"/>
          <w:szCs w:val="22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eastAsia="zh-CN"/>
        </w:rPr>
        <w:t>sex-grouped rotarod data</w:t>
      </w:r>
      <w:r w:rsidR="001961D2">
        <w:rPr>
          <w:color w:val="000000" w:themeColor="text1"/>
          <w:sz w:val="22"/>
          <w:szCs w:val="22"/>
          <w:lang w:eastAsia="zh-CN"/>
        </w:rPr>
        <w:t>,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n</w:t>
      </w:r>
      <w:r>
        <w:rPr>
          <w:rFonts w:hint="eastAsia"/>
          <w:color w:val="000000" w:themeColor="text1"/>
          <w:sz w:val="22"/>
          <w:szCs w:val="22"/>
        </w:rPr>
        <w:t xml:space="preserve"> = 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7 </w:t>
      </w:r>
      <w:r>
        <w:rPr>
          <w:rFonts w:hint="eastAsia"/>
          <w:color w:val="000000" w:themeColor="text1"/>
          <w:sz w:val="22"/>
          <w:szCs w:val="22"/>
        </w:rPr>
        <w:t xml:space="preserve">mice per 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sex per </w:t>
      </w:r>
      <w:r>
        <w:rPr>
          <w:rFonts w:hint="eastAsia"/>
          <w:color w:val="000000" w:themeColor="text1"/>
          <w:sz w:val="22"/>
          <w:szCs w:val="22"/>
        </w:rPr>
        <w:t xml:space="preserve">group. Data are presented as mean </w:t>
      </w:r>
      <w:r>
        <w:rPr>
          <w:color w:val="000000" w:themeColor="text1"/>
          <w:sz w:val="22"/>
          <w:szCs w:val="22"/>
        </w:rPr>
        <w:t>±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color w:val="000000" w:themeColor="text1"/>
          <w:sz w:val="22"/>
          <w:szCs w:val="22"/>
        </w:rPr>
        <w:t>SD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. </w:t>
      </w:r>
      <w:r>
        <w:rPr>
          <w:rFonts w:hint="eastAsia"/>
          <w:color w:val="000000" w:themeColor="text1"/>
          <w:sz w:val="22"/>
          <w:szCs w:val="22"/>
        </w:rPr>
        <w:t>Statistical significance was assessed by two-way RM ANOVA with Bonferroni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’</w:t>
      </w:r>
      <w:r>
        <w:rPr>
          <w:rFonts w:hint="eastAsia"/>
          <w:color w:val="000000" w:themeColor="text1"/>
          <w:sz w:val="22"/>
          <w:szCs w:val="22"/>
        </w:rPr>
        <w:t>s post hoc test. ***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&lt;0.001, **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&lt;0.01, 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&lt;0.05;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>NS,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</w:rPr>
        <w:t>not significant.</w:t>
      </w:r>
    </w:p>
    <w:p w14:paraId="161B669A" w14:textId="55565731" w:rsidR="006D3311" w:rsidRDefault="00000000">
      <w:pPr>
        <w:spacing w:afterLines="80" w:after="249" w:line="480" w:lineRule="auto"/>
        <w:jc w:val="both"/>
        <w:rPr>
          <w:strike/>
          <w:color w:val="000000" w:themeColor="text1"/>
          <w:sz w:val="22"/>
          <w:szCs w:val="22"/>
        </w:rPr>
      </w:pPr>
      <w:r>
        <w:rPr>
          <w:rFonts w:ascii="Times New Roman Bold" w:hAnsi="Times New Roman Bold" w:cs="Times New Roman Bold"/>
          <w:b/>
          <w:bCs/>
          <w:noProof/>
          <w:sz w:val="22"/>
          <w:szCs w:val="22"/>
        </w:rPr>
        <w:drawing>
          <wp:inline distT="0" distB="0" distL="114300" distR="114300" wp14:anchorId="637BA330" wp14:editId="19305F5A">
            <wp:extent cx="5269230" cy="3689985"/>
            <wp:effectExtent l="0" t="0" r="13970" b="18415"/>
            <wp:docPr id="7" name="图片 7" descr="Supplementary Fig.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upplementary Fig.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Fig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 xml:space="preserve">ure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S</w:t>
      </w:r>
      <w:r>
        <w:rPr>
          <w:rFonts w:ascii="Times New Roman Bold" w:hAnsi="Times New Roman Bold" w:cs="Times New Roman Bold" w:hint="eastAsia"/>
          <w:b/>
          <w:bCs/>
          <w:sz w:val="22"/>
          <w:szCs w:val="22"/>
        </w:rPr>
        <w:t>7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 xml:space="preserve"> (relat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ed to Fig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</w:rPr>
        <w:t xml:space="preserve">ure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6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)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. Age-dependent synaptic plasticity deficits in cortical and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lastRenderedPageBreak/>
        <w:t>hippocampal circuits of 3xTg-AD mice</w:t>
      </w:r>
      <w:r w:rsidR="001961D2"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.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 A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>,</w:t>
      </w:r>
      <w:r w:rsidR="001961D2">
        <w:rPr>
          <w:rFonts w:ascii="Times New Roman Bold" w:eastAsiaTheme="minorEastAsia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>C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(Left)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Scatter plots of normalized fEPSP </w:t>
      </w:r>
      <w:r>
        <w:rPr>
          <w:rFonts w:ascii="Times New Roman Regular" w:hAnsi="Times New Roman Regular" w:cs="Times New Roman Regular"/>
          <w:sz w:val="22"/>
          <w:szCs w:val="22"/>
        </w:rPr>
        <w:t>amplitudes before and after TBS (arrows) in cortical (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A</w:t>
      </w:r>
      <w:r>
        <w:rPr>
          <w:rFonts w:ascii="Times New Roman Regular" w:hAnsi="Times New Roman Regular" w:cs="Times New Roman Regular"/>
          <w:sz w:val="22"/>
          <w:szCs w:val="22"/>
        </w:rPr>
        <w:t>) and hippocampal (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C</w:t>
      </w:r>
      <w:r>
        <w:rPr>
          <w:rFonts w:ascii="Times New Roman Regular" w:hAnsi="Times New Roman Regular" w:cs="Times New Roman Regular"/>
          <w:sz w:val="22"/>
          <w:szCs w:val="22"/>
        </w:rPr>
        <w:t>) slices from 2-month-old WT and 3xTg-AD mice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. (Right) S</w:t>
      </w:r>
      <w:r>
        <w:rPr>
          <w:rFonts w:hint="eastAsia"/>
          <w:color w:val="000000" w:themeColor="text1"/>
          <w:szCs w:val="22"/>
        </w:rPr>
        <w:t xml:space="preserve">ummary </w:t>
      </w:r>
      <w:r>
        <w:rPr>
          <w:rFonts w:hint="eastAsia"/>
          <w:color w:val="000000" w:themeColor="text1"/>
          <w:szCs w:val="22"/>
          <w:lang w:eastAsia="zh-CN"/>
        </w:rPr>
        <w:t>b</w:t>
      </w:r>
      <w:r>
        <w:rPr>
          <w:rFonts w:hint="eastAsia"/>
          <w:color w:val="000000" w:themeColor="text1"/>
          <w:szCs w:val="22"/>
        </w:rPr>
        <w:t>ar charts of normalized fEPSP amplitudes averaged</w:t>
      </w:r>
      <w:r>
        <w:rPr>
          <w:rFonts w:hint="eastAsia"/>
          <w:color w:val="000000" w:themeColor="text1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Cs w:val="22"/>
        </w:rPr>
        <w:t>over the last 15 minutes of recordings</w:t>
      </w:r>
      <w:r>
        <w:rPr>
          <w:rFonts w:eastAsia="SimSun" w:hint="eastAsia"/>
          <w:color w:val="000000" w:themeColor="text1"/>
          <w:szCs w:val="22"/>
          <w:lang w:eastAsia="zh-CN"/>
        </w:rPr>
        <w:t xml:space="preserve">.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B</w:t>
      </w:r>
      <w:r>
        <w:rPr>
          <w:rFonts w:ascii="Times New Roman Bold" w:hAnsi="Times New Roman Bold" w:cs="Times New Roman Bold"/>
          <w:b/>
          <w:bCs/>
          <w:sz w:val="22"/>
          <w:szCs w:val="22"/>
        </w:rPr>
        <w:t>,</w:t>
      </w:r>
      <w:r w:rsidR="001961D2">
        <w:rPr>
          <w:rFonts w:ascii="Times New Roman Bold" w:eastAsiaTheme="minorEastAsia" w:hAnsi="Times New Roman Bold" w:cs="Times New Roman Bold" w:hint="eastAsia"/>
          <w:b/>
          <w:bCs/>
          <w:sz w:val="22"/>
          <w:szCs w:val="22"/>
          <w:lang w:eastAsia="zh-CN"/>
        </w:rPr>
        <w:t xml:space="preserve">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D</w:t>
      </w:r>
      <w:r>
        <w:rPr>
          <w:rFonts w:ascii="Times New Roman Regular" w:hAnsi="Times New Roman Regular" w:cs="Times New Roman Regular"/>
          <w:sz w:val="22"/>
          <w:szCs w:val="22"/>
        </w:rPr>
        <w:t xml:space="preserve"> Scatter plots of normalized fEPSP amplitudes before and after TBS (arrows) in cortical (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B</w:t>
      </w:r>
      <w:r>
        <w:rPr>
          <w:rFonts w:ascii="Times New Roman Regular" w:hAnsi="Times New Roman Regular" w:cs="Times New Roman Regular"/>
          <w:sz w:val="22"/>
          <w:szCs w:val="22"/>
        </w:rPr>
        <w:t>) and hippocampal (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D</w:t>
      </w:r>
      <w:r>
        <w:rPr>
          <w:rFonts w:ascii="Times New Roman Regular" w:hAnsi="Times New Roman Regular" w:cs="Times New Roman Regular"/>
          <w:sz w:val="22"/>
          <w:szCs w:val="22"/>
        </w:rPr>
        <w:t xml:space="preserve">) slices from 5-, 7-, 12-, and 18-month-old 3xTg-AD mice, compared to 2-month-old 3xTg-AD mice. 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E-F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</w:rPr>
        <w:t xml:space="preserve"> </w:t>
      </w:r>
      <w:r>
        <w:rPr>
          <w:rFonts w:hint="eastAsia"/>
          <w:color w:val="000000" w:themeColor="text1"/>
          <w:szCs w:val="22"/>
        </w:rPr>
        <w:t>Summary</w:t>
      </w:r>
      <w:r>
        <w:rPr>
          <w:rFonts w:eastAsia="SimSun" w:hint="eastAsia"/>
          <w:color w:val="000000" w:themeColor="text1"/>
          <w:szCs w:val="22"/>
          <w:lang w:eastAsia="zh-CN"/>
        </w:rPr>
        <w:t xml:space="preserve"> b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ar charts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of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normalized fEPSP amplitudes </w:t>
      </w:r>
      <w:r>
        <w:rPr>
          <w:rFonts w:hint="eastAsia"/>
          <w:color w:val="000000" w:themeColor="text1"/>
          <w:szCs w:val="22"/>
        </w:rPr>
        <w:t>averaged</w:t>
      </w:r>
      <w:r>
        <w:rPr>
          <w:rFonts w:eastAsia="SimSun" w:hint="eastAsia"/>
          <w:color w:val="000000" w:themeColor="text1"/>
          <w:szCs w:val="22"/>
          <w:lang w:eastAsia="zh-CN"/>
        </w:rPr>
        <w:t xml:space="preserve">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over the last 15 minutes of recordings in c</w:t>
      </w:r>
      <w:r>
        <w:rPr>
          <w:rFonts w:ascii="Times New Roman Regular" w:hAnsi="Times New Roman Regular" w:cs="Times New Roman Regular"/>
          <w:sz w:val="22"/>
          <w:szCs w:val="22"/>
        </w:rPr>
        <w:t>ortical (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E</w:t>
      </w:r>
      <w:r>
        <w:rPr>
          <w:rFonts w:ascii="Times New Roman Regular" w:hAnsi="Times New Roman Regular" w:cs="Times New Roman Regular"/>
          <w:sz w:val="22"/>
          <w:szCs w:val="22"/>
        </w:rPr>
        <w:t>) and hippocampal (</w:t>
      </w:r>
      <w:r>
        <w:rPr>
          <w:rFonts w:ascii="Times New Roman Bold" w:eastAsia="SimSun" w:hAnsi="Times New Roman Bold" w:cs="Times New Roman Bold" w:hint="eastAsia"/>
          <w:b/>
          <w:bCs/>
          <w:sz w:val="22"/>
          <w:szCs w:val="22"/>
          <w:lang w:eastAsia="zh-CN"/>
        </w:rPr>
        <w:t>F</w:t>
      </w:r>
      <w:r>
        <w:rPr>
          <w:rFonts w:ascii="Times New Roman Regular" w:hAnsi="Times New Roman Regular" w:cs="Times New Roman Regular"/>
          <w:sz w:val="22"/>
          <w:szCs w:val="22"/>
        </w:rPr>
        <w:t>) slices of 2-, 5-, 7-, 12-, and 18-month-old 3xTg-AD mice.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 xml:space="preserve">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Sample sizes: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N</w:t>
      </w:r>
      <w:r>
        <w:rPr>
          <w:rFonts w:hint="eastAsia"/>
          <w:color w:val="000000" w:themeColor="text1"/>
          <w:sz w:val="22"/>
          <w:szCs w:val="22"/>
        </w:rPr>
        <w:t xml:space="preserve"> = 4 mice per group per age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were used</w:t>
      </w:r>
      <w:r>
        <w:rPr>
          <w:rFonts w:hint="eastAsia"/>
          <w:color w:val="000000" w:themeColor="text1"/>
          <w:sz w:val="22"/>
          <w:szCs w:val="22"/>
        </w:rPr>
        <w:t>,</w:t>
      </w:r>
      <w:r>
        <w:rPr>
          <w:rFonts w:eastAsia="SimSun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with 3 slices recorded per mouse (total 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  <w:lang w:eastAsia="zh-CN"/>
        </w:rPr>
        <w:t>n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= 12 slices per group)</w:t>
      </w:r>
      <w:r>
        <w:rPr>
          <w:rFonts w:hint="eastAsia"/>
          <w:color w:val="000000" w:themeColor="text1"/>
          <w:sz w:val="22"/>
          <w:szCs w:val="22"/>
        </w:rPr>
        <w:t xml:space="preserve">. </w:t>
      </w:r>
      <w:r>
        <w:rPr>
          <w:rFonts w:hint="eastAsia"/>
          <w:color w:val="000000" w:themeColor="text1"/>
          <w:sz w:val="22"/>
          <w:szCs w:val="22"/>
          <w:lang w:eastAsia="zh-CN"/>
        </w:rPr>
        <w:t>For all scatter plots, d</w:t>
      </w:r>
      <w:r>
        <w:rPr>
          <w:rFonts w:hint="eastAsia"/>
          <w:color w:val="000000" w:themeColor="text1"/>
          <w:sz w:val="22"/>
          <w:szCs w:val="22"/>
        </w:rPr>
        <w:t xml:space="preserve">ata are presented as mean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±</w:t>
      </w:r>
      <w:r>
        <w:rPr>
          <w:rFonts w:hint="eastAsia"/>
          <w:color w:val="000000" w:themeColor="text1"/>
          <w:sz w:val="22"/>
          <w:szCs w:val="22"/>
        </w:rPr>
        <w:t xml:space="preserve"> SEM.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For all bar charts, d</w:t>
      </w:r>
      <w:r>
        <w:rPr>
          <w:rFonts w:hint="eastAsia"/>
          <w:color w:val="000000" w:themeColor="text1"/>
          <w:sz w:val="22"/>
          <w:szCs w:val="22"/>
        </w:rPr>
        <w:t xml:space="preserve">ata are presented as mean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±</w:t>
      </w:r>
      <w:r>
        <w:rPr>
          <w:rFonts w:hint="eastAsia"/>
          <w:color w:val="000000" w:themeColor="text1"/>
          <w:sz w:val="22"/>
          <w:szCs w:val="22"/>
        </w:rPr>
        <w:t xml:space="preserve"> </w:t>
      </w:r>
      <w:r>
        <w:rPr>
          <w:rFonts w:hint="eastAsia"/>
          <w:color w:val="000000" w:themeColor="text1"/>
          <w:sz w:val="22"/>
          <w:szCs w:val="22"/>
          <w:lang w:eastAsia="zh-CN"/>
        </w:rPr>
        <w:t>SD</w:t>
      </w:r>
      <w:r>
        <w:rPr>
          <w:rFonts w:hint="eastAsia"/>
          <w:color w:val="000000" w:themeColor="text1"/>
          <w:sz w:val="22"/>
          <w:szCs w:val="22"/>
        </w:rPr>
        <w:t>.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color w:val="000000" w:themeColor="text1"/>
          <w:sz w:val="22"/>
          <w:szCs w:val="22"/>
          <w:lang w:eastAsia="zh-CN"/>
        </w:rPr>
        <w:t>Statistical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analysis: </w:t>
      </w:r>
      <w:r>
        <w:rPr>
          <w:color w:val="000000" w:themeColor="text1"/>
          <w:sz w:val="22"/>
          <w:szCs w:val="22"/>
          <w:lang w:eastAsia="zh-CN"/>
        </w:rPr>
        <w:t xml:space="preserve">Statistical significance 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of all 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>s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</w:rPr>
        <w:t>catter plots</w:t>
      </w:r>
      <w:r>
        <w:rPr>
          <w:rFonts w:ascii="Times New Roman Regular" w:eastAsia="SimSun" w:hAnsi="Times New Roman Regular" w:cs="Times New Roman Regular" w:hint="eastAsia"/>
          <w:color w:val="000000" w:themeColor="text1"/>
          <w:sz w:val="22"/>
          <w:szCs w:val="22"/>
          <w:lang w:eastAsia="zh-CN"/>
        </w:rPr>
        <w:t xml:space="preserve"> </w:t>
      </w:r>
      <w:r>
        <w:rPr>
          <w:color w:val="000000" w:themeColor="text1"/>
          <w:sz w:val="22"/>
          <w:szCs w:val="22"/>
          <w:lang w:eastAsia="zh-CN"/>
        </w:rPr>
        <w:t xml:space="preserve">was </w:t>
      </w:r>
      <w:r>
        <w:rPr>
          <w:rFonts w:hint="eastAsia"/>
          <w:color w:val="000000" w:themeColor="text1"/>
          <w:sz w:val="22"/>
          <w:szCs w:val="22"/>
          <w:lang w:eastAsia="zh-CN"/>
        </w:rPr>
        <w:t>assessed</w:t>
      </w:r>
      <w:r>
        <w:rPr>
          <w:color w:val="000000" w:themeColor="text1"/>
          <w:sz w:val="22"/>
          <w:szCs w:val="22"/>
          <w:lang w:eastAsia="zh-CN"/>
        </w:rPr>
        <w:t xml:space="preserve"> by two-way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RM</w:t>
      </w:r>
      <w:r>
        <w:rPr>
          <w:color w:val="000000" w:themeColor="text1"/>
          <w:sz w:val="22"/>
          <w:szCs w:val="22"/>
          <w:lang w:eastAsia="zh-CN"/>
        </w:rPr>
        <w:t xml:space="preserve"> ANOVA with Bonferroni’s post hoc test.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Bar charts in (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A) </w:t>
      </w:r>
      <w:r>
        <w:rPr>
          <w:color w:val="000000" w:themeColor="text1"/>
          <w:sz w:val="22"/>
          <w:szCs w:val="22"/>
          <w:lang w:eastAsia="zh-CN"/>
        </w:rPr>
        <w:t>and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 (C</w:t>
      </w:r>
      <w:r>
        <w:rPr>
          <w:rFonts w:hint="eastAsia"/>
          <w:color w:val="000000" w:themeColor="text1"/>
          <w:sz w:val="22"/>
          <w:szCs w:val="22"/>
          <w:lang w:eastAsia="zh-CN"/>
        </w:rPr>
        <w:t>) met assumptions of normality (Shapiro-Wilk test) and homogeneity of variances (Levene</w:t>
      </w:r>
      <w:r>
        <w:rPr>
          <w:rFonts w:ascii="Times New Roman Regular" w:eastAsia="PingFang SC Regular" w:hAnsi="Times New Roman Regular" w:cs="Times New Roman Regular"/>
          <w:color w:val="000000" w:themeColor="text1"/>
          <w:sz w:val="22"/>
          <w:szCs w:val="22"/>
          <w:lang w:eastAsia="zh-CN"/>
        </w:rPr>
        <w:t>’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s test) and were analyzed by two-tailed </w:t>
      </w:r>
      <w:r>
        <w:rPr>
          <w:rFonts w:hint="eastAsia"/>
          <w:color w:val="000000" w:themeColor="text1"/>
          <w:sz w:val="22"/>
          <w:szCs w:val="22"/>
          <w:lang w:eastAsia="zh-CN" w:bidi="ar"/>
        </w:rPr>
        <w:t>unpaired</w:t>
      </w:r>
      <w:r>
        <w:rPr>
          <w:rFonts w:hint="eastAsia"/>
          <w:color w:val="000000" w:themeColor="text1"/>
          <w:sz w:val="22"/>
          <w:szCs w:val="22"/>
          <w:lang w:eastAsia="zh-CN"/>
        </w:rPr>
        <w:t xml:space="preserve"> </w:t>
      </w:r>
      <w:r w:rsidR="001961D2">
        <w:rPr>
          <w:color w:val="000000" w:themeColor="text1"/>
          <w:sz w:val="22"/>
          <w:szCs w:val="22"/>
          <w:lang w:eastAsia="zh-CN"/>
        </w:rPr>
        <w:t>S</w:t>
      </w:r>
      <w:r>
        <w:rPr>
          <w:rFonts w:hint="eastAsia"/>
          <w:color w:val="000000" w:themeColor="text1"/>
          <w:sz w:val="22"/>
          <w:szCs w:val="22"/>
          <w:lang w:eastAsia="zh-CN"/>
        </w:rPr>
        <w:t>tudent</w:t>
      </w:r>
      <w:r>
        <w:rPr>
          <w:rFonts w:ascii="Times New Roman Regular" w:eastAsia="PingFang SC Regular" w:hAnsi="Times New Roman Regular" w:cs="Times New Roman Regular"/>
          <w:color w:val="000000" w:themeColor="text1"/>
          <w:sz w:val="22"/>
          <w:szCs w:val="22"/>
          <w:lang w:eastAsia="zh-CN"/>
        </w:rPr>
        <w:t>’</w:t>
      </w:r>
      <w:r>
        <w:rPr>
          <w:rFonts w:hint="eastAsia"/>
          <w:color w:val="000000" w:themeColor="text1"/>
          <w:sz w:val="22"/>
          <w:szCs w:val="22"/>
          <w:lang w:eastAsia="zh-CN"/>
        </w:rPr>
        <w:t>s t-test. Bar charts in (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E) </w:t>
      </w:r>
      <w:r>
        <w:rPr>
          <w:color w:val="000000" w:themeColor="text1"/>
          <w:sz w:val="22"/>
          <w:szCs w:val="22"/>
          <w:lang w:eastAsia="zh-CN"/>
        </w:rPr>
        <w:t>and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/>
        </w:rPr>
        <w:t xml:space="preserve"> (F</w:t>
      </w:r>
      <w:r>
        <w:rPr>
          <w:rFonts w:hint="eastAsia"/>
          <w:color w:val="000000" w:themeColor="text1"/>
          <w:sz w:val="22"/>
          <w:szCs w:val="22"/>
          <w:lang w:eastAsia="zh-CN"/>
        </w:rPr>
        <w:t>) were analyzed by o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lang w:eastAsia="zh-CN" w:bidi="ar"/>
        </w:rPr>
        <w:t>rdinary one-way ANOVA with post hoc Dunnett’s test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lang w:eastAsia="zh-CN" w:bidi="ar"/>
        </w:rPr>
        <w:t xml:space="preserve"> relative to the 2-month-old 3xTg-AD group. The significance markers at the right side of the curves in (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A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lang w:eastAsia="zh-CN" w:bidi="ar"/>
        </w:rPr>
        <w:t xml:space="preserve">,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C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lang w:eastAsia="zh-CN" w:bidi="ar"/>
        </w:rPr>
        <w:t>) and (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B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lang w:eastAsia="zh-CN" w:bidi="ar"/>
        </w:rPr>
        <w:t xml:space="preserve">, </w:t>
      </w:r>
      <w:r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  <w:t>D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lang w:eastAsia="zh-CN" w:bidi="ar"/>
        </w:rPr>
        <w:t xml:space="preserve">) denote the </w:t>
      </w:r>
      <w:r>
        <w:rPr>
          <w:rFonts w:ascii="Times New Roman Regular" w:hAnsi="Times New Roman Regular" w:cs="Times New Roman Regular"/>
          <w:color w:val="000000" w:themeColor="text1"/>
          <w:sz w:val="22"/>
          <w:szCs w:val="22"/>
          <w:lang w:eastAsia="zh-CN" w:bidi="ar"/>
        </w:rPr>
        <w:t>“genotype × time” and “age × time” i</w:t>
      </w:r>
      <w:r>
        <w:rPr>
          <w:rFonts w:ascii="Times New Roman Regular" w:hAnsi="Times New Roman Regular" w:cs="Times New Roman Regular" w:hint="eastAsia"/>
          <w:color w:val="000000" w:themeColor="text1"/>
          <w:sz w:val="22"/>
          <w:szCs w:val="22"/>
          <w:lang w:eastAsia="zh-CN" w:bidi="ar"/>
        </w:rPr>
        <w:t xml:space="preserve">nteraction effects on fEPSP amplitude, respectively, reflecting statistically divergent time courses of potentiation across genotypes or ages in 3xTg-AD mice. </w:t>
      </w:r>
      <w:r>
        <w:rPr>
          <w:rFonts w:hint="eastAsia"/>
          <w:color w:val="000000" w:themeColor="text1"/>
          <w:sz w:val="22"/>
          <w:szCs w:val="22"/>
        </w:rPr>
        <w:t>***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&lt;0.001, **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&lt;0.01, *</w:t>
      </w:r>
      <w:r>
        <w:rPr>
          <w:rFonts w:ascii="Times New Roman Italic" w:hAnsi="Times New Roman Italic" w:cs="Times New Roman Italic"/>
          <w:i/>
          <w:iCs/>
          <w:color w:val="000000" w:themeColor="text1"/>
          <w:sz w:val="22"/>
          <w:szCs w:val="22"/>
        </w:rPr>
        <w:t>P</w:t>
      </w:r>
      <w:r>
        <w:rPr>
          <w:rFonts w:hint="eastAsia"/>
          <w:color w:val="000000" w:themeColor="text1"/>
          <w:sz w:val="22"/>
          <w:szCs w:val="22"/>
        </w:rPr>
        <w:t>&lt;0.05; NS, not significant.</w:t>
      </w:r>
    </w:p>
    <w:p w14:paraId="343BE1C9" w14:textId="77777777" w:rsidR="006D3311" w:rsidRDefault="006D3311">
      <w:pPr>
        <w:spacing w:afterLines="80" w:after="249" w:line="480" w:lineRule="auto"/>
        <w:jc w:val="both"/>
        <w:rPr>
          <w:color w:val="FF0000"/>
          <w:lang w:eastAsia="zh-CN"/>
        </w:rPr>
      </w:pPr>
    </w:p>
    <w:p w14:paraId="7851AC90" w14:textId="77777777" w:rsidR="006D3311" w:rsidRDefault="00000000">
      <w:pPr>
        <w:spacing w:line="480" w:lineRule="auto"/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</w:pPr>
      <w:hyperlink r:id="rId11" w:history="1">
        <w:r>
          <w:rPr>
            <w:rFonts w:ascii="Times New Roman Bold" w:eastAsia="SimSun" w:hAnsi="Times New Roman Bold" w:cs="Times New Roman Bold"/>
            <w:b/>
            <w:bCs/>
            <w:color w:val="000000" w:themeColor="text1"/>
            <w:sz w:val="22"/>
            <w:szCs w:val="22"/>
            <w:lang w:bidi="ar"/>
          </w:rPr>
          <w:t xml:space="preserve">Table </w:t>
        </w:r>
        <w:r>
          <w:rPr>
            <w:rFonts w:ascii="Times New Roman Bold" w:eastAsia="SimSun" w:hAnsi="Times New Roman Bold" w:cs="Times New Roman Bold" w:hint="eastAsia"/>
            <w:b/>
            <w:bCs/>
            <w:color w:val="000000" w:themeColor="text1"/>
            <w:sz w:val="22"/>
            <w:szCs w:val="22"/>
            <w:lang w:eastAsia="zh-CN" w:bidi="ar"/>
          </w:rPr>
          <w:t>S</w:t>
        </w:r>
        <w:r>
          <w:rPr>
            <w:rFonts w:ascii="Times New Roman Bold" w:eastAsia="SimSun" w:hAnsi="Times New Roman Bold" w:cs="Times New Roman Bold"/>
            <w:b/>
            <w:bCs/>
            <w:color w:val="000000" w:themeColor="text1"/>
            <w:sz w:val="22"/>
            <w:szCs w:val="22"/>
            <w:lang w:bidi="ar"/>
          </w:rPr>
          <w:t>1</w:t>
        </w:r>
      </w:hyperlink>
      <w:r>
        <w:rPr>
          <w:rFonts w:ascii="Times New Roman Bold" w:eastAsia="SimSun" w:hAnsi="Times New Roman Bold" w:cs="Times New Roman Bold" w:hint="eastAsia"/>
          <w:b/>
          <w:bCs/>
          <w:color w:val="000000" w:themeColor="text1"/>
          <w:sz w:val="22"/>
          <w:szCs w:val="22"/>
          <w:lang w:eastAsia="zh-CN" w:bidi="ar"/>
        </w:rPr>
        <w:t>.</w:t>
      </w: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 w:bidi="ar"/>
        </w:rPr>
        <w:t xml:space="preserve"> List of primers used for quantitative real-time PCR assays.</w:t>
      </w:r>
    </w:p>
    <w:tbl>
      <w:tblPr>
        <w:tblStyle w:val="TableGrid"/>
        <w:tblW w:w="5950" w:type="dxa"/>
        <w:tblLayout w:type="fixed"/>
        <w:tblLook w:val="04A0" w:firstRow="1" w:lastRow="0" w:firstColumn="1" w:lastColumn="0" w:noHBand="0" w:noVBand="1"/>
      </w:tblPr>
      <w:tblGrid>
        <w:gridCol w:w="1662"/>
        <w:gridCol w:w="1137"/>
        <w:gridCol w:w="3151"/>
      </w:tblGrid>
      <w:tr w:rsidR="006D3311" w14:paraId="2B5CAD35" w14:textId="77777777">
        <w:tc>
          <w:tcPr>
            <w:tcW w:w="1662" w:type="dxa"/>
          </w:tcPr>
          <w:p w14:paraId="70561AA1" w14:textId="77777777" w:rsidR="006D3311" w:rsidRDefault="00000000">
            <w:pPr>
              <w:pStyle w:val="NormalWeb"/>
              <w:widowControl/>
              <w:rPr>
                <w:rFonts w:ascii="Times New Roman Bold" w:eastAsia="SimSun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ascii="Times New Roman Bold" w:eastAsia="SimSun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eastAsia="zh-CN" w:bidi="ar"/>
              </w:rPr>
              <w:t>mRNA</w:t>
            </w:r>
          </w:p>
        </w:tc>
        <w:tc>
          <w:tcPr>
            <w:tcW w:w="1137" w:type="dxa"/>
          </w:tcPr>
          <w:p w14:paraId="32487851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Source</w:t>
            </w:r>
          </w:p>
        </w:tc>
        <w:tc>
          <w:tcPr>
            <w:tcW w:w="3151" w:type="dxa"/>
          </w:tcPr>
          <w:p w14:paraId="213C8F93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eastAsia="zh-CN" w:bidi="ar"/>
              </w:rPr>
              <w:t>Sequence</w:t>
            </w:r>
          </w:p>
        </w:tc>
      </w:tr>
      <w:tr w:rsidR="006D3311" w14:paraId="59EC3811" w14:textId="77777777">
        <w:tc>
          <w:tcPr>
            <w:tcW w:w="1662" w:type="dxa"/>
          </w:tcPr>
          <w:p w14:paraId="1D6D839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Gapdh</w:t>
            </w:r>
            <w:proofErr w:type="spell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(Forward)</w:t>
            </w:r>
          </w:p>
        </w:tc>
        <w:tc>
          <w:tcPr>
            <w:tcW w:w="1137" w:type="dxa"/>
          </w:tcPr>
          <w:p w14:paraId="0D5D7685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5598972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5'-AGGTCGGTGTGAACGGATTTG-3'</w:t>
            </w:r>
          </w:p>
        </w:tc>
      </w:tr>
      <w:tr w:rsidR="006D3311" w14:paraId="3CFEE2C0" w14:textId="77777777">
        <w:tc>
          <w:tcPr>
            <w:tcW w:w="1662" w:type="dxa"/>
          </w:tcPr>
          <w:p w14:paraId="562FD025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Gapdh</w:t>
            </w:r>
            <w:proofErr w:type="spell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(Reverse)</w:t>
            </w:r>
          </w:p>
        </w:tc>
        <w:tc>
          <w:tcPr>
            <w:tcW w:w="1137" w:type="dxa"/>
          </w:tcPr>
          <w:p w14:paraId="035111D5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5825CB8E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TGTAGACCATGTAGTTGAGGTCA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-3'</w:t>
            </w:r>
          </w:p>
        </w:tc>
      </w:tr>
      <w:tr w:rsidR="006D3311" w14:paraId="36D3A560" w14:textId="77777777">
        <w:tc>
          <w:tcPr>
            <w:tcW w:w="1662" w:type="dxa"/>
          </w:tcPr>
          <w:p w14:paraId="194DBA4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CCK (Forward)</w:t>
            </w:r>
          </w:p>
        </w:tc>
        <w:tc>
          <w:tcPr>
            <w:tcW w:w="1137" w:type="dxa"/>
          </w:tcPr>
          <w:p w14:paraId="55EF865D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61027872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5'-GCACTGCTAGCGCGATACATC-3'</w:t>
            </w:r>
          </w:p>
        </w:tc>
      </w:tr>
      <w:tr w:rsidR="006D3311" w14:paraId="07A5F3FA" w14:textId="77777777">
        <w:tc>
          <w:tcPr>
            <w:tcW w:w="1662" w:type="dxa"/>
          </w:tcPr>
          <w:p w14:paraId="707C264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CCK (Reverse)</w:t>
            </w:r>
          </w:p>
        </w:tc>
        <w:tc>
          <w:tcPr>
            <w:tcW w:w="1137" w:type="dxa"/>
          </w:tcPr>
          <w:p w14:paraId="65D603F4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5E629975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CCAGGCTCTGCAGGTTCTTAAG</w:t>
            </w:r>
            <w:r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  <w:t>-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3'</w:t>
            </w:r>
          </w:p>
        </w:tc>
      </w:tr>
      <w:tr w:rsidR="006D3311" w14:paraId="5211C9F0" w14:textId="77777777">
        <w:tc>
          <w:tcPr>
            <w:tcW w:w="1662" w:type="dxa"/>
          </w:tcPr>
          <w:p w14:paraId="048D627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CCK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BR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(Forward)</w:t>
            </w:r>
          </w:p>
        </w:tc>
        <w:tc>
          <w:tcPr>
            <w:tcW w:w="1137" w:type="dxa"/>
          </w:tcPr>
          <w:p w14:paraId="3F071BE3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0EC5B733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ACCCTTTATGCGGTGATCTTTC</w:t>
            </w:r>
            <w:r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  <w:t>-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3'</w:t>
            </w:r>
          </w:p>
        </w:tc>
      </w:tr>
      <w:tr w:rsidR="006D3311" w14:paraId="23612DDE" w14:textId="77777777">
        <w:tc>
          <w:tcPr>
            <w:tcW w:w="1662" w:type="dxa"/>
          </w:tcPr>
          <w:p w14:paraId="0F7CCEB0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CCK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BR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(Reverse)</w:t>
            </w:r>
          </w:p>
        </w:tc>
        <w:tc>
          <w:tcPr>
            <w:tcW w:w="1137" w:type="dxa"/>
          </w:tcPr>
          <w:p w14:paraId="4211E8E4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44203A16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GGTGACCGTTCTTAGGCGTC-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3'</w:t>
            </w:r>
          </w:p>
        </w:tc>
      </w:tr>
      <w:tr w:rsidR="006D3311" w14:paraId="0BB9B285" w14:textId="77777777">
        <w:tc>
          <w:tcPr>
            <w:tcW w:w="1662" w:type="dxa"/>
          </w:tcPr>
          <w:p w14:paraId="62296940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BDNF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(Forward)</w:t>
            </w:r>
          </w:p>
        </w:tc>
        <w:tc>
          <w:tcPr>
            <w:tcW w:w="1137" w:type="dxa"/>
          </w:tcPr>
          <w:p w14:paraId="69B7A0A7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449B0FCB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rFonts w:hint="eastAsia"/>
                <w:color w:val="000000" w:themeColor="text1"/>
                <w:sz w:val="16"/>
                <w:szCs w:val="16"/>
                <w:lang w:bidi="ar"/>
              </w:rPr>
              <w:t>TCATACTTCGGTTGCATGAAGG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3'</w:t>
            </w:r>
          </w:p>
        </w:tc>
      </w:tr>
      <w:tr w:rsidR="006D3311" w14:paraId="41143645" w14:textId="77777777">
        <w:tc>
          <w:tcPr>
            <w:tcW w:w="1662" w:type="dxa"/>
          </w:tcPr>
          <w:p w14:paraId="6E024EA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BDNF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(Reverse)</w:t>
            </w:r>
          </w:p>
        </w:tc>
        <w:tc>
          <w:tcPr>
            <w:tcW w:w="1137" w:type="dxa"/>
          </w:tcPr>
          <w:p w14:paraId="698FB780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497FA61B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ACACCTGGGTAGGCCAAGTT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3'</w:t>
            </w:r>
          </w:p>
        </w:tc>
      </w:tr>
      <w:tr w:rsidR="006D3311" w14:paraId="2257B523" w14:textId="77777777">
        <w:tc>
          <w:tcPr>
            <w:tcW w:w="1662" w:type="dxa"/>
          </w:tcPr>
          <w:p w14:paraId="3F72D47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GAD1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(Forward)</w:t>
            </w:r>
          </w:p>
        </w:tc>
        <w:tc>
          <w:tcPr>
            <w:tcW w:w="1137" w:type="dxa"/>
          </w:tcPr>
          <w:p w14:paraId="334D2262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312CE4F1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AACGTATGATACTTGGTGTGGC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3'</w:t>
            </w:r>
          </w:p>
        </w:tc>
      </w:tr>
      <w:tr w:rsidR="006D3311" w14:paraId="4ABCBABF" w14:textId="77777777">
        <w:tc>
          <w:tcPr>
            <w:tcW w:w="1662" w:type="dxa"/>
          </w:tcPr>
          <w:p w14:paraId="19CCD36A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GAD1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(Reverse)</w:t>
            </w:r>
          </w:p>
        </w:tc>
        <w:tc>
          <w:tcPr>
            <w:tcW w:w="1137" w:type="dxa"/>
          </w:tcPr>
          <w:p w14:paraId="61D738DC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18AD4856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CCAGGCTATTGGTCCTTTGTAAG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-3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'</w:t>
            </w:r>
          </w:p>
        </w:tc>
      </w:tr>
      <w:tr w:rsidR="006D3311" w14:paraId="28DB7470" w14:textId="77777777">
        <w:tc>
          <w:tcPr>
            <w:tcW w:w="1662" w:type="dxa"/>
          </w:tcPr>
          <w:p w14:paraId="4555115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SLC1A2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(Forward)</w:t>
            </w:r>
          </w:p>
        </w:tc>
        <w:tc>
          <w:tcPr>
            <w:tcW w:w="1137" w:type="dxa"/>
          </w:tcPr>
          <w:p w14:paraId="6B883723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63B81A72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rFonts w:hint="eastAsia"/>
                <w:color w:val="000000" w:themeColor="text1"/>
                <w:sz w:val="16"/>
                <w:szCs w:val="16"/>
                <w:lang w:bidi="ar"/>
              </w:rPr>
              <w:t>GCCAACAATATGCCCAAGCAG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-3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'</w:t>
            </w:r>
          </w:p>
        </w:tc>
      </w:tr>
      <w:tr w:rsidR="006D3311" w14:paraId="41073A3A" w14:textId="77777777">
        <w:tc>
          <w:tcPr>
            <w:tcW w:w="1662" w:type="dxa"/>
          </w:tcPr>
          <w:p w14:paraId="060EAB2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SLC1A2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(Reverse)</w:t>
            </w:r>
          </w:p>
        </w:tc>
        <w:tc>
          <w:tcPr>
            <w:tcW w:w="1137" w:type="dxa"/>
          </w:tcPr>
          <w:p w14:paraId="7BC9C9EA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07541DC8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GACACCAAACACAGTCAGTGA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-3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'</w:t>
            </w:r>
          </w:p>
        </w:tc>
      </w:tr>
      <w:tr w:rsidR="006D3311" w14:paraId="4590928C" w14:textId="77777777">
        <w:tc>
          <w:tcPr>
            <w:tcW w:w="1662" w:type="dxa"/>
          </w:tcPr>
          <w:p w14:paraId="4D51A23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SYN1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(Forward)</w:t>
            </w:r>
          </w:p>
        </w:tc>
        <w:tc>
          <w:tcPr>
            <w:tcW w:w="1137" w:type="dxa"/>
          </w:tcPr>
          <w:p w14:paraId="4FC97F22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001F230E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CCAATCTGCCGAATGGGTACA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-3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'</w:t>
            </w:r>
          </w:p>
        </w:tc>
      </w:tr>
      <w:tr w:rsidR="006D3311" w14:paraId="2CB65411" w14:textId="77777777">
        <w:tc>
          <w:tcPr>
            <w:tcW w:w="1662" w:type="dxa"/>
          </w:tcPr>
          <w:p w14:paraId="5652E31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SYN1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 (Reverse)</w:t>
            </w:r>
          </w:p>
        </w:tc>
        <w:tc>
          <w:tcPr>
            <w:tcW w:w="1137" w:type="dxa"/>
          </w:tcPr>
          <w:p w14:paraId="44DFF175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General Biol</w:t>
            </w:r>
          </w:p>
        </w:tc>
        <w:tc>
          <w:tcPr>
            <w:tcW w:w="3151" w:type="dxa"/>
          </w:tcPr>
          <w:p w14:paraId="5E3EDD22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5'-</w:t>
            </w:r>
            <w:r>
              <w:rPr>
                <w:rFonts w:hint="eastAsia"/>
                <w:color w:val="000000" w:themeColor="text1"/>
                <w:sz w:val="16"/>
                <w:szCs w:val="16"/>
                <w:lang w:bidi="ar"/>
              </w:rPr>
              <w:t>GCGTTAGACAGCGACGAGAA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-3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'</w:t>
            </w:r>
          </w:p>
        </w:tc>
      </w:tr>
    </w:tbl>
    <w:p w14:paraId="69C3ED89" w14:textId="77777777" w:rsidR="006D3311" w:rsidRDefault="006D3311">
      <w:pPr>
        <w:spacing w:line="360" w:lineRule="auto"/>
        <w:rPr>
          <w:rFonts w:ascii="Times New Roman Bold" w:eastAsia="SimSun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</w:pPr>
    </w:p>
    <w:p w14:paraId="1C7C870D" w14:textId="77777777" w:rsidR="006D3311" w:rsidRDefault="00000000">
      <w:pPr>
        <w:spacing w:line="480" w:lineRule="auto"/>
        <w:rPr>
          <w:rFonts w:ascii="Times New Roman Bold" w:hAnsi="Times New Roman Bold" w:cs="Times New Roman Bold"/>
          <w:b/>
          <w:bCs/>
          <w:color w:val="000000" w:themeColor="text1"/>
          <w:sz w:val="22"/>
          <w:szCs w:val="22"/>
          <w:lang w:eastAsia="zh-CN" w:bidi="ar"/>
        </w:rPr>
      </w:pPr>
      <w:r>
        <w:rPr>
          <w:rFonts w:ascii="Times New Roman Bold" w:hAnsi="Times New Roman Bold" w:cs="Times New Roman Bold" w:hint="eastAsia"/>
          <w:b/>
          <w:bCs/>
          <w:color w:val="000000" w:themeColor="text1"/>
          <w:sz w:val="22"/>
          <w:szCs w:val="22"/>
          <w:lang w:eastAsia="zh-CN" w:bidi="ar"/>
        </w:rPr>
        <w:t>Table S2. List of Reagents and Resources.</w:t>
      </w:r>
    </w:p>
    <w:tbl>
      <w:tblPr>
        <w:tblStyle w:val="TableGrid"/>
        <w:tblW w:w="8871" w:type="dxa"/>
        <w:tblLayout w:type="fixed"/>
        <w:tblLook w:val="04A0" w:firstRow="1" w:lastRow="0" w:firstColumn="1" w:lastColumn="0" w:noHBand="0" w:noVBand="1"/>
      </w:tblPr>
      <w:tblGrid>
        <w:gridCol w:w="1892"/>
        <w:gridCol w:w="1988"/>
        <w:gridCol w:w="1223"/>
        <w:gridCol w:w="2259"/>
        <w:gridCol w:w="1509"/>
      </w:tblGrid>
      <w:tr w:rsidR="006D3311" w14:paraId="6D66AB52" w14:textId="77777777">
        <w:tc>
          <w:tcPr>
            <w:tcW w:w="1892" w:type="dxa"/>
          </w:tcPr>
          <w:p w14:paraId="7055AEDF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Reagent type (species)</w:t>
            </w: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eastAsia="zh-CN" w:bidi="ar"/>
              </w:rPr>
              <w:t xml:space="preserve"> </w:t>
            </w: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or resource</w:t>
            </w:r>
          </w:p>
        </w:tc>
        <w:tc>
          <w:tcPr>
            <w:tcW w:w="1988" w:type="dxa"/>
          </w:tcPr>
          <w:p w14:paraId="2222A736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Designation</w:t>
            </w:r>
          </w:p>
        </w:tc>
        <w:tc>
          <w:tcPr>
            <w:tcW w:w="1223" w:type="dxa"/>
          </w:tcPr>
          <w:p w14:paraId="26758262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Source</w:t>
            </w:r>
          </w:p>
        </w:tc>
        <w:tc>
          <w:tcPr>
            <w:tcW w:w="2259" w:type="dxa"/>
          </w:tcPr>
          <w:p w14:paraId="0517B32F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Identifiers</w:t>
            </w:r>
          </w:p>
        </w:tc>
        <w:tc>
          <w:tcPr>
            <w:tcW w:w="1509" w:type="dxa"/>
          </w:tcPr>
          <w:p w14:paraId="7941D3C8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ascii="Times New Roman Bold" w:hAnsi="Times New Roman Bold" w:cs="Times New Roman Bold" w:hint="eastAsia"/>
                <w:b/>
                <w:bCs/>
                <w:color w:val="000000" w:themeColor="text1"/>
                <w:sz w:val="16"/>
                <w:szCs w:val="16"/>
                <w:lang w:bidi="ar"/>
              </w:rPr>
              <w:t>Additional information</w:t>
            </w:r>
          </w:p>
        </w:tc>
      </w:tr>
      <w:tr w:rsidR="006D3311" w14:paraId="21CEB3BF" w14:textId="77777777">
        <w:tc>
          <w:tcPr>
            <w:tcW w:w="1892" w:type="dxa"/>
          </w:tcPr>
          <w:p w14:paraId="16C758CF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78A6C5F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Anti-NeuN</w:t>
            </w:r>
          </w:p>
          <w:p w14:paraId="310509C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(Rabbit polyclonal)</w:t>
            </w:r>
          </w:p>
        </w:tc>
        <w:tc>
          <w:tcPr>
            <w:tcW w:w="1223" w:type="dxa"/>
          </w:tcPr>
          <w:p w14:paraId="295576CE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4EBB904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PA5-78499,</w:t>
            </w:r>
          </w:p>
          <w:p w14:paraId="0C9BE78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AB_2736206</w:t>
            </w:r>
          </w:p>
        </w:tc>
        <w:tc>
          <w:tcPr>
            <w:tcW w:w="1509" w:type="dxa"/>
          </w:tcPr>
          <w:p w14:paraId="540D6B00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(1:1000)</w:t>
            </w:r>
          </w:p>
        </w:tc>
      </w:tr>
      <w:tr w:rsidR="006D3311" w14:paraId="70174141" w14:textId="77777777">
        <w:tc>
          <w:tcPr>
            <w:tcW w:w="1892" w:type="dxa"/>
          </w:tcPr>
          <w:p w14:paraId="11D26A93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504F481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Anti-GFAP</w:t>
            </w:r>
          </w:p>
          <w:p w14:paraId="0C8E820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(Rabbit polyclonal)</w:t>
            </w:r>
          </w:p>
        </w:tc>
        <w:tc>
          <w:tcPr>
            <w:tcW w:w="1223" w:type="dxa"/>
          </w:tcPr>
          <w:p w14:paraId="521E8222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77733268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PA1-10019,</w:t>
            </w:r>
          </w:p>
          <w:p w14:paraId="1961BAB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AB_1074611</w:t>
            </w:r>
          </w:p>
        </w:tc>
        <w:tc>
          <w:tcPr>
            <w:tcW w:w="1509" w:type="dxa"/>
          </w:tcPr>
          <w:p w14:paraId="5545C158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(1:1000)</w:t>
            </w:r>
          </w:p>
        </w:tc>
      </w:tr>
      <w:tr w:rsidR="006D3311" w14:paraId="24C20202" w14:textId="77777777">
        <w:tc>
          <w:tcPr>
            <w:tcW w:w="1892" w:type="dxa"/>
          </w:tcPr>
          <w:p w14:paraId="472F5738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7E31DBE0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Anti-Iba1</w:t>
            </w:r>
          </w:p>
          <w:p w14:paraId="59CD2D1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(Rat polyclonal)</w:t>
            </w:r>
          </w:p>
        </w:tc>
        <w:tc>
          <w:tcPr>
            <w:tcW w:w="1223" w:type="dxa"/>
          </w:tcPr>
          <w:p w14:paraId="2F47A9FE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Fujifilm Wako</w:t>
            </w:r>
          </w:p>
        </w:tc>
        <w:tc>
          <w:tcPr>
            <w:tcW w:w="2259" w:type="dxa"/>
          </w:tcPr>
          <w:p w14:paraId="6B51388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019-19741,</w:t>
            </w:r>
          </w:p>
          <w:p w14:paraId="25F3A42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839504</w:t>
            </w:r>
          </w:p>
        </w:tc>
        <w:tc>
          <w:tcPr>
            <w:tcW w:w="1509" w:type="dxa"/>
          </w:tcPr>
          <w:p w14:paraId="0EEC92A2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(1:500)</w:t>
            </w:r>
          </w:p>
        </w:tc>
      </w:tr>
      <w:tr w:rsidR="006D3311" w14:paraId="004B60E5" w14:textId="77777777">
        <w:tc>
          <w:tcPr>
            <w:tcW w:w="1892" w:type="dxa"/>
          </w:tcPr>
          <w:p w14:paraId="41D3C032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7381243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Anti-DCX</w:t>
            </w:r>
          </w:p>
          <w:p w14:paraId="3C573AF5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(Rabbit polyclonal)</w:t>
            </w:r>
          </w:p>
        </w:tc>
        <w:tc>
          <w:tcPr>
            <w:tcW w:w="1223" w:type="dxa"/>
          </w:tcPr>
          <w:p w14:paraId="797D8EE9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Abcam</w:t>
            </w:r>
          </w:p>
        </w:tc>
        <w:tc>
          <w:tcPr>
            <w:tcW w:w="2259" w:type="dxa"/>
          </w:tcPr>
          <w:p w14:paraId="60E06C8A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Cat#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ab18723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,</w:t>
            </w:r>
          </w:p>
          <w:p w14:paraId="1CB0D98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732011</w:t>
            </w:r>
          </w:p>
        </w:tc>
        <w:tc>
          <w:tcPr>
            <w:tcW w:w="1509" w:type="dxa"/>
          </w:tcPr>
          <w:p w14:paraId="4796D3E2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(1:1000)</w:t>
            </w:r>
          </w:p>
        </w:tc>
      </w:tr>
      <w:tr w:rsidR="006D3311" w14:paraId="39B90582" w14:textId="77777777">
        <w:tc>
          <w:tcPr>
            <w:tcW w:w="1892" w:type="dxa"/>
          </w:tcPr>
          <w:p w14:paraId="66D0D1DC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740FC641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Anti-PSD95</w:t>
            </w:r>
          </w:p>
          <w:p w14:paraId="1C3591F8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(Rabbit polyclonal)</w:t>
            </w:r>
          </w:p>
        </w:tc>
        <w:tc>
          <w:tcPr>
            <w:tcW w:w="1223" w:type="dxa"/>
          </w:tcPr>
          <w:p w14:paraId="4E2D8F5D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44E1CC6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51-6900,</w:t>
            </w:r>
          </w:p>
          <w:p w14:paraId="256C9C8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AB_2533914</w:t>
            </w:r>
          </w:p>
        </w:tc>
        <w:tc>
          <w:tcPr>
            <w:tcW w:w="1509" w:type="dxa"/>
          </w:tcPr>
          <w:p w14:paraId="52BD0D6E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(1:1000)</w:t>
            </w:r>
          </w:p>
        </w:tc>
      </w:tr>
      <w:tr w:rsidR="006D3311" w14:paraId="119DA480" w14:textId="77777777">
        <w:tc>
          <w:tcPr>
            <w:tcW w:w="1892" w:type="dxa"/>
          </w:tcPr>
          <w:p w14:paraId="0A15302F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69E63A6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Anti-Phospho-Tau (AT8) (Mouse Monoclonal)</w:t>
            </w:r>
          </w:p>
        </w:tc>
        <w:tc>
          <w:tcPr>
            <w:tcW w:w="1223" w:type="dxa"/>
          </w:tcPr>
          <w:p w14:paraId="405AD476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77958D4D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MN1020,</w:t>
            </w:r>
          </w:p>
          <w:p w14:paraId="3F5ACC6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AB_223647</w:t>
            </w:r>
          </w:p>
        </w:tc>
        <w:tc>
          <w:tcPr>
            <w:tcW w:w="1509" w:type="dxa"/>
          </w:tcPr>
          <w:p w14:paraId="195FF744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(1:100)</w:t>
            </w:r>
          </w:p>
        </w:tc>
      </w:tr>
      <w:tr w:rsidR="006D3311" w14:paraId="2B3C6C14" w14:textId="77777777">
        <w:tc>
          <w:tcPr>
            <w:tcW w:w="1892" w:type="dxa"/>
          </w:tcPr>
          <w:p w14:paraId="67BC903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Primary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47F4DC3A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gramStart"/>
            <w:r>
              <w:rPr>
                <w:color w:val="000000" w:themeColor="text1"/>
                <w:sz w:val="16"/>
                <w:szCs w:val="16"/>
                <w:lang w:bidi="ar"/>
              </w:rPr>
              <w:t>Anti-β-Amyloid</w:t>
            </w:r>
            <w:proofErr w:type="gramEnd"/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(6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e10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)</w:t>
            </w:r>
          </w:p>
          <w:p w14:paraId="17B185E6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(Mouse Monoclonal)</w:t>
            </w:r>
          </w:p>
        </w:tc>
        <w:tc>
          <w:tcPr>
            <w:tcW w:w="1223" w:type="dxa"/>
          </w:tcPr>
          <w:p w14:paraId="106A8074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Biolegend</w:t>
            </w:r>
            <w:proofErr w:type="spellEnd"/>
          </w:p>
        </w:tc>
        <w:tc>
          <w:tcPr>
            <w:tcW w:w="2259" w:type="dxa"/>
          </w:tcPr>
          <w:p w14:paraId="60CEA8F2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803001,</w:t>
            </w:r>
          </w:p>
          <w:p w14:paraId="73343EB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AB_2564653</w:t>
            </w:r>
          </w:p>
        </w:tc>
        <w:tc>
          <w:tcPr>
            <w:tcW w:w="1509" w:type="dxa"/>
          </w:tcPr>
          <w:p w14:paraId="365663B8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(1:100)</w:t>
            </w:r>
          </w:p>
        </w:tc>
      </w:tr>
      <w:tr w:rsidR="006D3311" w14:paraId="3E030326" w14:textId="77777777">
        <w:tc>
          <w:tcPr>
            <w:tcW w:w="1892" w:type="dxa"/>
          </w:tcPr>
          <w:p w14:paraId="480AF3C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Secondary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6736580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Goat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anti-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R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abbit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IgG,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 xml:space="preserve">Alexa </w:t>
            </w: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Fluor</w:t>
            </w:r>
            <w:r>
              <w:rPr>
                <w:color w:val="000000" w:themeColor="text1"/>
                <w:sz w:val="16"/>
                <w:szCs w:val="16"/>
                <w:vertAlign w:val="superscript"/>
                <w:lang w:bidi="ar"/>
              </w:rPr>
              <w:t>TM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594</w:t>
            </w:r>
          </w:p>
        </w:tc>
        <w:tc>
          <w:tcPr>
            <w:tcW w:w="1223" w:type="dxa"/>
          </w:tcPr>
          <w:p w14:paraId="2ADBFCB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547B52E5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Cat#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A-11012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,</w:t>
            </w:r>
          </w:p>
          <w:p w14:paraId="1A28078A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AB_25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34079</w:t>
            </w:r>
          </w:p>
        </w:tc>
        <w:tc>
          <w:tcPr>
            <w:tcW w:w="1509" w:type="dxa"/>
          </w:tcPr>
          <w:p w14:paraId="0CB605A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0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0)</w:t>
            </w:r>
          </w:p>
        </w:tc>
      </w:tr>
      <w:tr w:rsidR="006D3311" w14:paraId="5B880302" w14:textId="77777777">
        <w:tc>
          <w:tcPr>
            <w:tcW w:w="1892" w:type="dxa"/>
          </w:tcPr>
          <w:p w14:paraId="149CA6D8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Secondary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58B95E5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Goat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anti-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R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abbit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IgG,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 xml:space="preserve">Alexa </w:t>
            </w: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Fluor</w:t>
            </w:r>
            <w:r>
              <w:rPr>
                <w:color w:val="000000" w:themeColor="text1"/>
                <w:sz w:val="16"/>
                <w:szCs w:val="16"/>
                <w:vertAlign w:val="superscript"/>
                <w:lang w:bidi="ar"/>
              </w:rPr>
              <w:t>TM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488</w:t>
            </w:r>
          </w:p>
        </w:tc>
        <w:tc>
          <w:tcPr>
            <w:tcW w:w="1223" w:type="dxa"/>
          </w:tcPr>
          <w:p w14:paraId="5A663B4D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1EFDDC2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Cat#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A-11008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,</w:t>
            </w:r>
          </w:p>
          <w:p w14:paraId="0BF49712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143165</w:t>
            </w:r>
          </w:p>
        </w:tc>
        <w:tc>
          <w:tcPr>
            <w:tcW w:w="1509" w:type="dxa"/>
          </w:tcPr>
          <w:p w14:paraId="41545685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0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0)</w:t>
            </w:r>
          </w:p>
        </w:tc>
      </w:tr>
      <w:tr w:rsidR="006D3311" w14:paraId="016CA7FF" w14:textId="77777777">
        <w:tc>
          <w:tcPr>
            <w:tcW w:w="1892" w:type="dxa"/>
          </w:tcPr>
          <w:p w14:paraId="0BE843A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Secondary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68778AD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Donkey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anti-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R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t IgG,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 xml:space="preserve">Alexa </w:t>
            </w: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Fluor</w:t>
            </w:r>
            <w:r>
              <w:rPr>
                <w:color w:val="000000" w:themeColor="text1"/>
                <w:sz w:val="16"/>
                <w:szCs w:val="16"/>
                <w:vertAlign w:val="superscript"/>
                <w:lang w:bidi="ar"/>
              </w:rPr>
              <w:t>TM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594</w:t>
            </w:r>
          </w:p>
        </w:tc>
        <w:tc>
          <w:tcPr>
            <w:tcW w:w="1223" w:type="dxa"/>
          </w:tcPr>
          <w:p w14:paraId="4D1771DD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177817DC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 xml:space="preserve">Cat#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A-21209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,</w:t>
            </w:r>
          </w:p>
          <w:p w14:paraId="75380DF6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 AB_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2535795</w:t>
            </w:r>
          </w:p>
        </w:tc>
        <w:tc>
          <w:tcPr>
            <w:tcW w:w="1509" w:type="dxa"/>
          </w:tcPr>
          <w:p w14:paraId="027C9BA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IF (1:10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0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0)</w:t>
            </w:r>
          </w:p>
        </w:tc>
      </w:tr>
      <w:tr w:rsidR="006D3311" w14:paraId="5EAC55AD" w14:textId="77777777">
        <w:tc>
          <w:tcPr>
            <w:tcW w:w="1892" w:type="dxa"/>
          </w:tcPr>
          <w:p w14:paraId="40758FF2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Secondary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Antibody</w:t>
            </w:r>
          </w:p>
        </w:tc>
        <w:tc>
          <w:tcPr>
            <w:tcW w:w="1988" w:type="dxa"/>
          </w:tcPr>
          <w:p w14:paraId="79200B20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Donkey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anti-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Mouse IgG,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lastRenderedPageBreak/>
              <w:t xml:space="preserve">Alexa </w:t>
            </w: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Fluor</w:t>
            </w:r>
            <w:r>
              <w:rPr>
                <w:color w:val="000000" w:themeColor="text1"/>
                <w:sz w:val="16"/>
                <w:szCs w:val="16"/>
                <w:vertAlign w:val="superscript"/>
                <w:lang w:bidi="ar"/>
              </w:rPr>
              <w:t>TM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647</w:t>
            </w:r>
          </w:p>
        </w:tc>
        <w:tc>
          <w:tcPr>
            <w:tcW w:w="1223" w:type="dxa"/>
          </w:tcPr>
          <w:p w14:paraId="5D57BE0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lastRenderedPageBreak/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</w:t>
            </w:r>
            <w:r>
              <w:rPr>
                <w:color w:val="000000" w:themeColor="text1"/>
                <w:sz w:val="16"/>
                <w:szCs w:val="16"/>
                <w:lang w:bidi="ar"/>
              </w:rPr>
              <w:lastRenderedPageBreak/>
              <w:t>Scientific</w:t>
            </w:r>
          </w:p>
        </w:tc>
        <w:tc>
          <w:tcPr>
            <w:tcW w:w="2259" w:type="dxa"/>
          </w:tcPr>
          <w:p w14:paraId="0A216ECE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lastRenderedPageBreak/>
              <w:t xml:space="preserve">Cat# 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A-31571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,</w:t>
            </w:r>
          </w:p>
          <w:p w14:paraId="3FA49606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lastRenderedPageBreak/>
              <w:t>RRID: AB_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162542</w:t>
            </w:r>
          </w:p>
        </w:tc>
        <w:tc>
          <w:tcPr>
            <w:tcW w:w="1509" w:type="dxa"/>
          </w:tcPr>
          <w:p w14:paraId="281C3F12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lastRenderedPageBreak/>
              <w:t>IF (1:10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0</w:t>
            </w:r>
            <w:r>
              <w:rPr>
                <w:color w:val="000000" w:themeColor="text1"/>
                <w:sz w:val="16"/>
                <w:szCs w:val="16"/>
                <w:lang w:bidi="ar"/>
              </w:rPr>
              <w:t>0)</w:t>
            </w:r>
          </w:p>
        </w:tc>
      </w:tr>
      <w:tr w:rsidR="006D3311" w14:paraId="45C043BD" w14:textId="77777777">
        <w:tc>
          <w:tcPr>
            <w:tcW w:w="1892" w:type="dxa"/>
          </w:tcPr>
          <w:p w14:paraId="145FBA46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RNAscope</w:t>
            </w:r>
            <w:proofErr w:type="spell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>™ Probe</w:t>
            </w:r>
          </w:p>
        </w:tc>
        <w:tc>
          <w:tcPr>
            <w:tcW w:w="1988" w:type="dxa"/>
          </w:tcPr>
          <w:p w14:paraId="3779BC8A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Mm-Gad1-C3</w:t>
            </w:r>
          </w:p>
        </w:tc>
        <w:tc>
          <w:tcPr>
            <w:tcW w:w="1223" w:type="dxa"/>
          </w:tcPr>
          <w:p w14:paraId="5442BAF2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ACDBio</w:t>
            </w:r>
            <w:proofErr w:type="spellEnd"/>
          </w:p>
        </w:tc>
        <w:tc>
          <w:tcPr>
            <w:tcW w:w="2259" w:type="dxa"/>
          </w:tcPr>
          <w:p w14:paraId="1F0AB45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400951-C3</w:t>
            </w:r>
          </w:p>
        </w:tc>
        <w:tc>
          <w:tcPr>
            <w:tcW w:w="1509" w:type="dxa"/>
          </w:tcPr>
          <w:p w14:paraId="78B4A8E5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56AF0CB0" w14:textId="77777777">
        <w:tc>
          <w:tcPr>
            <w:tcW w:w="1892" w:type="dxa"/>
          </w:tcPr>
          <w:p w14:paraId="7BF38EE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RNAscope</w:t>
            </w:r>
            <w:proofErr w:type="spell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>™ Probe</w:t>
            </w:r>
          </w:p>
        </w:tc>
        <w:tc>
          <w:tcPr>
            <w:tcW w:w="1988" w:type="dxa"/>
          </w:tcPr>
          <w:p w14:paraId="49BD838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Mm-Slc17a7-O2</w:t>
            </w:r>
          </w:p>
        </w:tc>
        <w:tc>
          <w:tcPr>
            <w:tcW w:w="1223" w:type="dxa"/>
          </w:tcPr>
          <w:p w14:paraId="066B2BE9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ACDBio</w:t>
            </w:r>
            <w:proofErr w:type="spellEnd"/>
          </w:p>
        </w:tc>
        <w:tc>
          <w:tcPr>
            <w:tcW w:w="2259" w:type="dxa"/>
          </w:tcPr>
          <w:p w14:paraId="58802BA9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Cat# 501101</w:t>
            </w:r>
          </w:p>
        </w:tc>
        <w:tc>
          <w:tcPr>
            <w:tcW w:w="1509" w:type="dxa"/>
          </w:tcPr>
          <w:p w14:paraId="4817DE11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1E7D361B" w14:textId="77777777">
        <w:tc>
          <w:tcPr>
            <w:tcW w:w="1892" w:type="dxa"/>
          </w:tcPr>
          <w:p w14:paraId="1486A5F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Chemical compound, drug</w:t>
            </w:r>
          </w:p>
        </w:tc>
        <w:tc>
          <w:tcPr>
            <w:tcW w:w="1988" w:type="dxa"/>
          </w:tcPr>
          <w:p w14:paraId="0C99A909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CCK-4</w:t>
            </w:r>
          </w:p>
        </w:tc>
        <w:tc>
          <w:tcPr>
            <w:tcW w:w="1223" w:type="dxa"/>
          </w:tcPr>
          <w:p w14:paraId="7DF66980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Abcam</w:t>
            </w:r>
          </w:p>
        </w:tc>
        <w:tc>
          <w:tcPr>
            <w:tcW w:w="2259" w:type="dxa"/>
          </w:tcPr>
          <w:p w14:paraId="713A4C48" w14:textId="77777777" w:rsidR="006D3311" w:rsidRDefault="00000000">
            <w:pPr>
              <w:widowControl/>
              <w:jc w:val="left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  <w:t>Cat# ab141328</w:t>
            </w:r>
          </w:p>
        </w:tc>
        <w:tc>
          <w:tcPr>
            <w:tcW w:w="1509" w:type="dxa"/>
          </w:tcPr>
          <w:p w14:paraId="648D5EDD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4F152AF2" w14:textId="77777777">
        <w:tc>
          <w:tcPr>
            <w:tcW w:w="1892" w:type="dxa"/>
          </w:tcPr>
          <w:p w14:paraId="449159EA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Chemical compound, drug</w:t>
            </w:r>
          </w:p>
        </w:tc>
        <w:tc>
          <w:tcPr>
            <w:tcW w:w="1988" w:type="dxa"/>
          </w:tcPr>
          <w:p w14:paraId="1733310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HT-267</w:t>
            </w:r>
          </w:p>
        </w:tc>
        <w:tc>
          <w:tcPr>
            <w:tcW w:w="1223" w:type="dxa"/>
          </w:tcPr>
          <w:p w14:paraId="21EC131D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bidi="ar"/>
              </w:rPr>
              <w:t>Self-developed</w:t>
            </w:r>
          </w:p>
        </w:tc>
        <w:tc>
          <w:tcPr>
            <w:tcW w:w="2259" w:type="dxa"/>
          </w:tcPr>
          <w:p w14:paraId="78A5FCE6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  <w:tc>
          <w:tcPr>
            <w:tcW w:w="1509" w:type="dxa"/>
          </w:tcPr>
          <w:p w14:paraId="12E3FAB2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35DA6F36" w14:textId="77777777">
        <w:tc>
          <w:tcPr>
            <w:tcW w:w="1892" w:type="dxa"/>
          </w:tcPr>
          <w:p w14:paraId="7A1D6D29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Reagent Kit</w:t>
            </w:r>
          </w:p>
        </w:tc>
        <w:tc>
          <w:tcPr>
            <w:tcW w:w="1988" w:type="dxa"/>
          </w:tcPr>
          <w:p w14:paraId="55F1C9A3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PrimeScript</w:t>
            </w:r>
            <w:r>
              <w:rPr>
                <w:rFonts w:hint="eastAsia"/>
                <w:color w:val="000000" w:themeColor="text1"/>
                <w:sz w:val="16"/>
                <w:szCs w:val="16"/>
                <w:vertAlign w:val="superscript"/>
                <w:lang w:eastAsia="zh-CN" w:bidi="ar"/>
              </w:rPr>
              <w:t>TM</w:t>
            </w:r>
            <w:proofErr w:type="spellEnd"/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 RT Reagent Kit</w:t>
            </w:r>
          </w:p>
        </w:tc>
        <w:tc>
          <w:tcPr>
            <w:tcW w:w="1223" w:type="dxa"/>
          </w:tcPr>
          <w:p w14:paraId="37D142EA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Takara Bio</w:t>
            </w:r>
          </w:p>
        </w:tc>
        <w:tc>
          <w:tcPr>
            <w:tcW w:w="2259" w:type="dxa"/>
          </w:tcPr>
          <w:p w14:paraId="7200D688" w14:textId="77777777" w:rsidR="006D3311" w:rsidRDefault="00000000">
            <w:pPr>
              <w:widowControl/>
              <w:jc w:val="left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  <w:t>Cat#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</w:t>
            </w:r>
            <w:r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  <w:t>RR037B</w:t>
            </w:r>
          </w:p>
        </w:tc>
        <w:tc>
          <w:tcPr>
            <w:tcW w:w="1509" w:type="dxa"/>
          </w:tcPr>
          <w:p w14:paraId="25332335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05E815AC" w14:textId="77777777">
        <w:tc>
          <w:tcPr>
            <w:tcW w:w="1892" w:type="dxa"/>
          </w:tcPr>
          <w:p w14:paraId="17E944FC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Reagent Kit</w:t>
            </w:r>
          </w:p>
        </w:tc>
        <w:tc>
          <w:tcPr>
            <w:tcW w:w="1988" w:type="dxa"/>
          </w:tcPr>
          <w:p w14:paraId="6B082D45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="SimSun"/>
                <w:color w:val="000000" w:themeColor="text1"/>
                <w:kern w:val="44"/>
                <w:sz w:val="16"/>
                <w:szCs w:val="16"/>
                <w:lang w:eastAsia="zh-CN" w:bidi="ar"/>
              </w:rPr>
            </w:pPr>
            <w:proofErr w:type="spellStart"/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RNAscope</w:t>
            </w:r>
            <w:proofErr w:type="spellEnd"/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® Multiplex Fluorescent Reagent Kit v2</w:t>
            </w:r>
          </w:p>
        </w:tc>
        <w:tc>
          <w:tcPr>
            <w:tcW w:w="1223" w:type="dxa"/>
          </w:tcPr>
          <w:p w14:paraId="33BD92F9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ACD Bio</w:t>
            </w:r>
          </w:p>
        </w:tc>
        <w:tc>
          <w:tcPr>
            <w:tcW w:w="2259" w:type="dxa"/>
          </w:tcPr>
          <w:p w14:paraId="0ABC2B4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  <w:t>Cat#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323110</w:t>
            </w:r>
          </w:p>
        </w:tc>
        <w:tc>
          <w:tcPr>
            <w:tcW w:w="1509" w:type="dxa"/>
          </w:tcPr>
          <w:p w14:paraId="6FD628CC" w14:textId="77777777" w:rsidR="006D3311" w:rsidRDefault="00000000">
            <w:pPr>
              <w:pStyle w:val="NormalWeb"/>
              <w:widowControl/>
              <w:rPr>
                <w:rFonts w:ascii="Times New Roman Bold" w:hAnsi="Times New Roman Bold" w:cs="Times New Roman Bold"/>
                <w:b/>
                <w:bCs/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3596D632" w14:textId="77777777">
        <w:tc>
          <w:tcPr>
            <w:tcW w:w="1892" w:type="dxa"/>
          </w:tcPr>
          <w:p w14:paraId="339408D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Genetic reagent (Mus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musculus)</w:t>
            </w:r>
          </w:p>
        </w:tc>
        <w:tc>
          <w:tcPr>
            <w:tcW w:w="1988" w:type="dxa"/>
          </w:tcPr>
          <w:p w14:paraId="51238056" w14:textId="77777777" w:rsidR="006D3311" w:rsidRDefault="00000000">
            <w:pPr>
              <w:widowControl/>
              <w:jc w:val="left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Mouse: 129S1</w:t>
            </w:r>
          </w:p>
          <w:p w14:paraId="59FF3C7B" w14:textId="77777777" w:rsidR="006D3311" w:rsidRDefault="006D3311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</w:p>
        </w:tc>
        <w:tc>
          <w:tcPr>
            <w:tcW w:w="1223" w:type="dxa"/>
          </w:tcPr>
          <w:p w14:paraId="2FC02156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Jackson Laboratories</w:t>
            </w:r>
          </w:p>
        </w:tc>
        <w:tc>
          <w:tcPr>
            <w:tcW w:w="2259" w:type="dxa"/>
          </w:tcPr>
          <w:p w14:paraId="78CBB43C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gram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Strain:#</w:t>
            </w:r>
            <w:proofErr w:type="gram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>002448</w:t>
            </w:r>
          </w:p>
          <w:p w14:paraId="39CE5364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proofErr w:type="gram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RRID:IMSR</w:t>
            </w:r>
            <w:proofErr w:type="gram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>_JAX:002448</w:t>
            </w:r>
          </w:p>
        </w:tc>
        <w:tc>
          <w:tcPr>
            <w:tcW w:w="1509" w:type="dxa"/>
          </w:tcPr>
          <w:p w14:paraId="3B61E4E4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57A76DF8" w14:textId="77777777">
        <w:tc>
          <w:tcPr>
            <w:tcW w:w="1892" w:type="dxa"/>
          </w:tcPr>
          <w:p w14:paraId="76A40E0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eastAsia="zh-CN" w:bidi="ar"/>
              </w:rPr>
              <w:t>Genetic reagent (Mus</w:t>
            </w: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 xml:space="preserve"> </w:t>
            </w:r>
            <w:r>
              <w:rPr>
                <w:color w:val="000000" w:themeColor="text1"/>
                <w:sz w:val="16"/>
                <w:szCs w:val="16"/>
                <w:lang w:eastAsia="zh-CN" w:bidi="ar"/>
              </w:rPr>
              <w:t>musculus)</w:t>
            </w:r>
          </w:p>
        </w:tc>
        <w:tc>
          <w:tcPr>
            <w:tcW w:w="1988" w:type="dxa"/>
          </w:tcPr>
          <w:p w14:paraId="0EBC43BF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Mouse: 3xTg-AD</w:t>
            </w:r>
          </w:p>
        </w:tc>
        <w:tc>
          <w:tcPr>
            <w:tcW w:w="1223" w:type="dxa"/>
          </w:tcPr>
          <w:p w14:paraId="677FB83F" w14:textId="77777777" w:rsidR="006D3311" w:rsidRDefault="00000000">
            <w:pPr>
              <w:pStyle w:val="NormalWeb"/>
              <w:widowControl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Jackson Laboratories</w:t>
            </w:r>
          </w:p>
        </w:tc>
        <w:tc>
          <w:tcPr>
            <w:tcW w:w="2259" w:type="dxa"/>
          </w:tcPr>
          <w:p w14:paraId="29CC3C21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proofErr w:type="gram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Strain:#</w:t>
            </w:r>
            <w:proofErr w:type="gram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>034830-JAX</w:t>
            </w:r>
          </w:p>
          <w:p w14:paraId="1B2B7F6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rFonts w:eastAsiaTheme="minorEastAsia"/>
                <w:color w:val="000000" w:themeColor="text1"/>
                <w:sz w:val="16"/>
                <w:szCs w:val="16"/>
                <w:lang w:eastAsia="zh-CN" w:bidi="ar"/>
              </w:rPr>
            </w:pPr>
            <w:proofErr w:type="gramStart"/>
            <w:r>
              <w:rPr>
                <w:color w:val="000000" w:themeColor="text1"/>
                <w:sz w:val="16"/>
                <w:szCs w:val="16"/>
                <w:lang w:eastAsia="zh-CN" w:bidi="ar"/>
              </w:rPr>
              <w:t>RRID:MMRRC</w:t>
            </w:r>
            <w:proofErr w:type="gramEnd"/>
            <w:r>
              <w:rPr>
                <w:color w:val="000000" w:themeColor="text1"/>
                <w:sz w:val="16"/>
                <w:szCs w:val="16"/>
                <w:lang w:eastAsia="zh-CN" w:bidi="ar"/>
              </w:rPr>
              <w:t>_034830-JAX</w:t>
            </w:r>
          </w:p>
        </w:tc>
        <w:tc>
          <w:tcPr>
            <w:tcW w:w="1509" w:type="dxa"/>
          </w:tcPr>
          <w:p w14:paraId="6EC35BD8" w14:textId="77777777" w:rsidR="006D3311" w:rsidRDefault="00000000">
            <w:pPr>
              <w:pStyle w:val="NormalWeb"/>
              <w:widowControl/>
              <w:rPr>
                <w:rFonts w:ascii="Times New Roman Bold" w:eastAsiaTheme="minorEastAsia" w:hAnsi="Times New Roman Bold" w:cs="Times New Roman Bold"/>
                <w:b/>
                <w:bCs/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035DC192" w14:textId="77777777">
        <w:tc>
          <w:tcPr>
            <w:tcW w:w="1892" w:type="dxa"/>
          </w:tcPr>
          <w:p w14:paraId="4D32B0B7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Software</w:t>
            </w:r>
          </w:p>
        </w:tc>
        <w:tc>
          <w:tcPr>
            <w:tcW w:w="1988" w:type="dxa"/>
          </w:tcPr>
          <w:p w14:paraId="2CB22C5B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ImageJ</w:t>
            </w:r>
          </w:p>
        </w:tc>
        <w:tc>
          <w:tcPr>
            <w:tcW w:w="1223" w:type="dxa"/>
          </w:tcPr>
          <w:p w14:paraId="4A5C6AA9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National Institutes of Health</w:t>
            </w:r>
          </w:p>
        </w:tc>
        <w:tc>
          <w:tcPr>
            <w:tcW w:w="2259" w:type="dxa"/>
          </w:tcPr>
          <w:p w14:paraId="5674B9CC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2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https://imagej.net/ij/</w:t>
              </w:r>
            </w:hyperlink>
          </w:p>
        </w:tc>
        <w:tc>
          <w:tcPr>
            <w:tcW w:w="1509" w:type="dxa"/>
          </w:tcPr>
          <w:p w14:paraId="5708B03C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4A94948B" w14:textId="77777777">
        <w:tc>
          <w:tcPr>
            <w:tcW w:w="1892" w:type="dxa"/>
          </w:tcPr>
          <w:p w14:paraId="3ED7B45D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16"/>
                <w:szCs w:val="16"/>
              </w:rPr>
              <w:t>Software</w:t>
            </w:r>
          </w:p>
        </w:tc>
        <w:tc>
          <w:tcPr>
            <w:tcW w:w="1988" w:type="dxa"/>
          </w:tcPr>
          <w:p w14:paraId="742F21B5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Photoshop CC</w:t>
            </w:r>
          </w:p>
        </w:tc>
        <w:tc>
          <w:tcPr>
            <w:tcW w:w="1223" w:type="dxa"/>
          </w:tcPr>
          <w:p w14:paraId="4F2D195C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16"/>
                <w:szCs w:val="16"/>
              </w:rPr>
              <w:t>Adobe</w:t>
            </w:r>
          </w:p>
        </w:tc>
        <w:tc>
          <w:tcPr>
            <w:tcW w:w="2259" w:type="dxa"/>
          </w:tcPr>
          <w:p w14:paraId="1032BAF6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3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https://www.adobe.com/products/photoshop.html</w:t>
              </w:r>
            </w:hyperlink>
          </w:p>
        </w:tc>
        <w:tc>
          <w:tcPr>
            <w:tcW w:w="1509" w:type="dxa"/>
          </w:tcPr>
          <w:p w14:paraId="053B2F5C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02C47F49" w14:textId="77777777">
        <w:tc>
          <w:tcPr>
            <w:tcW w:w="1892" w:type="dxa"/>
          </w:tcPr>
          <w:p w14:paraId="41137435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Software</w:t>
            </w:r>
          </w:p>
        </w:tc>
        <w:tc>
          <w:tcPr>
            <w:tcW w:w="1988" w:type="dxa"/>
          </w:tcPr>
          <w:p w14:paraId="225DFBAF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MED64 Mobius Software</w:t>
            </w:r>
          </w:p>
        </w:tc>
        <w:tc>
          <w:tcPr>
            <w:tcW w:w="1223" w:type="dxa"/>
          </w:tcPr>
          <w:p w14:paraId="0A8D27AB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Alpha MED Scientific Inc</w:t>
            </w:r>
          </w:p>
        </w:tc>
        <w:tc>
          <w:tcPr>
            <w:tcW w:w="2259" w:type="dxa"/>
          </w:tcPr>
          <w:p w14:paraId="64377C59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4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https://www.med64.com/products/med64-mobius-software/</w:t>
              </w:r>
            </w:hyperlink>
          </w:p>
        </w:tc>
        <w:tc>
          <w:tcPr>
            <w:tcW w:w="1509" w:type="dxa"/>
          </w:tcPr>
          <w:p w14:paraId="3FAA4922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47219DAE" w14:textId="77777777">
        <w:tc>
          <w:tcPr>
            <w:tcW w:w="1892" w:type="dxa"/>
          </w:tcPr>
          <w:p w14:paraId="4753D681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Software</w:t>
            </w:r>
          </w:p>
        </w:tc>
        <w:tc>
          <w:tcPr>
            <w:tcW w:w="1988" w:type="dxa"/>
          </w:tcPr>
          <w:p w14:paraId="7658FB8A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SMART v3.0</w:t>
            </w:r>
          </w:p>
        </w:tc>
        <w:tc>
          <w:tcPr>
            <w:tcW w:w="1223" w:type="dxa"/>
          </w:tcPr>
          <w:p w14:paraId="4EB6C475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Harvard Apparatus</w:t>
            </w:r>
          </w:p>
        </w:tc>
        <w:tc>
          <w:tcPr>
            <w:tcW w:w="2259" w:type="dxa"/>
          </w:tcPr>
          <w:p w14:paraId="549BA8ED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5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https://www.panlab.com/en/products/smart-video-tracking-software-panlab</w:t>
              </w:r>
            </w:hyperlink>
          </w:p>
          <w:p w14:paraId="72AC5F91" w14:textId="77777777" w:rsidR="006D3311" w:rsidRDefault="006D3311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</w:p>
        </w:tc>
        <w:tc>
          <w:tcPr>
            <w:tcW w:w="1509" w:type="dxa"/>
          </w:tcPr>
          <w:p w14:paraId="59DB24DA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6A7223E7" w14:textId="77777777">
        <w:tc>
          <w:tcPr>
            <w:tcW w:w="1892" w:type="dxa"/>
          </w:tcPr>
          <w:p w14:paraId="6FAAF7EC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Software</w:t>
            </w:r>
          </w:p>
        </w:tc>
        <w:tc>
          <w:tcPr>
            <w:tcW w:w="1988" w:type="dxa"/>
          </w:tcPr>
          <w:p w14:paraId="0CF5FF2A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Prism</w:t>
            </w:r>
          </w:p>
        </w:tc>
        <w:tc>
          <w:tcPr>
            <w:tcW w:w="1223" w:type="dxa"/>
          </w:tcPr>
          <w:p w14:paraId="544AAD6C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GraphPad Software</w:t>
            </w:r>
          </w:p>
        </w:tc>
        <w:tc>
          <w:tcPr>
            <w:tcW w:w="2259" w:type="dxa"/>
          </w:tcPr>
          <w:p w14:paraId="4FEBE6CB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6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https://www.graphpad.com/features</w:t>
              </w:r>
            </w:hyperlink>
          </w:p>
        </w:tc>
        <w:tc>
          <w:tcPr>
            <w:tcW w:w="1509" w:type="dxa"/>
          </w:tcPr>
          <w:p w14:paraId="2801DC6E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0AE1F188" w14:textId="77777777">
        <w:tc>
          <w:tcPr>
            <w:tcW w:w="1892" w:type="dxa"/>
          </w:tcPr>
          <w:p w14:paraId="37D83AB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Software</w:t>
            </w:r>
          </w:p>
        </w:tc>
        <w:tc>
          <w:tcPr>
            <w:tcW w:w="1988" w:type="dxa"/>
          </w:tcPr>
          <w:p w14:paraId="7D528574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MED64 Multielectrode Array System</w:t>
            </w:r>
          </w:p>
        </w:tc>
        <w:tc>
          <w:tcPr>
            <w:tcW w:w="1223" w:type="dxa"/>
          </w:tcPr>
          <w:p w14:paraId="61D6ABB3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Alpha MED Scientific Inc.</w:t>
            </w:r>
          </w:p>
        </w:tc>
        <w:tc>
          <w:tcPr>
            <w:tcW w:w="2259" w:type="dxa"/>
          </w:tcPr>
          <w:p w14:paraId="0385D5E9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7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https://www.med64.com</w:t>
              </w:r>
            </w:hyperlink>
          </w:p>
        </w:tc>
        <w:tc>
          <w:tcPr>
            <w:tcW w:w="1509" w:type="dxa"/>
          </w:tcPr>
          <w:p w14:paraId="406C03FE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  <w:tr w:rsidR="006D3311" w14:paraId="0C01941B" w14:textId="77777777">
        <w:tc>
          <w:tcPr>
            <w:tcW w:w="1892" w:type="dxa"/>
          </w:tcPr>
          <w:p w14:paraId="18FBA21C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r>
              <w:rPr>
                <w:rFonts w:hint="eastAsia"/>
                <w:color w:val="000000" w:themeColor="text1"/>
                <w:sz w:val="16"/>
                <w:szCs w:val="16"/>
                <w:lang w:eastAsia="zh-CN" w:bidi="ar"/>
              </w:rPr>
              <w:t>Software</w:t>
            </w:r>
          </w:p>
        </w:tc>
        <w:tc>
          <w:tcPr>
            <w:tcW w:w="1988" w:type="dxa"/>
          </w:tcPr>
          <w:p w14:paraId="0886CC64" w14:textId="77777777" w:rsidR="006D3311" w:rsidRDefault="00000000">
            <w:pPr>
              <w:pStyle w:val="Heading1"/>
              <w:widowControl/>
              <w:spacing w:beforeAutospacing="0" w:afterAutospacing="0" w:line="24" w:lineRule="atLeast"/>
              <w:outlineLvl w:val="0"/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QuantStudio</w:t>
            </w:r>
            <w:proofErr w:type="spellEnd"/>
            <w:r>
              <w:rPr>
                <w:rFonts w:ascii="Times New Roman" w:hAnsi="Times New Roman" w:cs="Times New Roman" w:hint="default"/>
                <w:b w:val="0"/>
                <w:bCs w:val="0"/>
                <w:color w:val="000000" w:themeColor="text1"/>
                <w:sz w:val="16"/>
                <w:szCs w:val="16"/>
              </w:rPr>
              <w:t>™ 3 Real-Time PCR System</w:t>
            </w:r>
          </w:p>
        </w:tc>
        <w:tc>
          <w:tcPr>
            <w:tcW w:w="1223" w:type="dxa"/>
          </w:tcPr>
          <w:p w14:paraId="365BBEFE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  <w:lang w:bidi="ar"/>
              </w:rPr>
              <w:t>Thermo</w:t>
            </w:r>
            <w:proofErr w:type="spellEnd"/>
            <w:r>
              <w:rPr>
                <w:color w:val="000000" w:themeColor="text1"/>
                <w:sz w:val="16"/>
                <w:szCs w:val="16"/>
                <w:lang w:bidi="ar"/>
              </w:rPr>
              <w:t xml:space="preserve"> Fisher Scientific</w:t>
            </w:r>
          </w:p>
        </w:tc>
        <w:tc>
          <w:tcPr>
            <w:tcW w:w="2259" w:type="dxa"/>
          </w:tcPr>
          <w:p w14:paraId="78BAE59F" w14:textId="77777777" w:rsidR="006D3311" w:rsidRDefault="00000000">
            <w:pPr>
              <w:pStyle w:val="NormalWeb"/>
              <w:widowControl/>
              <w:spacing w:beforeAutospacing="0" w:afterAutospacing="0"/>
              <w:rPr>
                <w:color w:val="000000" w:themeColor="text1"/>
                <w:sz w:val="16"/>
                <w:szCs w:val="16"/>
                <w:lang w:eastAsia="zh-CN" w:bidi="ar"/>
              </w:rPr>
            </w:pPr>
            <w:hyperlink r:id="rId18" w:history="1">
              <w:r>
                <w:rPr>
                  <w:rStyle w:val="Hyperlink"/>
                  <w:sz w:val="16"/>
                  <w:szCs w:val="16"/>
                  <w:lang w:eastAsia="zh-CN" w:bidi="ar"/>
                </w:rPr>
                <w:t>https://www.thermofisher.com/order/catalog/product/A28567</w:t>
              </w:r>
            </w:hyperlink>
          </w:p>
        </w:tc>
        <w:tc>
          <w:tcPr>
            <w:tcW w:w="1509" w:type="dxa"/>
          </w:tcPr>
          <w:p w14:paraId="3507EC50" w14:textId="77777777" w:rsidR="006D3311" w:rsidRDefault="00000000">
            <w:pPr>
              <w:pStyle w:val="NormalWeb"/>
              <w:widowControl/>
              <w:rPr>
                <w:color w:val="000000" w:themeColor="text1"/>
                <w:sz w:val="16"/>
                <w:szCs w:val="16"/>
                <w:lang w:bidi="ar"/>
              </w:rPr>
            </w:pPr>
            <w:r>
              <w:rPr>
                <w:color w:val="000000" w:themeColor="text1"/>
                <w:sz w:val="16"/>
                <w:szCs w:val="16"/>
                <w:lang w:bidi="ar"/>
              </w:rPr>
              <w:t>N/A</w:t>
            </w:r>
          </w:p>
        </w:tc>
      </w:tr>
    </w:tbl>
    <w:p w14:paraId="339B7786" w14:textId="77777777" w:rsidR="006D3311" w:rsidRDefault="006D3311">
      <w:pPr>
        <w:jc w:val="both"/>
      </w:pPr>
    </w:p>
    <w:sectPr w:rsidR="006D331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 Bold">
    <w:panose1 w:val="02020803070505020304"/>
    <w:charset w:val="00"/>
    <w:family w:val="auto"/>
    <w:pitch w:val="default"/>
    <w:sig w:usb0="E0000AFF" w:usb1="00007843" w:usb2="00000001" w:usb3="00000000" w:csb0="400001BF" w:csb1="DFF70000"/>
  </w:font>
  <w:font w:name="Times New Roman Regular">
    <w:altName w:val="Times New Roman"/>
    <w:charset w:val="00"/>
    <w:family w:val="auto"/>
    <w:pitch w:val="default"/>
    <w:sig w:usb0="E0000AFF" w:usb1="00007843" w:usb2="00000001" w:usb3="00000000" w:csb0="400001BF" w:csb1="DFF70000"/>
  </w:font>
  <w:font w:name="Times New Roman Italic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PingFang SC Regular">
    <w:altName w:val="Microsoft YaHei"/>
    <w:charset w:val="86"/>
    <w:family w:val="auto"/>
    <w:pitch w:val="default"/>
    <w:sig w:usb0="A00002FF" w:usb1="7ACFFDFB" w:usb2="00000017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hideSpellingErrors/>
  <w:hideGrammaticalError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xMLEwMTQzNjIwNDU3MzJT0lEKTi0uzszPAykwrAUA9b1zIiwAAAA="/>
    <w:docVar w:name="commondata" w:val="eyJoZGlkIjoiYjEwNzg4YjQ0YWU4Nzg2MGJkODAyYjg0ZTIzN2FkMGIifQ=="/>
  </w:docVars>
  <w:rsids>
    <w:rsidRoot w:val="7FFFC7FB"/>
    <w:rsid w:val="FFCFD3DF"/>
    <w:rsid w:val="FFF7712B"/>
    <w:rsid w:val="001961D2"/>
    <w:rsid w:val="006D3311"/>
    <w:rsid w:val="00EA662E"/>
    <w:rsid w:val="1B5E3211"/>
    <w:rsid w:val="36FB188A"/>
    <w:rsid w:val="3CB30327"/>
    <w:rsid w:val="3EF78ADA"/>
    <w:rsid w:val="3F7FFCDD"/>
    <w:rsid w:val="4F5C1ADF"/>
    <w:rsid w:val="4FFA4891"/>
    <w:rsid w:val="5DCCC59B"/>
    <w:rsid w:val="5FAFCD25"/>
    <w:rsid w:val="5FB55F85"/>
    <w:rsid w:val="63AA5420"/>
    <w:rsid w:val="63F4F15E"/>
    <w:rsid w:val="677AA5F0"/>
    <w:rsid w:val="6CFF9A64"/>
    <w:rsid w:val="6FF39862"/>
    <w:rsid w:val="777D68FB"/>
    <w:rsid w:val="777FF824"/>
    <w:rsid w:val="77EFE681"/>
    <w:rsid w:val="7A7A9BC0"/>
    <w:rsid w:val="7DB5839E"/>
    <w:rsid w:val="7DFF6484"/>
    <w:rsid w:val="7F3EFB2D"/>
    <w:rsid w:val="7F9F00CB"/>
    <w:rsid w:val="7FABBD29"/>
    <w:rsid w:val="7FBEE5D5"/>
    <w:rsid w:val="7FDF48C1"/>
    <w:rsid w:val="7FEC4F9B"/>
    <w:rsid w:val="7FFBDEA2"/>
    <w:rsid w:val="7FFFC7FB"/>
    <w:rsid w:val="94FFFCF6"/>
    <w:rsid w:val="AF4D567E"/>
    <w:rsid w:val="B77FAC8E"/>
    <w:rsid w:val="BBF38ADD"/>
    <w:rsid w:val="CFD7FF40"/>
    <w:rsid w:val="DDBF1246"/>
    <w:rsid w:val="DDDFBEC6"/>
    <w:rsid w:val="DDFBF8D9"/>
    <w:rsid w:val="DEA54863"/>
    <w:rsid w:val="DEFFE43E"/>
    <w:rsid w:val="E7DED282"/>
    <w:rsid w:val="E9FFCC35"/>
    <w:rsid w:val="EE3B1A59"/>
    <w:rsid w:val="F3F6ACD9"/>
    <w:rsid w:val="F5F7D855"/>
    <w:rsid w:val="F5FEE735"/>
    <w:rsid w:val="FF2B098B"/>
    <w:rsid w:val="FF65C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B8E46B4"/>
  <w15:docId w15:val="{AB6A87C3-8360-447D-936B-AFCBBB322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HK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eastAsia="MS Mincho"/>
      <w:sz w:val="24"/>
      <w:szCs w:val="24"/>
      <w:lang w:val="en-US" w:eastAsia="ja-JP"/>
    </w:rPr>
  </w:style>
  <w:style w:type="paragraph" w:styleId="Heading1">
    <w:name w:val="heading 1"/>
    <w:basedOn w:val="Normal"/>
    <w:next w:val="Normal"/>
    <w:qFormat/>
    <w:pPr>
      <w:spacing w:beforeAutospacing="1" w:afterAutospacing="1"/>
      <w:outlineLvl w:val="0"/>
    </w:pPr>
    <w:rPr>
      <w:rFonts w:ascii="SimSun" w:eastAsia="SimSun" w:hAnsi="SimSun" w:hint="eastAsia"/>
      <w:b/>
      <w:bCs/>
      <w:kern w:val="44"/>
      <w:sz w:val="48"/>
      <w:szCs w:val="48"/>
      <w:lang w:eastAsia="zh-CN"/>
    </w:rPr>
  </w:style>
  <w:style w:type="paragraph" w:styleId="Heading2">
    <w:name w:val="heading 2"/>
    <w:basedOn w:val="Normal"/>
    <w:next w:val="Normal"/>
    <w:unhideWhenUsed/>
    <w:qFormat/>
    <w:pPr>
      <w:keepNext/>
      <w:keepLines/>
      <w:spacing w:before="40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semiHidden/>
    <w:unhideWhenUsed/>
    <w:qFormat/>
    <w:pPr>
      <w:spacing w:beforeAutospacing="1" w:afterAutospacing="1"/>
      <w:outlineLvl w:val="2"/>
    </w:pPr>
    <w:rPr>
      <w:rFonts w:ascii="SimSun" w:eastAsia="SimSun" w:hAnsi="SimSun" w:hint="eastAsia"/>
      <w:b/>
      <w:bCs/>
      <w:sz w:val="27"/>
      <w:szCs w:val="27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NormalWeb">
    <w:name w:val="Normal (Web)"/>
    <w:basedOn w:val="Normal"/>
    <w:pPr>
      <w:spacing w:beforeAutospacing="1" w:afterAutospacing="1"/>
    </w:pPr>
  </w:style>
  <w:style w:type="table" w:styleId="TableGrid">
    <w:name w:val="Table Grid"/>
    <w:basedOn w:val="TableNormal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qFormat/>
    <w:rPr>
      <w:b/>
    </w:rPr>
  </w:style>
  <w:style w:type="character" w:styleId="Hyperlink">
    <w:name w:val="Hyperlink"/>
    <w:basedOn w:val="DefaultParagraphFont"/>
    <w:rPr>
      <w:color w:val="0000FF"/>
      <w:u w:val="single"/>
    </w:rPr>
  </w:style>
  <w:style w:type="paragraph" w:customStyle="1" w:styleId="Title2">
    <w:name w:val="Title2"/>
    <w:basedOn w:val="Normal"/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hyperlink" Target="https://www.adobe.com/products/photoshop.html" TargetMode="External"/><Relationship Id="rId18" Type="http://schemas.openxmlformats.org/officeDocument/2006/relationships/hyperlink" Target="https://www.thermofisher.com/order/catalog/product/A28567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hyperlink" Target="https://imagej.net/ij/" TargetMode="External"/><Relationship Id="rId17" Type="http://schemas.openxmlformats.org/officeDocument/2006/relationships/hyperlink" Target="https://www.med64.com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graphpad.com/features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hyperlink" Target="https://static-content.springer.com/esm/art:10.1038/s43587-024-00798-7/MediaObjects/43587_2024_798_MOESM3_ESM.pdf" TargetMode="External"/><Relationship Id="rId5" Type="http://schemas.openxmlformats.org/officeDocument/2006/relationships/image" Target="media/image2.tiff"/><Relationship Id="rId15" Type="http://schemas.openxmlformats.org/officeDocument/2006/relationships/hyperlink" Target="https://www.panlab.com/en/products/smart-video-tracking-software-panlab" TargetMode="External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hyperlink" Target="https://www.med64.com/products/med64-mobius-software/" TargetMode="Externa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1</Pages>
  <Words>1693</Words>
  <Characters>9656</Characters>
  <Application>Microsoft Office Word</Application>
  <DocSecurity>0</DocSecurity>
  <Lines>80</Lines>
  <Paragraphs>22</Paragraphs>
  <ScaleCrop>false</ScaleCrop>
  <Company/>
  <LinksUpToDate>false</LinksUpToDate>
  <CharactersWithSpaces>11327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小腺体</dc:creator>
  <cp:lastModifiedBy>Nan Zhang</cp:lastModifiedBy>
  <cp:revision>3</cp:revision>
  <dcterms:created xsi:type="dcterms:W3CDTF">2025-05-07T15:05:00Z</dcterms:created>
  <dcterms:modified xsi:type="dcterms:W3CDTF">2025-10-13T15:09:00Z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84BC8C7079EA59729DA1DB68C86A067B_43</vt:lpwstr>
  </property>
</Properties>
</file>