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65DFE" w14:textId="24B0B12B" w:rsidR="00981755" w:rsidRPr="00981755" w:rsidRDefault="00981755" w:rsidP="00EA62CB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98175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SUPPLEMENTAL ONLINE CONTENT</w:t>
      </w:r>
    </w:p>
    <w:p w14:paraId="0D4703EA" w14:textId="7AE15156" w:rsidR="00DB258E" w:rsidRPr="00981755" w:rsidRDefault="00DB258E" w:rsidP="00DB258E">
      <w:pPr>
        <w:spacing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98175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Genomic relationship between polycystic ovary syndrome and bipolar disorder</w:t>
      </w:r>
    </w:p>
    <w:p w14:paraId="5E35E27D" w14:textId="77777777" w:rsidR="00A076DC" w:rsidRPr="00FB3572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vertAlign w:val="superscript"/>
          <w:lang w:val="en-US"/>
        </w:rPr>
      </w:pPr>
      <w:r w:rsidRPr="00FB3572">
        <w:rPr>
          <w:rFonts w:ascii="Times New Roman" w:eastAsia="Times New Roman" w:hAnsi="Times New Roman" w:cs="Times New Roman"/>
          <w:lang w:val="en-US"/>
        </w:rPr>
        <w:t>Piotr Jaholkowski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, Markos Tesfaye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1,2,3</w:t>
      </w:r>
      <w:r w:rsidRPr="00FB3572">
        <w:rPr>
          <w:rFonts w:ascii="Times New Roman" w:eastAsia="Times New Roman" w:hAnsi="Times New Roman" w:cs="Times New Roman"/>
          <w:lang w:val="en-US"/>
        </w:rPr>
        <w:t>#, Vera Fominykh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#, Pravesh Parekh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,4</w:t>
      </w:r>
      <w:r w:rsidRPr="00FB3572">
        <w:rPr>
          <w:rFonts w:ascii="Times New Roman" w:eastAsia="Times New Roman" w:hAnsi="Times New Roman" w:cs="Times New Roman"/>
          <w:lang w:val="en-US"/>
        </w:rPr>
        <w:t>, Erik D Wiström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, Nadine Parker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, Elise Koch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, Anna E. Bauer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5,6</w:t>
      </w:r>
      <w:r w:rsidRPr="00FB3572">
        <w:rPr>
          <w:rFonts w:ascii="Times New Roman" w:eastAsia="Times New Roman" w:hAnsi="Times New Roman" w:cs="Times New Roman"/>
          <w:lang w:val="en-US"/>
        </w:rPr>
        <w:t>, Pawel Trzaskoma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7</w:t>
      </w:r>
      <w:r w:rsidRPr="00FB3572">
        <w:rPr>
          <w:rFonts w:ascii="Times New Roman" w:eastAsia="Times New Roman" w:hAnsi="Times New Roman" w:cs="Times New Roman"/>
          <w:lang w:val="en-US"/>
        </w:rPr>
        <w:t>, Jaroslav Rokicki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8,9</w:t>
      </w:r>
      <w:r w:rsidRPr="00FB3572">
        <w:rPr>
          <w:rFonts w:ascii="Times New Roman" w:eastAsia="Times New Roman" w:hAnsi="Times New Roman" w:cs="Times New Roman"/>
          <w:lang w:val="en-US"/>
        </w:rPr>
        <w:t>, Shahram Bahrami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, Zillur Rahman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, Oleksandr Frei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1,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10</w:t>
      </w:r>
      <w:r w:rsidRPr="00FB3572">
        <w:rPr>
          <w:rFonts w:ascii="Times New Roman" w:eastAsia="Times New Roman" w:hAnsi="Times New Roman" w:cs="Times New Roman"/>
          <w:lang w:val="en-US"/>
        </w:rPr>
        <w:t>, Srdjan Djurovic</w:t>
      </w:r>
      <w:r w:rsidRPr="00BA163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,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11</w:t>
      </w:r>
      <w:r w:rsidRPr="00FB3572">
        <w:rPr>
          <w:rFonts w:ascii="Times New Roman" w:eastAsia="Times New Roman" w:hAnsi="Times New Roman" w:cs="Times New Roman"/>
          <w:lang w:val="en-US"/>
        </w:rPr>
        <w:t>, Anders M. Dale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4</w:t>
      </w:r>
      <w:r w:rsidRPr="00FB3572">
        <w:rPr>
          <w:rFonts w:ascii="Times New Roman" w:eastAsia="Times New Roman" w:hAnsi="Times New Roman" w:cs="Times New Roman"/>
          <w:lang w:val="en-US"/>
        </w:rPr>
        <w:t>, Alexey A. Shadrin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1,1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2</w:t>
      </w:r>
      <w:r w:rsidRPr="00FB3572">
        <w:rPr>
          <w:rFonts w:ascii="Times New Roman" w:eastAsia="Times New Roman" w:hAnsi="Times New Roman" w:cs="Times New Roman"/>
          <w:lang w:val="en-US"/>
        </w:rPr>
        <w:t>, Kevin S. O’Connell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FB3572">
        <w:rPr>
          <w:rFonts w:ascii="Times New Roman" w:eastAsia="Times New Roman" w:hAnsi="Times New Roman" w:cs="Times New Roman"/>
          <w:lang w:val="en-US"/>
        </w:rPr>
        <w:t>, Ole A. Andreassen</w:t>
      </w:r>
      <w:r w:rsidRPr="00FB3572">
        <w:rPr>
          <w:rFonts w:ascii="Times New Roman" w:eastAsia="Times New Roman" w:hAnsi="Times New Roman" w:cs="Times New Roman"/>
          <w:vertAlign w:val="superscript"/>
          <w:lang w:val="en-US"/>
        </w:rPr>
        <w:t>1,1</w:t>
      </w:r>
      <w:r>
        <w:rPr>
          <w:rFonts w:ascii="Times New Roman" w:eastAsia="Times New Roman" w:hAnsi="Times New Roman" w:cs="Times New Roman"/>
          <w:vertAlign w:val="superscript"/>
          <w:lang w:val="en-US"/>
        </w:rPr>
        <w:t>2</w:t>
      </w:r>
    </w:p>
    <w:p w14:paraId="543EC534" w14:textId="77777777" w:rsidR="00A076DC" w:rsidRPr="00022AC5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022AC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Center for Precision Psychiatry, Division of Mental Health and Addiction, Oslo University Hospital, and Institute of Clinical </w:t>
      </w:r>
      <w:r w:rsidRPr="00022A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Medicine, University of Oslo, Oslo, Norway;</w:t>
      </w:r>
    </w:p>
    <w:p w14:paraId="07203608" w14:textId="77777777" w:rsidR="00A076DC" w:rsidRPr="00022AC5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A71E2D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2</w:t>
      </w:r>
      <w:r w:rsidRPr="00022A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Department of Psychiatry and Behavioral Sciences, SUNY Downstate Health Sciences University, Brooklyn, NY, USA. </w:t>
      </w:r>
    </w:p>
    <w:p w14:paraId="79C59816" w14:textId="77777777" w:rsidR="00A076DC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A71E2D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3</w:t>
      </w:r>
      <w:r w:rsidRPr="00022A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Institute for Genomics in Health, SUNY Downstate Health Sciences University, Brooklyn, NY, USA.</w:t>
      </w:r>
    </w:p>
    <w:p w14:paraId="2C687343" w14:textId="77777777" w:rsidR="00A076DC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E8191F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4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 </w:t>
      </w:r>
      <w:r w:rsidRPr="00E8191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J. Craig Venter Institute, La Jolla, California, USA</w:t>
      </w:r>
    </w:p>
    <w:p w14:paraId="3E1AA124" w14:textId="77777777" w:rsidR="00A076DC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 xml:space="preserve">5 </w:t>
      </w:r>
      <w:r w:rsidRPr="00022AC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Department of Psychiatry, University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of North Carolina at Chapel Hill,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NC,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>USA</w:t>
      </w:r>
    </w:p>
    <w:p w14:paraId="1EA4A6B7" w14:textId="77777777" w:rsidR="00A076DC" w:rsidRPr="00022AC5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6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Department of Molecular Genetics and Microbiology, Duke University, Durham, NC, USA</w:t>
      </w:r>
    </w:p>
    <w:p w14:paraId="2D9C7CA5" w14:textId="77777777" w:rsidR="00A076DC" w:rsidRPr="00022AC5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7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>National Institute of Arthritis and Musculoskeletal and Skin Diseases, National Institutes of Health, Bethesda, MD, USA.</w:t>
      </w:r>
    </w:p>
    <w:p w14:paraId="67668853" w14:textId="77777777" w:rsidR="00A076DC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8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>Centre of Research and Education in Forensic Psychiatry (SIFER), Oslo University Hospital, Oslo, Norway</w:t>
      </w:r>
    </w:p>
    <w:p w14:paraId="6388D5CE" w14:textId="77777777" w:rsidR="00A076DC" w:rsidRPr="00AF57AF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F57AF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9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Pr="00AF57AF">
        <w:rPr>
          <w:rFonts w:ascii="Times New Roman" w:eastAsia="Times New Roman" w:hAnsi="Times New Roman" w:cs="Times New Roman"/>
          <w:sz w:val="20"/>
          <w:szCs w:val="20"/>
          <w:lang w:val="en-US"/>
        </w:rPr>
        <w:t>Department of Electronic Systems, Vilnius Gediminas Technical University, Vilnius, Lithuania</w:t>
      </w:r>
    </w:p>
    <w:p w14:paraId="137F3121" w14:textId="77777777" w:rsidR="00A076DC" w:rsidRPr="00022AC5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10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>Center for Bioinformatics, Department of Informatics, University of Oslo, Oslo, Norway;</w:t>
      </w:r>
    </w:p>
    <w:p w14:paraId="118C8B0B" w14:textId="77777777" w:rsidR="00A076DC" w:rsidRPr="00022AC5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11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>Department of Medical Genetics, Oslo University Hospital and University of Oslo, Oslo, Norway;</w:t>
      </w:r>
    </w:p>
    <w:p w14:paraId="57BEE67B" w14:textId="77777777" w:rsidR="00A076DC" w:rsidRPr="00022AC5" w:rsidRDefault="00A076DC" w:rsidP="00A076D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22AC5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2 </w:t>
      </w:r>
      <w:r w:rsidRPr="00022AC5">
        <w:rPr>
          <w:rFonts w:ascii="Times New Roman" w:eastAsia="Times New Roman" w:hAnsi="Times New Roman" w:cs="Times New Roman"/>
          <w:sz w:val="20"/>
          <w:szCs w:val="20"/>
          <w:lang w:val="en-US"/>
        </w:rPr>
        <w:t>KG Jebsen Centre for Neurodevelopmental Disorders, University of Oslo and Oslo University Hospital, Oslo, Norway</w:t>
      </w:r>
    </w:p>
    <w:p w14:paraId="41D751AF" w14:textId="77777777" w:rsidR="00DB258E" w:rsidRPr="00981755" w:rsidRDefault="00DB258E" w:rsidP="00DB258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981755">
        <w:rPr>
          <w:rFonts w:ascii="Times New Roman" w:eastAsia="Times New Roman" w:hAnsi="Times New Roman" w:cs="Times New Roman"/>
          <w:sz w:val="18"/>
          <w:szCs w:val="18"/>
          <w:lang w:val="en-US"/>
        </w:rPr>
        <w:t># equal contribution</w:t>
      </w:r>
    </w:p>
    <w:p w14:paraId="7C657878" w14:textId="77777777" w:rsidR="00DB258E" w:rsidRPr="00981755" w:rsidRDefault="00DB258E" w:rsidP="00DB258E">
      <w:pPr>
        <w:spacing w:before="240" w:after="120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981755">
        <w:rPr>
          <w:rFonts w:ascii="Times New Roman" w:eastAsia="Times New Roman" w:hAnsi="Times New Roman" w:cs="Times New Roman"/>
          <w:sz w:val="20"/>
          <w:szCs w:val="20"/>
          <w:lang w:val="en-US"/>
        </w:rPr>
        <w:t>Corresponding Authors:</w:t>
      </w:r>
    </w:p>
    <w:p w14:paraId="5BCB81E3" w14:textId="77777777" w:rsidR="00DB258E" w:rsidRPr="00981755" w:rsidRDefault="00DB258E" w:rsidP="00DB258E">
      <w:pPr>
        <w:spacing w:before="240" w:after="120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981755">
        <w:rPr>
          <w:rFonts w:ascii="Times New Roman" w:eastAsia="Times New Roman" w:hAnsi="Times New Roman" w:cs="Times New Roman"/>
          <w:sz w:val="20"/>
          <w:szCs w:val="20"/>
          <w:lang w:val="en-US"/>
        </w:rPr>
        <w:t>Piotr Jaholkowski, MD, PhD (p.p.jaholkowski@medisin.uio,no), and Ole A. Andreassen, MD, PhD (ole.andreassen@medisin.uio.no), Center for Precision Psychiatry, Division of Mental Health and Addiction, Oslo University Hospital, and Institute of Clinical Medicine, University of Oslo, Ullevål, Kirkeveien 166, 0424 Oslo, Norway.</w:t>
      </w:r>
    </w:p>
    <w:p w14:paraId="74D5ECB4" w14:textId="77777777" w:rsidR="00EA62CB" w:rsidRDefault="00EA62CB" w:rsidP="00C01997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3560C843" w14:textId="54CC060D" w:rsidR="00C01997" w:rsidRPr="00C01997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  <w:r w:rsidRPr="00C01997">
        <w:rPr>
          <w:rFonts w:ascii="Times New Roman" w:eastAsia="Times New Roman" w:hAnsi="Times New Roman" w:cs="Times New Roman"/>
          <w:b/>
          <w:bCs/>
          <w:lang w:val="en-US"/>
        </w:rPr>
        <w:lastRenderedPageBreak/>
        <w:t>Table of contents</w:t>
      </w:r>
    </w:p>
    <w:p w14:paraId="5CEF8F79" w14:textId="77777777" w:rsidR="00C01997" w:rsidRPr="00C01997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6D600CB1" w14:textId="7807B056" w:rsidR="00C01997" w:rsidRPr="00981755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>Supplementary Figure 1 …………………………………………………………………</w:t>
      </w:r>
      <w:r w:rsidR="00981755">
        <w:rPr>
          <w:rFonts w:ascii="Times New Roman" w:eastAsia="Times New Roman" w:hAnsi="Times New Roman" w:cs="Times New Roman"/>
          <w:lang w:val="en-US"/>
        </w:rPr>
        <w:t>.</w:t>
      </w:r>
      <w:r w:rsidRPr="00981755">
        <w:rPr>
          <w:rFonts w:ascii="Times New Roman" w:eastAsia="Times New Roman" w:hAnsi="Times New Roman" w:cs="Times New Roman"/>
          <w:lang w:val="en-US"/>
        </w:rPr>
        <w:t>…….3</w:t>
      </w:r>
    </w:p>
    <w:p w14:paraId="18D3C62F" w14:textId="1BBE8BD8" w:rsidR="00C01997" w:rsidRPr="00981755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>Supplementary Figure 2 …………………………………………………………………</w:t>
      </w:r>
      <w:r w:rsidR="00981755">
        <w:rPr>
          <w:rFonts w:ascii="Times New Roman" w:eastAsia="Times New Roman" w:hAnsi="Times New Roman" w:cs="Times New Roman"/>
          <w:lang w:val="en-US"/>
        </w:rPr>
        <w:t>.</w:t>
      </w:r>
      <w:r w:rsidRPr="00981755">
        <w:rPr>
          <w:rFonts w:ascii="Times New Roman" w:eastAsia="Times New Roman" w:hAnsi="Times New Roman" w:cs="Times New Roman"/>
          <w:lang w:val="en-US"/>
        </w:rPr>
        <w:t>…….</w:t>
      </w:r>
      <w:r w:rsidR="00981755">
        <w:rPr>
          <w:rFonts w:ascii="Times New Roman" w:eastAsia="Times New Roman" w:hAnsi="Times New Roman" w:cs="Times New Roman"/>
          <w:lang w:val="en-US"/>
        </w:rPr>
        <w:t>3</w:t>
      </w:r>
    </w:p>
    <w:p w14:paraId="0F66B180" w14:textId="093A46E6" w:rsidR="00C01997" w:rsidRPr="00981755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>Supplementary Figure 3 …………………………………………………………………</w:t>
      </w:r>
      <w:r w:rsidR="00981755">
        <w:rPr>
          <w:rFonts w:ascii="Times New Roman" w:eastAsia="Times New Roman" w:hAnsi="Times New Roman" w:cs="Times New Roman"/>
          <w:lang w:val="en-US"/>
        </w:rPr>
        <w:t>.</w:t>
      </w:r>
      <w:r w:rsidRPr="00981755">
        <w:rPr>
          <w:rFonts w:ascii="Times New Roman" w:eastAsia="Times New Roman" w:hAnsi="Times New Roman" w:cs="Times New Roman"/>
          <w:lang w:val="en-US"/>
        </w:rPr>
        <w:t>…….</w:t>
      </w:r>
      <w:r w:rsidR="00981755">
        <w:rPr>
          <w:rFonts w:ascii="Times New Roman" w:eastAsia="Times New Roman" w:hAnsi="Times New Roman" w:cs="Times New Roman"/>
          <w:lang w:val="en-US"/>
        </w:rPr>
        <w:t>4</w:t>
      </w:r>
    </w:p>
    <w:p w14:paraId="71B4265B" w14:textId="57F265DA" w:rsidR="00C01997" w:rsidRPr="00981755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>Supplementary Figure 4 …………………………………………………………………</w:t>
      </w:r>
      <w:r w:rsidR="00981755">
        <w:rPr>
          <w:rFonts w:ascii="Times New Roman" w:eastAsia="Times New Roman" w:hAnsi="Times New Roman" w:cs="Times New Roman"/>
          <w:lang w:val="en-US"/>
        </w:rPr>
        <w:t>.</w:t>
      </w:r>
      <w:r w:rsidRPr="00981755">
        <w:rPr>
          <w:rFonts w:ascii="Times New Roman" w:eastAsia="Times New Roman" w:hAnsi="Times New Roman" w:cs="Times New Roman"/>
          <w:lang w:val="en-US"/>
        </w:rPr>
        <w:t>…….</w:t>
      </w:r>
      <w:r w:rsidR="00981755">
        <w:rPr>
          <w:rFonts w:ascii="Times New Roman" w:eastAsia="Times New Roman" w:hAnsi="Times New Roman" w:cs="Times New Roman"/>
          <w:lang w:val="en-US"/>
        </w:rPr>
        <w:t>5</w:t>
      </w:r>
    </w:p>
    <w:p w14:paraId="07E06FD1" w14:textId="063EE0DB" w:rsidR="00C01997" w:rsidRPr="00981755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>Supplementary Figure 5 ……………………………………………………………………</w:t>
      </w:r>
      <w:r w:rsidR="00981755">
        <w:rPr>
          <w:rFonts w:ascii="Times New Roman" w:eastAsia="Times New Roman" w:hAnsi="Times New Roman" w:cs="Times New Roman"/>
          <w:lang w:val="en-US"/>
        </w:rPr>
        <w:t>.</w:t>
      </w:r>
      <w:r w:rsidRPr="00981755">
        <w:rPr>
          <w:rFonts w:ascii="Times New Roman" w:eastAsia="Times New Roman" w:hAnsi="Times New Roman" w:cs="Times New Roman"/>
          <w:lang w:val="en-US"/>
        </w:rPr>
        <w:t>….</w:t>
      </w:r>
      <w:r w:rsidR="004A029E">
        <w:rPr>
          <w:rFonts w:ascii="Times New Roman" w:eastAsia="Times New Roman" w:hAnsi="Times New Roman" w:cs="Times New Roman"/>
          <w:lang w:val="en-US"/>
        </w:rPr>
        <w:t>6</w:t>
      </w:r>
    </w:p>
    <w:p w14:paraId="482E4F09" w14:textId="174C01AC" w:rsidR="00C01997" w:rsidRPr="00981755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>Supplementary Figure 6 ………………………………………………………………………</w:t>
      </w:r>
      <w:r w:rsidR="00981755">
        <w:rPr>
          <w:rFonts w:ascii="Times New Roman" w:eastAsia="Times New Roman" w:hAnsi="Times New Roman" w:cs="Times New Roman"/>
          <w:lang w:val="en-US"/>
        </w:rPr>
        <w:t>.</w:t>
      </w:r>
      <w:r w:rsidRPr="00981755">
        <w:rPr>
          <w:rFonts w:ascii="Times New Roman" w:eastAsia="Times New Roman" w:hAnsi="Times New Roman" w:cs="Times New Roman"/>
          <w:lang w:val="en-US"/>
        </w:rPr>
        <w:t>.</w:t>
      </w:r>
      <w:r w:rsidR="00981755">
        <w:rPr>
          <w:rFonts w:ascii="Times New Roman" w:eastAsia="Times New Roman" w:hAnsi="Times New Roman" w:cs="Times New Roman"/>
          <w:lang w:val="en-US"/>
        </w:rPr>
        <w:t>6</w:t>
      </w:r>
    </w:p>
    <w:p w14:paraId="339AE942" w14:textId="42A6E27F" w:rsidR="00C01997" w:rsidRDefault="00C01997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>Supplementary Figure 7 …………………………………………………………………</w:t>
      </w:r>
      <w:r w:rsidR="00981755">
        <w:rPr>
          <w:rFonts w:ascii="Times New Roman" w:eastAsia="Times New Roman" w:hAnsi="Times New Roman" w:cs="Times New Roman"/>
          <w:lang w:val="en-US"/>
        </w:rPr>
        <w:t>..</w:t>
      </w:r>
      <w:r w:rsidRPr="00981755">
        <w:rPr>
          <w:rFonts w:ascii="Times New Roman" w:eastAsia="Times New Roman" w:hAnsi="Times New Roman" w:cs="Times New Roman"/>
          <w:lang w:val="en-US"/>
        </w:rPr>
        <w:t>…</w:t>
      </w:r>
      <w:r w:rsidR="00981755">
        <w:rPr>
          <w:rFonts w:ascii="Times New Roman" w:eastAsia="Times New Roman" w:hAnsi="Times New Roman" w:cs="Times New Roman"/>
          <w:lang w:val="en-US"/>
        </w:rPr>
        <w:t>.</w:t>
      </w:r>
      <w:r w:rsidRPr="00981755">
        <w:rPr>
          <w:rFonts w:ascii="Times New Roman" w:eastAsia="Times New Roman" w:hAnsi="Times New Roman" w:cs="Times New Roman"/>
          <w:lang w:val="en-US"/>
        </w:rPr>
        <w:t>...</w:t>
      </w:r>
      <w:r w:rsidR="00981755">
        <w:rPr>
          <w:rFonts w:ascii="Times New Roman" w:eastAsia="Times New Roman" w:hAnsi="Times New Roman" w:cs="Times New Roman"/>
          <w:lang w:val="en-US"/>
        </w:rPr>
        <w:t>7</w:t>
      </w:r>
    </w:p>
    <w:p w14:paraId="10DECD6D" w14:textId="05955526" w:rsidR="00981755" w:rsidRPr="00981755" w:rsidRDefault="00981755" w:rsidP="00981755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 xml:space="preserve">Supplementary Figure </w:t>
      </w:r>
      <w:r>
        <w:rPr>
          <w:rFonts w:ascii="Times New Roman" w:eastAsia="Times New Roman" w:hAnsi="Times New Roman" w:cs="Times New Roman"/>
          <w:lang w:val="en-US"/>
        </w:rPr>
        <w:t>8</w:t>
      </w:r>
      <w:r w:rsidRPr="00981755">
        <w:rPr>
          <w:rFonts w:ascii="Times New Roman" w:eastAsia="Times New Roman" w:hAnsi="Times New Roman" w:cs="Times New Roman"/>
          <w:lang w:val="en-US"/>
        </w:rPr>
        <w:t xml:space="preserve"> …………………………………………………………………</w:t>
      </w:r>
      <w:r>
        <w:rPr>
          <w:rFonts w:ascii="Times New Roman" w:eastAsia="Times New Roman" w:hAnsi="Times New Roman" w:cs="Times New Roman"/>
          <w:lang w:val="en-US"/>
        </w:rPr>
        <w:t>..</w:t>
      </w:r>
      <w:r w:rsidRPr="00981755">
        <w:rPr>
          <w:rFonts w:ascii="Times New Roman" w:eastAsia="Times New Roman" w:hAnsi="Times New Roman" w:cs="Times New Roman"/>
          <w:lang w:val="en-US"/>
        </w:rPr>
        <w:t>…</w:t>
      </w:r>
      <w:r>
        <w:rPr>
          <w:rFonts w:ascii="Times New Roman" w:eastAsia="Times New Roman" w:hAnsi="Times New Roman" w:cs="Times New Roman"/>
          <w:lang w:val="en-US"/>
        </w:rPr>
        <w:t>…8</w:t>
      </w:r>
    </w:p>
    <w:p w14:paraId="3DA887C9" w14:textId="333E5C3E" w:rsidR="004A029E" w:rsidRPr="00981755" w:rsidRDefault="004A029E" w:rsidP="004A029E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  <w:r w:rsidRPr="00981755">
        <w:rPr>
          <w:rFonts w:ascii="Times New Roman" w:eastAsia="Times New Roman" w:hAnsi="Times New Roman" w:cs="Times New Roman"/>
          <w:lang w:val="en-US"/>
        </w:rPr>
        <w:t xml:space="preserve">Supplementary Figure </w:t>
      </w:r>
      <w:r>
        <w:rPr>
          <w:rFonts w:ascii="Times New Roman" w:eastAsia="Times New Roman" w:hAnsi="Times New Roman" w:cs="Times New Roman"/>
          <w:lang w:val="en-US"/>
        </w:rPr>
        <w:t>9</w:t>
      </w:r>
      <w:r w:rsidRPr="00981755">
        <w:rPr>
          <w:rFonts w:ascii="Times New Roman" w:eastAsia="Times New Roman" w:hAnsi="Times New Roman" w:cs="Times New Roman"/>
          <w:lang w:val="en-US"/>
        </w:rPr>
        <w:t xml:space="preserve"> …………………………………………………………………</w:t>
      </w:r>
      <w:r>
        <w:rPr>
          <w:rFonts w:ascii="Times New Roman" w:eastAsia="Times New Roman" w:hAnsi="Times New Roman" w:cs="Times New Roman"/>
          <w:lang w:val="en-US"/>
        </w:rPr>
        <w:t>..</w:t>
      </w:r>
      <w:r w:rsidRPr="00981755">
        <w:rPr>
          <w:rFonts w:ascii="Times New Roman" w:eastAsia="Times New Roman" w:hAnsi="Times New Roman" w:cs="Times New Roman"/>
          <w:lang w:val="en-US"/>
        </w:rPr>
        <w:t>…</w:t>
      </w:r>
      <w:r>
        <w:rPr>
          <w:rFonts w:ascii="Times New Roman" w:eastAsia="Times New Roman" w:hAnsi="Times New Roman" w:cs="Times New Roman"/>
          <w:lang w:val="en-US"/>
        </w:rPr>
        <w:t>…9</w:t>
      </w:r>
    </w:p>
    <w:p w14:paraId="0A5242F1" w14:textId="77777777" w:rsidR="00981755" w:rsidRPr="00981755" w:rsidRDefault="00981755" w:rsidP="00C01997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</w:p>
    <w:p w14:paraId="1A6FADBF" w14:textId="77777777" w:rsidR="00C01997" w:rsidRPr="00981755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</w:p>
    <w:p w14:paraId="3D3A1079" w14:textId="77777777" w:rsidR="00C01997" w:rsidRPr="00981755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lang w:val="en-US"/>
        </w:rPr>
      </w:pPr>
    </w:p>
    <w:p w14:paraId="6FA4DC50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296240CD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3487EC14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73E376A9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1E87A75D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20B4A727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57726BF1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36F1912D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005E0372" w14:textId="77777777" w:rsidR="00C01997" w:rsidRDefault="00C01997" w:rsidP="00DB258E">
      <w:pPr>
        <w:spacing w:before="240" w:after="120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04281F3A" w14:textId="77777777" w:rsidR="006475A1" w:rsidRDefault="006475A1">
      <w:pPr>
        <w:rPr>
          <w:noProof/>
          <w:lang w:val="en-US"/>
        </w:rPr>
      </w:pPr>
    </w:p>
    <w:p w14:paraId="6249E8FF" w14:textId="18CBAF11" w:rsidR="006475A1" w:rsidRDefault="006475A1">
      <w:pPr>
        <w:rPr>
          <w:noProof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50E6560" wp14:editId="66F620B9">
            <wp:extent cx="5724525" cy="2305050"/>
            <wp:effectExtent l="0" t="0" r="9525" b="0"/>
            <wp:docPr id="2108558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CAF28" w14:textId="113D05BC" w:rsidR="006475A1" w:rsidRDefault="006475A1" w:rsidP="006475A1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  <w:r w:rsidRPr="006475A1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1. (A-B) </w:t>
      </w:r>
      <w:r w:rsidRPr="006475A1">
        <w:rPr>
          <w:rFonts w:ascii="Times New Roman" w:hAnsi="Times New Roman" w:cs="Times New Roman"/>
          <w:noProof/>
          <w:sz w:val="18"/>
          <w:szCs w:val="18"/>
        </w:rPr>
        <w:t>Conditional QQ plots illustrating cross-phenotype polygenic enrichment between bipolar disorder (BIP) and polycystic ovary syndrome (PCOS). (A) BIP trait is conditioned on PCOS (B) PCOS is conditioned on BIP.</w:t>
      </w:r>
    </w:p>
    <w:p w14:paraId="0CFE5AB3" w14:textId="77777777" w:rsidR="006475A1" w:rsidRDefault="006475A1" w:rsidP="006475A1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</w:p>
    <w:p w14:paraId="7B3E2D9D" w14:textId="77777777" w:rsidR="006475A1" w:rsidRDefault="006475A1" w:rsidP="006475A1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</w:p>
    <w:p w14:paraId="1E62E8FC" w14:textId="77777777" w:rsidR="006475A1" w:rsidRPr="006475A1" w:rsidRDefault="006475A1" w:rsidP="006475A1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</w:p>
    <w:p w14:paraId="2744041E" w14:textId="77777777" w:rsidR="006475A1" w:rsidRPr="00DB258E" w:rsidRDefault="006475A1">
      <w:pPr>
        <w:rPr>
          <w:noProof/>
          <w:lang w:val="en-US"/>
        </w:rPr>
      </w:pPr>
    </w:p>
    <w:p w14:paraId="6B8E2C83" w14:textId="484E8571" w:rsidR="00DB258E" w:rsidRDefault="00A54C92">
      <w:pPr>
        <w:rPr>
          <w:noProof/>
        </w:rPr>
      </w:pPr>
      <w:r>
        <w:rPr>
          <w:noProof/>
        </w:rPr>
        <w:drawing>
          <wp:inline distT="0" distB="0" distL="0" distR="0" wp14:anchorId="00024C3D" wp14:editId="0307BBE6">
            <wp:extent cx="5731510" cy="1790700"/>
            <wp:effectExtent l="0" t="0" r="2540" b="0"/>
            <wp:docPr id="9173156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E1B85" w14:textId="45CD2EEE" w:rsidR="00A54C92" w:rsidRDefault="00A54C92">
      <w:pPr>
        <w:rPr>
          <w:noProof/>
        </w:rPr>
      </w:pPr>
      <w:r>
        <w:rPr>
          <w:noProof/>
        </w:rPr>
        <w:t xml:space="preserve"> </w:t>
      </w:r>
    </w:p>
    <w:p w14:paraId="7B3B83C6" w14:textId="1436409E" w:rsidR="00A54C92" w:rsidRPr="00A54C92" w:rsidRDefault="00A54C92" w:rsidP="00A54C92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noProof/>
          <w:sz w:val="18"/>
          <w:szCs w:val="18"/>
        </w:rPr>
        <w:t>2</w:t>
      </w: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>.</w:t>
      </w:r>
      <w:r w:rsidRPr="00A54C92">
        <w:rPr>
          <w:rFonts w:ascii="Times New Roman" w:hAnsi="Times New Roman" w:cs="Times New Roman"/>
          <w:noProof/>
          <w:sz w:val="18"/>
          <w:szCs w:val="18"/>
        </w:rPr>
        <w:t xml:space="preserve"> "Conditional FDR Manhattan plot" of conditional -log10 (FDR) values for polycystic ovary syndrome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A54C92">
        <w:rPr>
          <w:rFonts w:ascii="Times New Roman" w:hAnsi="Times New Roman" w:cs="Times New Roman"/>
          <w:noProof/>
          <w:sz w:val="18"/>
          <w:szCs w:val="18"/>
        </w:rPr>
        <w:t>conditioned on bipolar disorder. Chromosomal position is presented along the x-axis. SNPs with conditional FDR</w:t>
      </w:r>
      <w:r>
        <w:rPr>
          <w:rFonts w:ascii="Times New Roman" w:hAnsi="Times New Roman" w:cs="Times New Roman"/>
          <w:noProof/>
          <w:sz w:val="18"/>
          <w:szCs w:val="18"/>
        </w:rPr>
        <w:t> </w:t>
      </w:r>
      <w:r w:rsidRPr="00A54C92">
        <w:rPr>
          <w:rFonts w:ascii="Times New Roman" w:hAnsi="Times New Roman" w:cs="Times New Roman"/>
          <w:noProof/>
          <w:sz w:val="18"/>
          <w:szCs w:val="18"/>
        </w:rPr>
        <w:t>&lt;</w:t>
      </w:r>
      <w:r>
        <w:rPr>
          <w:rFonts w:ascii="Times New Roman" w:hAnsi="Times New Roman" w:cs="Times New Roman"/>
          <w:noProof/>
          <w:sz w:val="18"/>
          <w:szCs w:val="18"/>
        </w:rPr>
        <w:t> </w:t>
      </w:r>
      <w:r w:rsidRPr="00A54C92">
        <w:rPr>
          <w:rFonts w:ascii="Times New Roman" w:hAnsi="Times New Roman" w:cs="Times New Roman"/>
          <w:noProof/>
          <w:sz w:val="18"/>
          <w:szCs w:val="18"/>
        </w:rPr>
        <w:t>.05 are shown with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A54C92">
        <w:rPr>
          <w:rFonts w:ascii="Times New Roman" w:hAnsi="Times New Roman" w:cs="Times New Roman"/>
          <w:noProof/>
          <w:sz w:val="18"/>
          <w:szCs w:val="18"/>
        </w:rPr>
        <w:t>larger points. A black line around the large points indicates the most significant SNP in each LD block.</w:t>
      </w:r>
    </w:p>
    <w:p w14:paraId="2D30310C" w14:textId="77777777" w:rsidR="00833C8C" w:rsidRDefault="00833C8C"/>
    <w:p w14:paraId="2A6F2C14" w14:textId="77777777" w:rsidR="00A54C92" w:rsidRDefault="00A54C92"/>
    <w:p w14:paraId="47B13556" w14:textId="77777777" w:rsidR="00A54C92" w:rsidRDefault="00A54C92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323D9FC" wp14:editId="05FAD69B">
            <wp:extent cx="5731510" cy="1790700"/>
            <wp:effectExtent l="0" t="0" r="2540" b="0"/>
            <wp:docPr id="16724454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6EF79A95" w14:textId="74646AAF" w:rsidR="00A54C92" w:rsidRDefault="00A54C92" w:rsidP="00A54C92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noProof/>
          <w:sz w:val="18"/>
          <w:szCs w:val="18"/>
        </w:rPr>
        <w:t>3</w:t>
      </w: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>.</w:t>
      </w:r>
      <w:r w:rsidRPr="00A54C92">
        <w:rPr>
          <w:rFonts w:ascii="Times New Roman" w:hAnsi="Times New Roman" w:cs="Times New Roman"/>
          <w:noProof/>
          <w:sz w:val="18"/>
          <w:szCs w:val="18"/>
        </w:rPr>
        <w:t xml:space="preserve"> "Conditional FDR Manhattan plot" of conditional -log10 (FDR) values for bipolar disorder conditioned on polycystic ovary syndrome. Chromosomal position is presented along the x-axis. SNPs with conditional FDR</w:t>
      </w:r>
      <w:r>
        <w:rPr>
          <w:rFonts w:ascii="Times New Roman" w:hAnsi="Times New Roman" w:cs="Times New Roman"/>
          <w:noProof/>
          <w:sz w:val="18"/>
          <w:szCs w:val="18"/>
        </w:rPr>
        <w:t> </w:t>
      </w:r>
      <w:r w:rsidRPr="00A54C92">
        <w:rPr>
          <w:rFonts w:ascii="Times New Roman" w:hAnsi="Times New Roman" w:cs="Times New Roman"/>
          <w:noProof/>
          <w:sz w:val="18"/>
          <w:szCs w:val="18"/>
        </w:rPr>
        <w:t>&lt;</w:t>
      </w:r>
      <w:r>
        <w:rPr>
          <w:rFonts w:ascii="Times New Roman" w:hAnsi="Times New Roman" w:cs="Times New Roman"/>
          <w:noProof/>
          <w:sz w:val="18"/>
          <w:szCs w:val="18"/>
        </w:rPr>
        <w:t> </w:t>
      </w:r>
      <w:r w:rsidRPr="00A54C92">
        <w:rPr>
          <w:rFonts w:ascii="Times New Roman" w:hAnsi="Times New Roman" w:cs="Times New Roman"/>
          <w:noProof/>
          <w:sz w:val="18"/>
          <w:szCs w:val="18"/>
        </w:rPr>
        <w:t>.05 are shown with larger points. A black line around the large points indicates the most significant SNP in each LD block.</w:t>
      </w:r>
    </w:p>
    <w:p w14:paraId="1934B4A6" w14:textId="77777777" w:rsidR="006475A1" w:rsidRDefault="006475A1" w:rsidP="00A54C92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</w:p>
    <w:p w14:paraId="0CABD107" w14:textId="77777777" w:rsidR="006475A1" w:rsidRPr="00A54C92" w:rsidRDefault="006475A1" w:rsidP="00A54C92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</w:p>
    <w:p w14:paraId="0832721D" w14:textId="6372D036" w:rsidR="00C801CC" w:rsidRDefault="00C801CC" w:rsidP="00C801CC">
      <w:pPr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76793623" wp14:editId="58D96A94">
            <wp:extent cx="5731510" cy="5505450"/>
            <wp:effectExtent l="0" t="0" r="2540" b="0"/>
            <wp:docPr id="7207703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198215518"/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noProof/>
          <w:sz w:val="18"/>
          <w:szCs w:val="18"/>
        </w:rPr>
        <w:t>4</w:t>
      </w:r>
      <w:r w:rsidRPr="00A54C92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C801CC">
        <w:rPr>
          <w:rFonts w:ascii="Times New Roman" w:hAnsi="Times New Roman" w:cs="Times New Roman"/>
          <w:noProof/>
          <w:sz w:val="18"/>
          <w:szCs w:val="18"/>
        </w:rPr>
        <w:t>Tissue expression of genes mapped for locus identified on chromosome 8:11455262 (rs34876360) based on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C801CC">
        <w:rPr>
          <w:rFonts w:ascii="Times New Roman" w:hAnsi="Times New Roman" w:cs="Times New Roman"/>
          <w:noProof/>
          <w:sz w:val="18"/>
          <w:szCs w:val="18"/>
        </w:rPr>
        <w:t>the Genotype-Tissue Expression (GTEx) dataset. Expression values are shown in transcripts per million (TPM).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C801CC">
        <w:rPr>
          <w:rFonts w:ascii="Times New Roman" w:hAnsi="Times New Roman" w:cs="Times New Roman"/>
          <w:noProof/>
          <w:sz w:val="18"/>
          <w:szCs w:val="18"/>
        </w:rPr>
        <w:t>Isoformes were collapsed into a signle gene. No normalization or thresholds procedures applied.</w:t>
      </w:r>
    </w:p>
    <w:bookmarkEnd w:id="0"/>
    <w:p w14:paraId="298BBA2F" w14:textId="77777777" w:rsidR="00C801CC" w:rsidRDefault="00C801CC" w:rsidP="00C801CC">
      <w:pPr>
        <w:spacing w:line="360" w:lineRule="auto"/>
        <w:rPr>
          <w:rFonts w:ascii="Times New Roman" w:hAnsi="Times New Roman" w:cs="Times New Roman"/>
          <w:noProof/>
          <w:sz w:val="18"/>
          <w:szCs w:val="18"/>
        </w:rPr>
      </w:pPr>
    </w:p>
    <w:p w14:paraId="729EFCCC" w14:textId="7C72AE7C" w:rsidR="00C801CC" w:rsidRDefault="00C801CC" w:rsidP="00C801CC">
      <w:pPr>
        <w:spacing w:line="360" w:lineRule="auto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2DF624B9" wp14:editId="597AD8BB">
            <wp:extent cx="5731510" cy="3272790"/>
            <wp:effectExtent l="0" t="0" r="2540" b="3810"/>
            <wp:docPr id="211090974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7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ECEE6" w14:textId="35758257" w:rsidR="00C801CC" w:rsidRDefault="00C801CC" w:rsidP="00C801CC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  <w:bookmarkStart w:id="1" w:name="_Hlk198215755"/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noProof/>
          <w:sz w:val="18"/>
          <w:szCs w:val="18"/>
        </w:rPr>
        <w:t>5</w:t>
      </w: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>.</w:t>
      </w:r>
      <w:r w:rsidRPr="00A54C92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C801CC">
        <w:rPr>
          <w:rFonts w:ascii="Times New Roman" w:hAnsi="Times New Roman" w:cs="Times New Roman"/>
          <w:noProof/>
          <w:sz w:val="18"/>
          <w:szCs w:val="18"/>
        </w:rPr>
        <w:t>Tissue expression of genes mapped for locus identified on chromosome 12:2499849 (rs740417) based on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C801CC">
        <w:rPr>
          <w:rFonts w:ascii="Times New Roman" w:hAnsi="Times New Roman" w:cs="Times New Roman"/>
          <w:noProof/>
          <w:sz w:val="18"/>
          <w:szCs w:val="18"/>
        </w:rPr>
        <w:t>the Genotype-Tissue Expression (GTEx) dataset. Expression values are shown in transcripts per million (TPM).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C801CC">
        <w:rPr>
          <w:rFonts w:ascii="Times New Roman" w:hAnsi="Times New Roman" w:cs="Times New Roman"/>
          <w:noProof/>
          <w:sz w:val="18"/>
          <w:szCs w:val="18"/>
        </w:rPr>
        <w:t>Isoformes were collapsed into a signle gene. No normalization or thresholds procedures applied.</w:t>
      </w:r>
    </w:p>
    <w:bookmarkEnd w:id="1"/>
    <w:p w14:paraId="3079FB17" w14:textId="77777777" w:rsidR="00C801CC" w:rsidRDefault="00C801CC" w:rsidP="00C801CC">
      <w:pPr>
        <w:spacing w:line="360" w:lineRule="auto"/>
        <w:rPr>
          <w:rFonts w:ascii="Times New Roman" w:hAnsi="Times New Roman" w:cs="Times New Roman"/>
          <w:b/>
          <w:bCs/>
          <w:noProof/>
          <w:sz w:val="18"/>
          <w:szCs w:val="18"/>
        </w:rPr>
      </w:pPr>
    </w:p>
    <w:p w14:paraId="3D548ABC" w14:textId="07C03C8A" w:rsidR="00C801CC" w:rsidRDefault="008825DE" w:rsidP="00C801CC">
      <w:pPr>
        <w:spacing w:line="360" w:lineRule="auto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noProof/>
        </w:rPr>
        <w:drawing>
          <wp:inline distT="0" distB="0" distL="0" distR="0" wp14:anchorId="11B55748" wp14:editId="51BE8A93">
            <wp:extent cx="5731510" cy="3440430"/>
            <wp:effectExtent l="0" t="0" r="2540" b="7620"/>
            <wp:docPr id="42058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19B3B" w14:textId="04B9417A" w:rsidR="008825DE" w:rsidRDefault="008825DE" w:rsidP="008825DE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  <w:bookmarkStart w:id="2" w:name="_Hlk198216149"/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noProof/>
          <w:sz w:val="18"/>
          <w:szCs w:val="18"/>
        </w:rPr>
        <w:t>6</w:t>
      </w: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>.</w:t>
      </w:r>
      <w:r w:rsidRPr="00A54C92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8825DE">
        <w:rPr>
          <w:rFonts w:ascii="Times New Roman" w:hAnsi="Times New Roman" w:cs="Times New Roman"/>
          <w:noProof/>
          <w:sz w:val="18"/>
          <w:szCs w:val="18"/>
        </w:rPr>
        <w:t xml:space="preserve">Analysis of the drug-gene interaction database (DGIdb) for </w:t>
      </w:r>
      <w:r w:rsidRPr="008825DE">
        <w:rPr>
          <w:rFonts w:ascii="Times New Roman" w:hAnsi="Times New Roman" w:cs="Times New Roman"/>
          <w:i/>
          <w:iCs/>
          <w:noProof/>
          <w:sz w:val="18"/>
          <w:szCs w:val="18"/>
        </w:rPr>
        <w:t>CACNA1C</w:t>
      </w:r>
      <w:r w:rsidRPr="008825DE">
        <w:rPr>
          <w:rFonts w:ascii="Times New Roman" w:hAnsi="Times New Roman" w:cs="Times New Roman"/>
          <w:noProof/>
          <w:sz w:val="18"/>
          <w:szCs w:val="18"/>
        </w:rPr>
        <w:t>. The height of each bar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8825DE">
        <w:rPr>
          <w:rFonts w:ascii="Times New Roman" w:hAnsi="Times New Roman" w:cs="Times New Roman"/>
          <w:noProof/>
          <w:sz w:val="18"/>
          <w:szCs w:val="18"/>
        </w:rPr>
        <w:t>illustrates the strength of the interaction (interaction score), while the colors denote the types of interactions. A red arrow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8825DE">
        <w:rPr>
          <w:rFonts w:ascii="Times New Roman" w:hAnsi="Times New Roman" w:cs="Times New Roman"/>
          <w:noProof/>
          <w:sz w:val="18"/>
          <w:szCs w:val="18"/>
        </w:rPr>
        <w:t>highlights the presence of valproic acid.</w:t>
      </w:r>
    </w:p>
    <w:bookmarkEnd w:id="2"/>
    <w:p w14:paraId="478E07E2" w14:textId="0745259D" w:rsidR="008825DE" w:rsidRPr="00382629" w:rsidRDefault="008825DE" w:rsidP="00382629">
      <w:pPr>
        <w:spacing w:line="360" w:lineRule="auto"/>
        <w:jc w:val="both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767FF19F" wp14:editId="2CBC6013">
            <wp:extent cx="5731510" cy="7954645"/>
            <wp:effectExtent l="0" t="0" r="2540" b="8255"/>
            <wp:docPr id="94310939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5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noProof/>
          <w:sz w:val="18"/>
          <w:szCs w:val="18"/>
        </w:rPr>
        <w:t>7</w:t>
      </w: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>.</w:t>
      </w:r>
      <w:r w:rsidRPr="00A54C92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8825DE">
        <w:rPr>
          <w:rFonts w:ascii="Times New Roman" w:hAnsi="Times New Roman" w:cs="Times New Roman"/>
          <w:noProof/>
          <w:sz w:val="18"/>
          <w:szCs w:val="18"/>
        </w:rPr>
        <w:t>Analysis of the drug-gene interaction database (DGIdb) for genes mapped to the locus shared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8825DE">
        <w:rPr>
          <w:rFonts w:ascii="Times New Roman" w:hAnsi="Times New Roman" w:cs="Times New Roman"/>
          <w:noProof/>
          <w:sz w:val="18"/>
          <w:szCs w:val="18"/>
        </w:rPr>
        <w:t xml:space="preserve">between PCOS and BIP and located on chromosome 8:11455262 (rs34876360). A) </w:t>
      </w:r>
      <w:r w:rsidRPr="008825DE">
        <w:rPr>
          <w:rFonts w:ascii="Times New Roman" w:hAnsi="Times New Roman" w:cs="Times New Roman"/>
          <w:i/>
          <w:iCs/>
          <w:noProof/>
          <w:sz w:val="18"/>
          <w:szCs w:val="18"/>
        </w:rPr>
        <w:t>BLK</w:t>
      </w:r>
      <w:r w:rsidRPr="008825DE">
        <w:rPr>
          <w:rFonts w:ascii="Times New Roman" w:hAnsi="Times New Roman" w:cs="Times New Roman"/>
          <w:noProof/>
          <w:sz w:val="18"/>
          <w:szCs w:val="18"/>
        </w:rPr>
        <w:t xml:space="preserve">, B) </w:t>
      </w:r>
      <w:r w:rsidRPr="008825DE">
        <w:rPr>
          <w:rFonts w:ascii="Times New Roman" w:hAnsi="Times New Roman" w:cs="Times New Roman"/>
          <w:i/>
          <w:iCs/>
          <w:noProof/>
          <w:sz w:val="18"/>
          <w:szCs w:val="18"/>
        </w:rPr>
        <w:t>GATA4</w:t>
      </w:r>
      <w:r w:rsidRPr="008825DE">
        <w:rPr>
          <w:rFonts w:ascii="Times New Roman" w:hAnsi="Times New Roman" w:cs="Times New Roman"/>
          <w:noProof/>
          <w:sz w:val="18"/>
          <w:szCs w:val="18"/>
        </w:rPr>
        <w:t xml:space="preserve">, C) </w:t>
      </w:r>
      <w:r w:rsidRPr="008825DE">
        <w:rPr>
          <w:rFonts w:ascii="Times New Roman" w:hAnsi="Times New Roman" w:cs="Times New Roman"/>
          <w:i/>
          <w:iCs/>
          <w:noProof/>
          <w:sz w:val="18"/>
          <w:szCs w:val="18"/>
        </w:rPr>
        <w:t>CTSB</w:t>
      </w:r>
      <w:r w:rsidRPr="008825DE">
        <w:rPr>
          <w:rFonts w:ascii="Times New Roman" w:hAnsi="Times New Roman" w:cs="Times New Roman"/>
          <w:noProof/>
          <w:sz w:val="18"/>
          <w:szCs w:val="18"/>
        </w:rPr>
        <w:t xml:space="preserve">, D) </w:t>
      </w:r>
      <w:r w:rsidRPr="008825DE">
        <w:rPr>
          <w:rFonts w:ascii="Times New Roman" w:hAnsi="Times New Roman" w:cs="Times New Roman"/>
          <w:i/>
          <w:iCs/>
          <w:noProof/>
          <w:sz w:val="18"/>
          <w:szCs w:val="18"/>
        </w:rPr>
        <w:t>FDFT1</w:t>
      </w:r>
      <w:r w:rsidRPr="008825DE">
        <w:rPr>
          <w:rFonts w:ascii="Times New Roman" w:hAnsi="Times New Roman" w:cs="Times New Roman"/>
          <w:noProof/>
          <w:sz w:val="18"/>
          <w:szCs w:val="18"/>
        </w:rPr>
        <w:t>. The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8825DE">
        <w:rPr>
          <w:rFonts w:ascii="Times New Roman" w:hAnsi="Times New Roman" w:cs="Times New Roman"/>
          <w:noProof/>
          <w:sz w:val="18"/>
          <w:szCs w:val="18"/>
        </w:rPr>
        <w:t>height of each bar illustrates the strength of the interaction (interaction score), while the colors denote the types of interactions.</w:t>
      </w:r>
    </w:p>
    <w:p w14:paraId="25D1ACE5" w14:textId="33CFF924" w:rsidR="008825DE" w:rsidRPr="00C801CC" w:rsidRDefault="00382629" w:rsidP="008825DE">
      <w:pPr>
        <w:spacing w:line="360" w:lineRule="auto"/>
        <w:jc w:val="both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061FAF41" wp14:editId="2D20E398">
            <wp:extent cx="5731510" cy="3816985"/>
            <wp:effectExtent l="0" t="0" r="2540" b="0"/>
            <wp:docPr id="34349406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4006C" w14:textId="3560C82D" w:rsidR="00E87B50" w:rsidRDefault="00382629" w:rsidP="00382629">
      <w:pPr>
        <w:spacing w:line="360" w:lineRule="auto"/>
        <w:jc w:val="both"/>
      </w:pP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noProof/>
          <w:sz w:val="18"/>
          <w:szCs w:val="18"/>
        </w:rPr>
        <w:t>8</w:t>
      </w:r>
      <w:r w:rsidRPr="00A54C92">
        <w:rPr>
          <w:rFonts w:ascii="Times New Roman" w:hAnsi="Times New Roman" w:cs="Times New Roman"/>
          <w:b/>
          <w:bCs/>
          <w:noProof/>
          <w:sz w:val="18"/>
          <w:szCs w:val="18"/>
        </w:rPr>
        <w:t>.</w:t>
      </w:r>
      <w:r w:rsidRPr="00A54C92"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82629">
        <w:rPr>
          <w:rFonts w:ascii="Times New Roman" w:hAnsi="Times New Roman" w:cs="Times New Roman"/>
          <w:noProof/>
          <w:sz w:val="18"/>
          <w:szCs w:val="18"/>
        </w:rPr>
        <w:t>Analysis of the drug-gene interaction database (DGIdb) for genes mapped to the locus shared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82629">
        <w:rPr>
          <w:rFonts w:ascii="Times New Roman" w:hAnsi="Times New Roman" w:cs="Times New Roman"/>
          <w:noProof/>
          <w:sz w:val="18"/>
          <w:szCs w:val="18"/>
        </w:rPr>
        <w:t xml:space="preserve">between PCOS and BIP and located on chromosome 12. A) </w:t>
      </w:r>
      <w:r w:rsidRPr="00382629">
        <w:rPr>
          <w:rFonts w:ascii="Times New Roman" w:hAnsi="Times New Roman" w:cs="Times New Roman"/>
          <w:i/>
          <w:iCs/>
          <w:noProof/>
          <w:sz w:val="18"/>
          <w:szCs w:val="18"/>
        </w:rPr>
        <w:t>FKBP4</w:t>
      </w:r>
      <w:r w:rsidRPr="00382629">
        <w:rPr>
          <w:rFonts w:ascii="Times New Roman" w:hAnsi="Times New Roman" w:cs="Times New Roman"/>
          <w:noProof/>
          <w:sz w:val="18"/>
          <w:szCs w:val="18"/>
        </w:rPr>
        <w:t xml:space="preserve">, B) </w:t>
      </w:r>
      <w:r w:rsidRPr="00382629">
        <w:rPr>
          <w:rFonts w:ascii="Times New Roman" w:hAnsi="Times New Roman" w:cs="Times New Roman"/>
          <w:i/>
          <w:iCs/>
          <w:noProof/>
          <w:sz w:val="18"/>
          <w:szCs w:val="18"/>
        </w:rPr>
        <w:t>DCP1B</w:t>
      </w:r>
      <w:r w:rsidRPr="00382629">
        <w:rPr>
          <w:rFonts w:ascii="Times New Roman" w:hAnsi="Times New Roman" w:cs="Times New Roman"/>
          <w:noProof/>
          <w:sz w:val="18"/>
          <w:szCs w:val="18"/>
        </w:rPr>
        <w:t>. The height of each bar illustrates the trength</w:t>
      </w:r>
      <w:r>
        <w:rPr>
          <w:rFonts w:ascii="Times New Roman" w:hAnsi="Times New Roman" w:cs="Times New Roman"/>
          <w:noProof/>
          <w:sz w:val="18"/>
          <w:szCs w:val="18"/>
        </w:rPr>
        <w:t xml:space="preserve"> </w:t>
      </w:r>
      <w:r w:rsidRPr="00382629">
        <w:rPr>
          <w:rFonts w:ascii="Times New Roman" w:hAnsi="Times New Roman" w:cs="Times New Roman"/>
          <w:noProof/>
          <w:sz w:val="18"/>
          <w:szCs w:val="18"/>
        </w:rPr>
        <w:t>of the interaction (interaction score), while the colors denote the types of interactions.</w:t>
      </w:r>
    </w:p>
    <w:p w14:paraId="07BF9AC1" w14:textId="77777777" w:rsidR="00E87B50" w:rsidRDefault="00E87B50"/>
    <w:p w14:paraId="168564F6" w14:textId="4049C021" w:rsidR="00E87B50" w:rsidRDefault="00E87B50"/>
    <w:p w14:paraId="79550B6B" w14:textId="77777777" w:rsidR="00F16093" w:rsidRDefault="00F16093"/>
    <w:p w14:paraId="03F0C896" w14:textId="789FFA7D" w:rsidR="00F16093" w:rsidRDefault="00F16093">
      <w:r>
        <w:rPr>
          <w:noProof/>
        </w:rPr>
        <w:lastRenderedPageBreak/>
        <w:drawing>
          <wp:inline distT="0" distB="0" distL="0" distR="0" wp14:anchorId="32CEE625" wp14:editId="6D69E7E9">
            <wp:extent cx="5731510" cy="5586730"/>
            <wp:effectExtent l="0" t="0" r="2540" b="0"/>
            <wp:docPr id="14897002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8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71862" w14:textId="696054B0" w:rsidR="00F16093" w:rsidRPr="00D80C87" w:rsidRDefault="00F16093" w:rsidP="00382629">
      <w:pPr>
        <w:spacing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382629">
        <w:rPr>
          <w:rFonts w:ascii="Times New Roman" w:hAnsi="Times New Roman" w:cs="Times New Roman"/>
          <w:b/>
          <w:bCs/>
          <w:sz w:val="18"/>
          <w:szCs w:val="18"/>
        </w:rPr>
        <w:t xml:space="preserve">Supplementary Figure </w:t>
      </w:r>
      <w:r w:rsidR="006475A1">
        <w:rPr>
          <w:rFonts w:ascii="Times New Roman" w:hAnsi="Times New Roman" w:cs="Times New Roman"/>
          <w:b/>
          <w:bCs/>
          <w:sz w:val="18"/>
          <w:szCs w:val="18"/>
        </w:rPr>
        <w:t>9</w:t>
      </w:r>
      <w:r w:rsidRPr="00382629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382629">
        <w:rPr>
          <w:rFonts w:ascii="Times New Roman" w:hAnsi="Times New Roman" w:cs="Times New Roman"/>
          <w:sz w:val="18"/>
          <w:szCs w:val="18"/>
        </w:rPr>
        <w:t xml:space="preserve"> The network depicts human diseases pathways encompassing </w:t>
      </w:r>
      <w:r w:rsidRPr="00382629">
        <w:rPr>
          <w:rFonts w:ascii="Times New Roman" w:hAnsi="Times New Roman" w:cs="Times New Roman"/>
          <w:i/>
          <w:iCs/>
          <w:sz w:val="18"/>
          <w:szCs w:val="18"/>
        </w:rPr>
        <w:t>CACNA1C</w:t>
      </w:r>
      <w:r w:rsidRPr="00382629">
        <w:rPr>
          <w:rFonts w:ascii="Times New Roman" w:hAnsi="Times New Roman" w:cs="Times New Roman"/>
          <w:sz w:val="18"/>
          <w:szCs w:val="18"/>
        </w:rPr>
        <w:t xml:space="preserve"> and genes modified by VPA. To enable the above analyses, we removed </w:t>
      </w:r>
      <w:r w:rsidRPr="00382629">
        <w:rPr>
          <w:rFonts w:ascii="Times New Roman" w:hAnsi="Times New Roman" w:cs="Times New Roman"/>
          <w:i/>
          <w:iCs/>
          <w:sz w:val="18"/>
          <w:szCs w:val="18"/>
        </w:rPr>
        <w:t>CACNA1C</w:t>
      </w:r>
      <w:r w:rsidRPr="00382629">
        <w:rPr>
          <w:rFonts w:ascii="Times New Roman" w:hAnsi="Times New Roman" w:cs="Times New Roman"/>
          <w:sz w:val="18"/>
          <w:szCs w:val="18"/>
        </w:rPr>
        <w:t xml:space="preserve"> from the list of genes affected by VPA.</w:t>
      </w:r>
    </w:p>
    <w:sectPr w:rsidR="00F16093" w:rsidRPr="00D80C87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47613" w14:textId="77777777" w:rsidR="0011150E" w:rsidRDefault="0011150E" w:rsidP="00981755">
      <w:pPr>
        <w:spacing w:after="0" w:line="240" w:lineRule="auto"/>
      </w:pPr>
      <w:r>
        <w:separator/>
      </w:r>
    </w:p>
  </w:endnote>
  <w:endnote w:type="continuationSeparator" w:id="0">
    <w:p w14:paraId="6DE5D070" w14:textId="77777777" w:rsidR="0011150E" w:rsidRDefault="0011150E" w:rsidP="00981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8115869"/>
      <w:docPartObj>
        <w:docPartGallery w:val="Page Numbers (Bottom of Page)"/>
        <w:docPartUnique/>
      </w:docPartObj>
    </w:sdtPr>
    <w:sdtContent>
      <w:p w14:paraId="6A2EBA3E" w14:textId="63DE0D26" w:rsidR="00981755" w:rsidRDefault="0098175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b-NO"/>
          </w:rPr>
          <w:t>2</w:t>
        </w:r>
        <w:r>
          <w:fldChar w:fldCharType="end"/>
        </w:r>
      </w:p>
    </w:sdtContent>
  </w:sdt>
  <w:p w14:paraId="7CFFC332" w14:textId="77777777" w:rsidR="00981755" w:rsidRDefault="009817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6EEB4" w14:textId="77777777" w:rsidR="0011150E" w:rsidRDefault="0011150E" w:rsidP="00981755">
      <w:pPr>
        <w:spacing w:after="0" w:line="240" w:lineRule="auto"/>
      </w:pPr>
      <w:r>
        <w:separator/>
      </w:r>
    </w:p>
  </w:footnote>
  <w:footnote w:type="continuationSeparator" w:id="0">
    <w:p w14:paraId="67B1867A" w14:textId="77777777" w:rsidR="0011150E" w:rsidRDefault="0011150E" w:rsidP="009817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591"/>
    <w:rsid w:val="00036E30"/>
    <w:rsid w:val="00041806"/>
    <w:rsid w:val="00052A96"/>
    <w:rsid w:val="00060F1E"/>
    <w:rsid w:val="000A2927"/>
    <w:rsid w:val="0011150E"/>
    <w:rsid w:val="00153AB4"/>
    <w:rsid w:val="0022562F"/>
    <w:rsid w:val="00242827"/>
    <w:rsid w:val="003176C3"/>
    <w:rsid w:val="003411A1"/>
    <w:rsid w:val="00382629"/>
    <w:rsid w:val="0044234F"/>
    <w:rsid w:val="004A029E"/>
    <w:rsid w:val="00544199"/>
    <w:rsid w:val="005455D6"/>
    <w:rsid w:val="005758A3"/>
    <w:rsid w:val="00575A5B"/>
    <w:rsid w:val="0057660E"/>
    <w:rsid w:val="006475A1"/>
    <w:rsid w:val="006C2A6A"/>
    <w:rsid w:val="006D1D14"/>
    <w:rsid w:val="007A57AF"/>
    <w:rsid w:val="00833C8C"/>
    <w:rsid w:val="008825DE"/>
    <w:rsid w:val="008F6591"/>
    <w:rsid w:val="00981755"/>
    <w:rsid w:val="00A076DC"/>
    <w:rsid w:val="00A54C92"/>
    <w:rsid w:val="00A92930"/>
    <w:rsid w:val="00B932B9"/>
    <w:rsid w:val="00C01997"/>
    <w:rsid w:val="00C43ED4"/>
    <w:rsid w:val="00C801CC"/>
    <w:rsid w:val="00CD1063"/>
    <w:rsid w:val="00D343A3"/>
    <w:rsid w:val="00D80C87"/>
    <w:rsid w:val="00DB258E"/>
    <w:rsid w:val="00DB6FF1"/>
    <w:rsid w:val="00E87B50"/>
    <w:rsid w:val="00EA62CB"/>
    <w:rsid w:val="00F1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9E0BB"/>
  <w15:chartTrackingRefBased/>
  <w15:docId w15:val="{7CBD016D-CA23-418D-AEEB-3DD7A914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5D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DB258E"/>
    <w:pPr>
      <w:spacing w:after="0" w:line="240" w:lineRule="auto"/>
    </w:pPr>
    <w:rPr>
      <w:rFonts w:ascii="Arial" w:eastAsia="Arial" w:hAnsi="Arial" w:cs="Arial"/>
      <w:kern w:val="0"/>
      <w:sz w:val="20"/>
      <w:szCs w:val="20"/>
      <w:lang w:val="pl" w:eastAsia="nb-NO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258E"/>
    <w:rPr>
      <w:rFonts w:ascii="Arial" w:eastAsia="Arial" w:hAnsi="Arial" w:cs="Arial"/>
      <w:kern w:val="0"/>
      <w:sz w:val="20"/>
      <w:szCs w:val="20"/>
      <w:lang w:val="pl" w:eastAsia="nb-NO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B258E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1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755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81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75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8CBD9-1DFC-439A-B7A9-59FE1C2FC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9</Pages>
  <Words>856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Pawel Jaholkowski</dc:creator>
  <cp:keywords/>
  <dc:description/>
  <cp:lastModifiedBy>Piotr Pawel Jaholkowski</cp:lastModifiedBy>
  <cp:revision>22</cp:revision>
  <dcterms:created xsi:type="dcterms:W3CDTF">2024-03-08T13:35:00Z</dcterms:created>
  <dcterms:modified xsi:type="dcterms:W3CDTF">2025-09-16T10:55:00Z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http://www.zotero.org/styles/biological-psychiatry</vt:lpwstr>
  </property>
  <property fmtid="{D5CDD505-2E9C-101B-9397-08002B2CF9AE}" pid="9" name="Mendeley Recent Style Name 3_1">
    <vt:lpwstr>Biological Psychiatry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