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7369C" w14:textId="6B9D25D3" w:rsidR="00F0155C" w:rsidRPr="00F0155C" w:rsidRDefault="00D71739" w:rsidP="00F0155C">
      <w:pPr>
        <w:pStyle w:val="Titre"/>
      </w:pPr>
      <w:r>
        <w:t>The role of the Helmholtz potential on electrocatalytic activity</w:t>
      </w:r>
      <w:r w:rsidR="00F0155C">
        <w:br/>
      </w:r>
      <w:r w:rsidR="00F0155C">
        <w:br/>
        <w:t>Supplementary Information</w:t>
      </w:r>
      <w:r w:rsidR="00F0155C">
        <w:br/>
      </w:r>
    </w:p>
    <w:p w14:paraId="30B38062" w14:textId="10EBFDD6" w:rsidR="00481CE4" w:rsidRPr="004479B9" w:rsidRDefault="00D71739">
      <w:pPr>
        <w:pStyle w:val="Author"/>
        <w:rPr>
          <w:lang w:val="fr-FR"/>
        </w:rPr>
      </w:pPr>
      <w:r w:rsidRPr="004479B9">
        <w:rPr>
          <w:b/>
          <w:bCs/>
          <w:lang w:val="fr-FR"/>
        </w:rPr>
        <w:t>Arsène Chemin</w:t>
      </w:r>
      <w:r w:rsidRPr="004479B9">
        <w:rPr>
          <w:lang w:val="fr-FR"/>
        </w:rPr>
        <w:br/>
        <w:t>0000-0003-2338-1523</w:t>
      </w:r>
      <w:r w:rsidRPr="004479B9">
        <w:rPr>
          <w:lang w:val="fr-FR"/>
        </w:rPr>
        <w:br/>
      </w:r>
      <w:r w:rsidR="004479B9" w:rsidRPr="004479B9">
        <w:rPr>
          <w:lang w:val="fr-FR"/>
        </w:rPr>
        <w:t xml:space="preserve">Univ. Lyon, Université Claude Bernard Lyon 1, CNRS, UMR5306, Institut Lumière Matière, Villeurbanne, F-69100, France </w:t>
      </w:r>
      <w:r w:rsidRPr="004479B9">
        <w:rPr>
          <w:lang w:val="fr-FR"/>
        </w:rPr>
        <w:br/>
      </w:r>
      <w:hyperlink r:id="rId8" w:history="1">
        <w:r w:rsidR="004479B9" w:rsidRPr="004479B9">
          <w:rPr>
            <w:rStyle w:val="Lienhypertexte"/>
            <w:szCs w:val="21"/>
            <w:lang w:val="fr-FR"/>
          </w:rPr>
          <w:t xml:space="preserve">arsene.chemin@univ-lyon1.fr </w:t>
        </w:r>
      </w:hyperlink>
    </w:p>
    <w:p w14:paraId="127E215E" w14:textId="6BE41952" w:rsidR="004479B9" w:rsidRPr="00292D9E" w:rsidRDefault="004479B9" w:rsidP="004479B9">
      <w:pPr>
        <w:pStyle w:val="Author"/>
        <w:rPr>
          <w:lang w:val="de-DE"/>
        </w:rPr>
      </w:pPr>
      <w:r w:rsidRPr="00292D9E">
        <w:rPr>
          <w:b/>
          <w:bCs/>
          <w:lang w:val="de-DE"/>
        </w:rPr>
        <w:t>Louis Godeffroy</w:t>
      </w:r>
      <w:r w:rsidRPr="00292D9E">
        <w:rPr>
          <w:lang w:val="de-DE"/>
        </w:rPr>
        <w:br/>
        <w:t>0009-0003-2763-0408</w:t>
      </w:r>
      <w:r w:rsidRPr="00292D9E">
        <w:rPr>
          <w:lang w:val="de-DE"/>
        </w:rPr>
        <w:br/>
        <w:t xml:space="preserve">Helmholtz-Zentrum Berlin für Materialien und Energy GmbH </w:t>
      </w:r>
      <w:proofErr w:type="spellStart"/>
      <w:r w:rsidRPr="00292D9E">
        <w:rPr>
          <w:lang w:val="de-DE"/>
        </w:rPr>
        <w:t>Nanoscale</w:t>
      </w:r>
      <w:proofErr w:type="spellEnd"/>
      <w:r w:rsidRPr="00292D9E">
        <w:rPr>
          <w:lang w:val="de-DE"/>
        </w:rPr>
        <w:t xml:space="preserve"> Solid-Liquid Interfaces </w:t>
      </w:r>
      <w:proofErr w:type="gramStart"/>
      <w:r w:rsidRPr="00292D9E">
        <w:rPr>
          <w:lang w:val="de-DE"/>
        </w:rPr>
        <w:t>Albert-Einstein Str.</w:t>
      </w:r>
      <w:proofErr w:type="gramEnd"/>
      <w:r w:rsidRPr="00292D9E">
        <w:rPr>
          <w:lang w:val="de-DE"/>
        </w:rPr>
        <w:t xml:space="preserve"> 15 Berlin Germany</w:t>
      </w:r>
      <w:r w:rsidRPr="00292D9E">
        <w:rPr>
          <w:lang w:val="de-DE"/>
        </w:rPr>
        <w:br/>
        <w:t>louis.godeffroy@helmholtz-berlin.de</w:t>
      </w:r>
    </w:p>
    <w:p w14:paraId="60DBB04E" w14:textId="4BB58C81" w:rsidR="004479B9" w:rsidRPr="004479B9" w:rsidRDefault="004479B9" w:rsidP="004479B9">
      <w:pPr>
        <w:pStyle w:val="Author"/>
        <w:rPr>
          <w:lang w:val="fr-FR"/>
        </w:rPr>
      </w:pPr>
      <w:r w:rsidRPr="004479B9">
        <w:rPr>
          <w:b/>
          <w:bCs/>
          <w:lang w:val="fr-FR"/>
        </w:rPr>
        <w:t>David Amans</w:t>
      </w:r>
      <w:r>
        <w:rPr>
          <w:b/>
          <w:bCs/>
          <w:lang w:val="fr-FR"/>
        </w:rPr>
        <w:br/>
      </w:r>
      <w:r w:rsidRPr="004479B9">
        <w:rPr>
          <w:lang w:val="fr-FR"/>
        </w:rPr>
        <w:t>0000-0001-7553-2907</w:t>
      </w:r>
      <w:r w:rsidRPr="004479B9">
        <w:rPr>
          <w:lang w:val="fr-FR"/>
        </w:rPr>
        <w:br/>
        <w:t xml:space="preserve">Univ. Lyon, Université Claude Bernard Lyon 1, CNRS, UMR5306, Institut Lumière Matière, Villeurbanne, F-69100, France </w:t>
      </w:r>
      <w:r w:rsidRPr="004479B9">
        <w:rPr>
          <w:lang w:val="fr-FR"/>
        </w:rPr>
        <w:br/>
      </w:r>
      <w:hyperlink r:id="rId9" w:history="1">
        <w:r w:rsidRPr="000626B2">
          <w:rPr>
            <w:rStyle w:val="Lienhypertexte"/>
            <w:szCs w:val="21"/>
            <w:lang w:val="fr-FR"/>
          </w:rPr>
          <w:t>david.amans@univ-lyon1.fr</w:t>
        </w:r>
      </w:hyperlink>
    </w:p>
    <w:p w14:paraId="10C99FC5" w14:textId="521BF9AC" w:rsidR="00481CE4" w:rsidRDefault="00D71739" w:rsidP="00F0155C">
      <w:pPr>
        <w:pStyle w:val="Author"/>
        <w:rPr>
          <w:lang w:val="de-DE"/>
        </w:rPr>
      </w:pPr>
      <w:r w:rsidRPr="00292D9E">
        <w:rPr>
          <w:b/>
          <w:bCs/>
          <w:lang w:val="de-DE"/>
        </w:rPr>
        <w:t>Tristan Petit</w:t>
      </w:r>
      <w:r w:rsidR="004479B9" w:rsidRPr="00292D9E">
        <w:rPr>
          <w:b/>
          <w:bCs/>
          <w:lang w:val="de-DE"/>
        </w:rPr>
        <w:br/>
      </w:r>
      <w:r w:rsidR="004479B9" w:rsidRPr="00292D9E">
        <w:rPr>
          <w:lang w:val="de-DE"/>
        </w:rPr>
        <w:t>0000-0002-6504-072X</w:t>
      </w:r>
      <w:r w:rsidRPr="00292D9E">
        <w:rPr>
          <w:lang w:val="de-DE"/>
        </w:rPr>
        <w:br/>
      </w:r>
      <w:r w:rsidR="009A24F1" w:rsidRPr="00292D9E">
        <w:rPr>
          <w:lang w:val="de-DE"/>
        </w:rPr>
        <w:t xml:space="preserve">Helmholtz-Zentrum Berlin für Materialien und Energy GmbH </w:t>
      </w:r>
      <w:proofErr w:type="spellStart"/>
      <w:r w:rsidR="009A24F1" w:rsidRPr="00292D9E">
        <w:rPr>
          <w:lang w:val="de-DE"/>
        </w:rPr>
        <w:t>Nanoscale</w:t>
      </w:r>
      <w:proofErr w:type="spellEnd"/>
      <w:r w:rsidR="009A24F1" w:rsidRPr="00292D9E">
        <w:rPr>
          <w:lang w:val="de-DE"/>
        </w:rPr>
        <w:t xml:space="preserve"> Solid-Liquid Interface</w:t>
      </w:r>
      <w:r w:rsidRPr="00292D9E">
        <w:rPr>
          <w:lang w:val="de-DE"/>
        </w:rPr>
        <w:t xml:space="preserve">s </w:t>
      </w:r>
      <w:proofErr w:type="gramStart"/>
      <w:r w:rsidRPr="00292D9E">
        <w:rPr>
          <w:lang w:val="de-DE"/>
        </w:rPr>
        <w:t>Albert-Einstein Str.</w:t>
      </w:r>
      <w:proofErr w:type="gramEnd"/>
      <w:r w:rsidRPr="00292D9E">
        <w:rPr>
          <w:lang w:val="de-DE"/>
        </w:rPr>
        <w:t xml:space="preserve"> 15 Berlin Germany</w:t>
      </w:r>
      <w:r w:rsidRPr="00292D9E">
        <w:rPr>
          <w:lang w:val="de-DE"/>
        </w:rPr>
        <w:br/>
      </w:r>
      <w:hyperlink r:id="rId10" w:history="1">
        <w:r w:rsidR="00F0155C" w:rsidRPr="00497403">
          <w:rPr>
            <w:rStyle w:val="Lienhypertexte"/>
            <w:szCs w:val="21"/>
            <w:lang w:val="de-DE"/>
          </w:rPr>
          <w:t>tristan.petit@helmholtz-berlin.de</w:t>
        </w:r>
      </w:hyperlink>
      <w:bookmarkStart w:id="0" w:name="sec:qekghevlmlrq"/>
      <w:bookmarkStart w:id="1" w:name="Xc3cd1f686c34e62723e9f01388b07b8adde85d2"/>
    </w:p>
    <w:p w14:paraId="2A441F62" w14:textId="452D21A4" w:rsidR="00F0155C" w:rsidRDefault="00F0155C" w:rsidP="00F0155C">
      <w:pPr>
        <w:pStyle w:val="Corpsdetexte"/>
        <w:rPr>
          <w:lang w:val="de-DE"/>
        </w:rPr>
      </w:pPr>
    </w:p>
    <w:p w14:paraId="12559373" w14:textId="77777777" w:rsidR="00F0155C" w:rsidRPr="00F0155C" w:rsidRDefault="00F0155C" w:rsidP="00F0155C">
      <w:pPr>
        <w:pStyle w:val="Corpsdetexte"/>
        <w:rPr>
          <w:lang w:val="de-DE"/>
        </w:rPr>
      </w:pPr>
    </w:p>
    <w:p w14:paraId="7AFC8496" w14:textId="6BC6A070" w:rsidR="001426EB" w:rsidRPr="004B422D" w:rsidRDefault="001426EB" w:rsidP="001426EB">
      <w:pPr>
        <w:pStyle w:val="Titre2"/>
        <w:rPr>
          <w:bCs/>
        </w:rPr>
      </w:pPr>
      <w:r w:rsidRPr="004B422D">
        <w:rPr>
          <w:bCs/>
        </w:rPr>
        <w:lastRenderedPageBreak/>
        <w:t xml:space="preserve">Supplementary Note 1: </w:t>
      </w:r>
      <w:bookmarkStart w:id="2" w:name="_Hlk207130825"/>
      <w:r w:rsidR="003B4B7F" w:rsidRPr="004B422D">
        <w:rPr>
          <w:bCs/>
        </w:rPr>
        <w:t xml:space="preserve">HER </w:t>
      </w:r>
      <w:r w:rsidRPr="004B422D">
        <w:rPr>
          <w:bCs/>
        </w:rPr>
        <w:t>Overpotential as a function of the Helmholtz potential</w:t>
      </w:r>
    </w:p>
    <w:bookmarkEnd w:id="2"/>
    <w:p w14:paraId="4477560B" w14:textId="77777777" w:rsidR="001426EB" w:rsidRPr="004B422D" w:rsidRDefault="001426EB" w:rsidP="001426EB">
      <w:r w:rsidRPr="004B422D">
        <w:t>In the specific case of HER, the extended Butler–Volmer equation (Eq. 1) can be rewritten:</w:t>
      </w:r>
    </w:p>
    <w:p w14:paraId="312CBF09" w14:textId="77777777" w:rsidR="001426EB" w:rsidRPr="004B422D" w:rsidRDefault="00F83C00" w:rsidP="001426EB">
      <m:oMathPara>
        <m:oMath>
          <m:f>
            <m:fPr>
              <m:ctrlPr>
                <w:rPr>
                  <w:rFonts w:ascii="Cambria Math" w:hAnsi="Cambria Math"/>
                  <w:i/>
                </w:rPr>
              </m:ctrlPr>
            </m:fPr>
            <m:num>
              <m:r>
                <w:rPr>
                  <w:rFonts w:ascii="Cambria Math" w:hAnsi="Cambria Math"/>
                </w:rPr>
                <m:t>j</m:t>
              </m:r>
            </m:num>
            <m:den>
              <m:sSub>
                <m:sSubPr>
                  <m:ctrlPr>
                    <w:rPr>
                      <w:rFonts w:ascii="Cambria Math" w:hAnsi="Cambria Math"/>
                    </w:rPr>
                  </m:ctrlPr>
                </m:sSubPr>
                <m:e>
                  <m:r>
                    <w:rPr>
                      <w:rFonts w:ascii="Cambria Math" w:hAnsi="Cambria Math"/>
                    </w:rPr>
                    <m:t>j</m:t>
                  </m:r>
                  <m:ctrlPr>
                    <w:rPr>
                      <w:rFonts w:ascii="Cambria Math" w:hAnsi="Cambria Math"/>
                      <w:i/>
                    </w:rPr>
                  </m:ctrlPr>
                </m:e>
                <m:sub>
                  <m:r>
                    <w:rPr>
                      <w:rFonts w:ascii="Cambria Math" w:hAnsi="Cambria Math"/>
                    </w:rPr>
                    <m:t>0</m:t>
                  </m:r>
                </m:sub>
              </m:sSub>
            </m:den>
          </m:f>
          <m:r>
            <m:rPr>
              <m:sty m:val="p"/>
            </m:rPr>
            <w:rPr>
              <w:rFonts w:ascii="Cambria Math" w:hAnsi="Cambria Math"/>
            </w:rPr>
            <m:t>=</m:t>
          </m:r>
          <m:sSup>
            <m:sSupPr>
              <m:ctrlPr>
                <w:rPr>
                  <w:rFonts w:ascii="Cambria Math" w:hAnsi="Cambria Math"/>
                </w:rPr>
              </m:ctrlPr>
            </m:sSupPr>
            <m:e>
              <m:sSub>
                <m:sSubPr>
                  <m:ctrlPr>
                    <w:rPr>
                      <w:rFonts w:ascii="Cambria Math" w:hAnsi="Cambria Math"/>
                      <w:i/>
                    </w:rPr>
                  </m:ctrlPr>
                </m:sSubPr>
                <m:e>
                  <m:r>
                    <w:rPr>
                      <w:rFonts w:ascii="Cambria Math" w:hAnsi="Cambria Math"/>
                    </w:rPr>
                    <m:t>r</m:t>
                  </m:r>
                </m:e>
                <m:sub>
                  <m:sSub>
                    <m:sSubPr>
                      <m:ctrlPr>
                        <w:rPr>
                          <w:rFonts w:ascii="Cambria Math" w:hAnsi="Cambria Math"/>
                          <w:i/>
                        </w:rPr>
                      </m:ctrlPr>
                    </m:sSubPr>
                    <m:e>
                      <m:r>
                        <w:rPr>
                          <w:rFonts w:ascii="Cambria Math" w:hAnsi="Cambria Math"/>
                        </w:rPr>
                        <m:t>H</m:t>
                      </m:r>
                    </m:e>
                    <m:sub>
                      <m:r>
                        <w:rPr>
                          <w:rFonts w:ascii="Cambria Math" w:hAnsi="Cambria Math"/>
                        </w:rPr>
                        <m:t>2</m:t>
                      </m:r>
                    </m:sub>
                  </m:sSub>
                </m:sub>
              </m:sSub>
              <m:r>
                <w:rPr>
                  <w:rFonts w:ascii="Cambria Math" w:hAnsi="Cambria Math"/>
                </w:rPr>
                <m:t>e</m:t>
              </m:r>
            </m:e>
            <m:sup>
              <m:f>
                <m:fPr>
                  <m:ctrlPr>
                    <w:rPr>
                      <w:rFonts w:ascii="Cambria Math" w:hAnsi="Cambria Math"/>
                    </w:rPr>
                  </m:ctrlPr>
                </m:fPr>
                <m:num>
                  <m:r>
                    <w:rPr>
                      <w:rFonts w:ascii="Cambria Math" w:hAnsi="Cambria Math"/>
                    </w:rPr>
                    <m:t>Fη</m:t>
                  </m:r>
                </m:num>
                <m:den>
                  <m:r>
                    <w:rPr>
                      <w:rFonts w:ascii="Cambria Math" w:hAnsi="Cambria Math"/>
                    </w:rPr>
                    <m:t>RT</m:t>
                  </m:r>
                </m:den>
              </m:f>
            </m:sup>
          </m:sSup>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H+</m:t>
              </m:r>
            </m:sub>
          </m:sSub>
          <m:sSup>
            <m:sSupPr>
              <m:ctrlPr>
                <w:rPr>
                  <w:rFonts w:ascii="Cambria Math" w:hAnsi="Cambria Math"/>
                </w:rPr>
              </m:ctrlPr>
            </m:sSupPr>
            <m:e>
              <m:r>
                <w:rPr>
                  <w:rFonts w:ascii="Cambria Math" w:hAnsi="Cambria Math"/>
                </w:rPr>
                <m:t>e</m:t>
              </m:r>
            </m:e>
            <m:sup>
              <m:r>
                <m:rPr>
                  <m:sty m:val="p"/>
                </m:rPr>
                <w:rPr>
                  <w:rFonts w:ascii="Cambria Math" w:hAnsi="Cambria Math"/>
                </w:rPr>
                <m:t>-</m:t>
              </m:r>
              <m:f>
                <m:fPr>
                  <m:ctrlPr>
                    <w:rPr>
                      <w:rFonts w:ascii="Cambria Math" w:hAnsi="Cambria Math"/>
                    </w:rPr>
                  </m:ctrlPr>
                </m:fPr>
                <m:num>
                  <m:r>
                    <w:rPr>
                      <w:rFonts w:ascii="Cambria Math" w:hAnsi="Cambria Math"/>
                    </w:rPr>
                    <m:t>Fη</m:t>
                  </m:r>
                </m:num>
                <m:den>
                  <m:r>
                    <w:rPr>
                      <w:rFonts w:ascii="Cambria Math" w:hAnsi="Cambria Math"/>
                    </w:rPr>
                    <m:t>RT</m:t>
                  </m:r>
                </m:den>
              </m:f>
            </m:sup>
          </m:sSup>
          <m:r>
            <m:rPr>
              <m:sty m:val="p"/>
            </m:rPr>
            <w:rPr>
              <w:rFonts w:ascii="Cambria Math" w:hAnsi="Cambria Math"/>
            </w:rPr>
            <m:t xml:space="preserve">, </m:t>
          </m:r>
          <m:r>
            <w:rPr>
              <w:rFonts w:ascii="Cambria Math" w:hAnsi="Cambria Math"/>
            </w:rPr>
            <m:t> </m:t>
          </m:r>
          <m:sSub>
            <m:sSubPr>
              <m:ctrlPr>
                <w:rPr>
                  <w:rFonts w:ascii="Cambria Math" w:hAnsi="Cambria Math"/>
                </w:rPr>
              </m:ctrlPr>
            </m:sSubPr>
            <m:e>
              <m:r>
                <w:rPr>
                  <w:rFonts w:ascii="Cambria Math" w:hAnsi="Cambria Math"/>
                </w:rPr>
                <m:t>r</m:t>
              </m:r>
            </m:e>
            <m:sub>
              <m:r>
                <w:rPr>
                  <w:rFonts w:ascii="Cambria Math" w:hAnsi="Cambria Math"/>
                </w:rPr>
                <m:t>H+</m:t>
              </m:r>
            </m:sub>
          </m:sSub>
          <m:r>
            <w:rPr>
              <w:rFonts w:ascii="Cambria Math" w:hAnsi="Cambria Math"/>
            </w:rPr>
            <m:t>=</m:t>
          </m:r>
          <m:f>
            <m:fPr>
              <m:ctrlPr>
                <w:rPr>
                  <w:rFonts w:ascii="Cambria Math" w:hAnsi="Cambria Math"/>
                </w:rPr>
              </m:ctrlPr>
            </m:fPr>
            <m:num>
              <m:sSub>
                <m:sSubPr>
                  <m:ctrlPr>
                    <w:rPr>
                      <w:rFonts w:ascii="Cambria Math" w:hAnsi="Cambria Math"/>
                    </w:rPr>
                  </m:ctrlPr>
                </m:sSubPr>
                <m:e>
                  <m:d>
                    <m:dPr>
                      <m:begChr m:val="["/>
                      <m:endChr m:val="]"/>
                      <m:ctrlPr>
                        <w:rPr>
                          <w:rFonts w:ascii="Cambria Math" w:hAnsi="Cambria Math"/>
                        </w:rPr>
                      </m:ctrlPr>
                    </m:dPr>
                    <m:e>
                      <m:sSup>
                        <m:sSupPr>
                          <m:ctrlPr>
                            <w:rPr>
                              <w:rFonts w:ascii="Cambria Math" w:hAnsi="Cambria Math"/>
                              <w:iCs/>
                            </w:rPr>
                          </m:ctrlPr>
                        </m:sSupPr>
                        <m:e>
                          <m:r>
                            <m:rPr>
                              <m:sty m:val="p"/>
                            </m:rPr>
                            <w:rPr>
                              <w:rFonts w:ascii="Cambria Math" w:hAnsi="Cambria Math"/>
                            </w:rPr>
                            <m:t>H</m:t>
                          </m:r>
                        </m:e>
                        <m:sup>
                          <m:r>
                            <m:rPr>
                              <m:sty m:val="p"/>
                            </m:rPr>
                            <w:rPr>
                              <w:rFonts w:ascii="Cambria Math" w:hAnsi="Cambria Math"/>
                            </w:rPr>
                            <m:t>+</m:t>
                          </m:r>
                        </m:sup>
                      </m:sSup>
                    </m:e>
                  </m:d>
                </m:e>
                <m:sub>
                  <m:r>
                    <w:rPr>
                      <w:rFonts w:ascii="Cambria Math" w:hAnsi="Cambria Math"/>
                    </w:rPr>
                    <m:t>surf</m:t>
                  </m:r>
                </m:sub>
              </m:sSub>
              <m:ctrlPr>
                <w:rPr>
                  <w:rFonts w:ascii="Cambria Math" w:hAnsi="Cambria Math"/>
                  <w:i/>
                </w:rPr>
              </m:ctrlPr>
            </m:num>
            <m:den>
              <m:sSub>
                <m:sSubPr>
                  <m:ctrlPr>
                    <w:rPr>
                      <w:rFonts w:ascii="Cambria Math" w:hAnsi="Cambria Math"/>
                    </w:rPr>
                  </m:ctrlPr>
                </m:sSubPr>
                <m:e>
                  <m:d>
                    <m:dPr>
                      <m:begChr m:val="["/>
                      <m:endChr m:val="]"/>
                      <m:ctrlPr>
                        <w:rPr>
                          <w:rFonts w:ascii="Cambria Math" w:hAnsi="Cambria Math"/>
                        </w:rPr>
                      </m:ctrlPr>
                    </m:dPr>
                    <m:e>
                      <m:sSup>
                        <m:sSupPr>
                          <m:ctrlPr>
                            <w:rPr>
                              <w:rFonts w:ascii="Cambria Math" w:hAnsi="Cambria Math"/>
                              <w:iCs/>
                            </w:rPr>
                          </m:ctrlPr>
                        </m:sSupPr>
                        <m:e>
                          <m:r>
                            <m:rPr>
                              <m:sty m:val="p"/>
                            </m:rPr>
                            <w:rPr>
                              <w:rFonts w:ascii="Cambria Math" w:hAnsi="Cambria Math"/>
                            </w:rPr>
                            <m:t>H</m:t>
                          </m:r>
                        </m:e>
                        <m:sup>
                          <m:r>
                            <m:rPr>
                              <m:sty m:val="p"/>
                            </m:rPr>
                            <w:rPr>
                              <w:rFonts w:ascii="Cambria Math" w:hAnsi="Cambria Math"/>
                            </w:rPr>
                            <m:t>+</m:t>
                          </m:r>
                        </m:sup>
                      </m:sSup>
                    </m:e>
                  </m:d>
                </m:e>
                <m:sub>
                  <m:r>
                    <w:rPr>
                      <w:rFonts w:ascii="Cambria Math" w:hAnsi="Cambria Math"/>
                    </w:rPr>
                    <m:t>bulk</m:t>
                  </m:r>
                </m:sub>
              </m:sSub>
            </m:den>
          </m:f>
          <m:r>
            <w:rPr>
              <w:rFonts w:ascii="Cambria Math" w:hAnsi="Cambria Math"/>
            </w:rPr>
            <m:t>=</m:t>
          </m:r>
          <m:sSup>
            <m:sSupPr>
              <m:ctrlPr>
                <w:rPr>
                  <w:rFonts w:ascii="Cambria Math" w:hAnsi="Cambria Math"/>
                  <w:i/>
                </w:rPr>
              </m:ctrlPr>
            </m:sSupPr>
            <m:e>
              <m:r>
                <w:rPr>
                  <w:rFonts w:ascii="Cambria Math" w:hAnsi="Cambria Math"/>
                </w:rPr>
                <m:t>e</m:t>
              </m:r>
            </m:e>
            <m:sup>
              <m:r>
                <m:rPr>
                  <m:sty m:val="p"/>
                </m:rPr>
                <w:rPr>
                  <w:rFonts w:ascii="Cambria Math" w:hAnsi="Cambria Math"/>
                </w:rPr>
                <m:t>-</m:t>
              </m:r>
              <m:f>
                <m:fPr>
                  <m:ctrlPr>
                    <w:rPr>
                      <w:rFonts w:ascii="Cambria Math" w:hAnsi="Cambria Math"/>
                    </w:rPr>
                  </m:ctrlPr>
                </m:fPr>
                <m:num>
                  <m:r>
                    <w:rPr>
                      <w:rFonts w:ascii="Cambria Math" w:hAnsi="Cambria Math"/>
                    </w:rPr>
                    <m:t>q</m:t>
                  </m:r>
                  <m:sSub>
                    <m:sSubPr>
                      <m:ctrlPr>
                        <w:rPr>
                          <w:rFonts w:ascii="Cambria Math" w:hAnsi="Cambria Math"/>
                        </w:rPr>
                      </m:ctrlPr>
                    </m:sSubPr>
                    <m:e>
                      <m:r>
                        <w:rPr>
                          <w:rFonts w:ascii="Cambria Math" w:hAnsi="Cambria Math"/>
                        </w:rPr>
                        <m:t>V</m:t>
                      </m:r>
                      <m:ctrlPr>
                        <w:rPr>
                          <w:rFonts w:ascii="Cambria Math" w:hAnsi="Cambria Math"/>
                          <w:i/>
                        </w:rPr>
                      </m:ctrlPr>
                    </m:e>
                    <m:sub>
                      <m:r>
                        <w:rPr>
                          <w:rFonts w:ascii="Cambria Math" w:hAnsi="Cambria Math"/>
                        </w:rPr>
                        <m:t>H</m:t>
                      </m:r>
                    </m:sub>
                  </m:sSub>
                </m:num>
                <m:den>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sup>
          </m:sSup>
          <m:r>
            <w:rPr>
              <w:rFonts w:ascii="Cambria Math" w:hAnsi="Cambria Math"/>
            </w:rPr>
            <m:t xml:space="preserve">,        </m:t>
          </m:r>
          <m:sSub>
            <m:sSubPr>
              <m:ctrlPr>
                <w:rPr>
                  <w:rFonts w:ascii="Cambria Math" w:hAnsi="Cambria Math"/>
                  <w:i/>
                </w:rPr>
              </m:ctrlPr>
            </m:sSubPr>
            <m:e>
              <m:r>
                <w:rPr>
                  <w:rFonts w:ascii="Cambria Math" w:hAnsi="Cambria Math"/>
                </w:rPr>
                <m:t>r</m:t>
              </m:r>
            </m:e>
            <m:sub>
              <m:sSub>
                <m:sSubPr>
                  <m:ctrlPr>
                    <w:rPr>
                      <w:rFonts w:ascii="Cambria Math" w:hAnsi="Cambria Math"/>
                      <w:i/>
                    </w:rPr>
                  </m:ctrlPr>
                </m:sSubPr>
                <m:e>
                  <m:r>
                    <w:rPr>
                      <w:rFonts w:ascii="Cambria Math" w:hAnsi="Cambria Math"/>
                    </w:rPr>
                    <m:t>H</m:t>
                  </m:r>
                </m:e>
                <m:sub>
                  <m:r>
                    <w:rPr>
                      <w:rFonts w:ascii="Cambria Math" w:hAnsi="Cambria Math"/>
                    </w:rPr>
                    <m:t>2</m:t>
                  </m:r>
                </m:sub>
              </m:sSub>
            </m:sub>
          </m:sSub>
          <m:r>
            <w:rPr>
              <w:rFonts w:ascii="Cambria Math" w:hAnsi="Cambria Math"/>
            </w:rPr>
            <m:t xml:space="preserve">= </m:t>
          </m:r>
          <m:f>
            <m:fPr>
              <m:ctrlPr>
                <w:rPr>
                  <w:rFonts w:ascii="Cambria Math" w:hAnsi="Cambria Math"/>
                </w:rPr>
              </m:ctrlPr>
            </m:fPr>
            <m:num>
              <m:sSub>
                <m:sSubPr>
                  <m:ctrlPr>
                    <w:rPr>
                      <w:rFonts w:ascii="Cambria Math" w:hAnsi="Cambria Math"/>
                    </w:rPr>
                  </m:ctrlPr>
                </m:sSubPr>
                <m:e>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H</m:t>
                          </m:r>
                        </m:e>
                        <m:sub>
                          <m:r>
                            <w:rPr>
                              <w:rFonts w:ascii="Cambria Math" w:hAnsi="Cambria Math"/>
                            </w:rPr>
                            <m:t>2</m:t>
                          </m:r>
                        </m:sub>
                      </m:sSub>
                    </m:e>
                  </m:d>
                </m:e>
                <m:sub>
                  <m:r>
                    <w:rPr>
                      <w:rFonts w:ascii="Cambria Math" w:hAnsi="Cambria Math"/>
                    </w:rPr>
                    <m:t>surf</m:t>
                  </m:r>
                </m:sub>
              </m:sSub>
              <m:ctrlPr>
                <w:rPr>
                  <w:rFonts w:ascii="Cambria Math" w:hAnsi="Cambria Math"/>
                  <w:i/>
                </w:rPr>
              </m:ctrlPr>
            </m:num>
            <m:den>
              <m:sSub>
                <m:sSubPr>
                  <m:ctrlPr>
                    <w:rPr>
                      <w:rFonts w:ascii="Cambria Math" w:hAnsi="Cambria Math"/>
                    </w:rPr>
                  </m:ctrlPr>
                </m:sSubPr>
                <m:e>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H</m:t>
                          </m:r>
                        </m:e>
                        <m:sub>
                          <m:r>
                            <w:rPr>
                              <w:rFonts w:ascii="Cambria Math" w:hAnsi="Cambria Math"/>
                            </w:rPr>
                            <m:t>2</m:t>
                          </m:r>
                        </m:sub>
                      </m:sSub>
                    </m:e>
                  </m:d>
                </m:e>
                <m:sub>
                  <m:r>
                    <w:rPr>
                      <w:rFonts w:ascii="Cambria Math" w:hAnsi="Cambria Math"/>
                    </w:rPr>
                    <m:t>bulk</m:t>
                  </m:r>
                </m:sub>
              </m:sSub>
            </m:den>
          </m:f>
          <m:r>
            <w:rPr>
              <w:rFonts w:ascii="Cambria Math" w:hAnsi="Cambria Math"/>
            </w:rPr>
            <m:t xml:space="preserve">  </m:t>
          </m:r>
          <m:r>
            <m:rPr>
              <m:sty m:val="p"/>
            </m:rPr>
            <w:rPr>
              <w:rFonts w:ascii="Cambria Math" w:hAnsi="Cambria Math"/>
            </w:rPr>
            <m:t>(</m:t>
          </m:r>
          <m:r>
            <w:rPr>
              <w:rFonts w:ascii="Cambria Math" w:hAnsi="Cambria Math"/>
            </w:rPr>
            <m:t>S1.1</m:t>
          </m:r>
          <m:r>
            <m:rPr>
              <m:sty m:val="p"/>
            </m:rPr>
            <w:rPr>
              <w:rFonts w:ascii="Cambria Math" w:hAnsi="Cambria Math"/>
            </w:rPr>
            <m:t>)</m:t>
          </m:r>
        </m:oMath>
      </m:oMathPara>
    </w:p>
    <w:p w14:paraId="1CA98A59" w14:textId="007AD5E1" w:rsidR="001426EB" w:rsidRPr="004B422D" w:rsidRDefault="001426EB" w:rsidP="001426EB">
      <w:pPr>
        <w:jc w:val="both"/>
      </w:pPr>
      <w:r w:rsidRPr="004B422D">
        <w:t xml:space="preserve">For a target current density </w:t>
      </w:r>
      <m:oMath>
        <m:r>
          <w:rPr>
            <w:rFonts w:ascii="Cambria Math" w:hAnsi="Cambria Math"/>
          </w:rPr>
          <m:t>j=-0.005</m:t>
        </m:r>
      </m:oMath>
      <w:r w:rsidRPr="004B422D">
        <w:t xml:space="preserve"> A/cm</w:t>
      </w:r>
      <w:r w:rsidRPr="004B422D">
        <w:rPr>
          <w:vertAlign w:val="superscript"/>
        </w:rPr>
        <w:t>2</w:t>
      </w:r>
      <w:r w:rsidRPr="004B422D">
        <w:t xml:space="preserve">, and an exchange current density </w:t>
      </w:r>
      <m:oMath>
        <m:sSub>
          <m:sSubPr>
            <m:ctrlPr>
              <w:rPr>
                <w:rFonts w:ascii="Cambria Math" w:hAnsi="Cambria Math"/>
              </w:rPr>
            </m:ctrlPr>
          </m:sSubPr>
          <m:e>
            <m:r>
              <w:rPr>
                <w:rFonts w:ascii="Cambria Math" w:hAnsi="Cambria Math"/>
              </w:rPr>
              <m:t>j</m:t>
            </m:r>
            <m:ctrlPr>
              <w:rPr>
                <w:rFonts w:ascii="Cambria Math" w:hAnsi="Cambria Math"/>
                <w:i/>
              </w:rPr>
            </m:ctrlPr>
          </m:e>
          <m:sub>
            <m:r>
              <w:rPr>
                <w:rFonts w:ascii="Cambria Math" w:hAnsi="Cambria Math"/>
              </w:rPr>
              <m:t>0</m:t>
            </m:r>
          </m:sub>
        </m:sSub>
      </m:oMath>
      <w:r w:rsidRPr="004B422D">
        <w:t xml:space="preserve"> = 10 A/cm</w:t>
      </w:r>
      <w:r w:rsidRPr="004B422D">
        <w:rPr>
          <w:vertAlign w:val="superscript"/>
        </w:rPr>
        <w:t>2</w:t>
      </w:r>
      <w:r w:rsidRPr="004B422D">
        <w:t xml:space="preserve"> deduced from data fitting in Figure 1, equation S4.1 can be inverted to compute the overpotential </w:t>
      </w:r>
      <m:oMath>
        <m:r>
          <w:rPr>
            <w:rFonts w:ascii="Cambria Math" w:hAnsi="Cambria Math"/>
          </w:rPr>
          <m:t>η</m:t>
        </m:r>
      </m:oMath>
      <w:r w:rsidRPr="004B422D">
        <w:t xml:space="preserve"> as a function of the Helm</w:t>
      </w:r>
      <w:r w:rsidR="00386F38" w:rsidRPr="004B422D">
        <w:t>h</w:t>
      </w:r>
      <w:r w:rsidRPr="004B422D">
        <w:t xml:space="preserve">oltz potential </w:t>
      </w:r>
      <m:oMath>
        <m:sSub>
          <m:sSubPr>
            <m:ctrlPr>
              <w:rPr>
                <w:rFonts w:ascii="Cambria Math" w:hAnsi="Cambria Math"/>
              </w:rPr>
            </m:ctrlPr>
          </m:sSubPr>
          <m:e>
            <m:r>
              <w:rPr>
                <w:rFonts w:ascii="Cambria Math" w:hAnsi="Cambria Math"/>
              </w:rPr>
              <m:t>V</m:t>
            </m:r>
            <m:ctrlPr>
              <w:rPr>
                <w:rFonts w:ascii="Cambria Math" w:hAnsi="Cambria Math"/>
                <w:i/>
              </w:rPr>
            </m:ctrlPr>
          </m:e>
          <m:sub>
            <m:r>
              <w:rPr>
                <w:rFonts w:ascii="Cambria Math" w:hAnsi="Cambria Math"/>
              </w:rPr>
              <m:t>H</m:t>
            </m:r>
          </m:sub>
        </m:sSub>
      </m:oMath>
      <w:r w:rsidRPr="004B422D">
        <w:t>, accounting for both cathodic and anodic currents. By setting</w:t>
      </w:r>
      <w:r w:rsidRPr="004B422D">
        <w:rPr>
          <w:rStyle w:val="katex-mathml"/>
        </w:rPr>
        <w:t xml:space="preserve"> </w:t>
      </w:r>
      <m:oMath>
        <m:r>
          <w:rPr>
            <w:rStyle w:val="katex-mathml"/>
            <w:rFonts w:ascii="Cambria Math" w:hAnsi="Cambria Math"/>
          </w:rPr>
          <m:t>X=</m:t>
        </m:r>
        <m:sSup>
          <m:sSupPr>
            <m:ctrlPr>
              <w:rPr>
                <w:rFonts w:ascii="Cambria Math" w:hAnsi="Cambria Math"/>
              </w:rPr>
            </m:ctrlPr>
          </m:sSupPr>
          <m:e>
            <m:r>
              <w:rPr>
                <w:rFonts w:ascii="Cambria Math" w:hAnsi="Cambria Math"/>
              </w:rPr>
              <m:t>e</m:t>
            </m:r>
          </m:e>
          <m:sup>
            <m:r>
              <m:rPr>
                <m:sty m:val="p"/>
              </m:rPr>
              <w:rPr>
                <w:rFonts w:ascii="Cambria Math" w:hAnsi="Cambria Math"/>
              </w:rPr>
              <m:t>-</m:t>
            </m:r>
            <m:f>
              <m:fPr>
                <m:ctrlPr>
                  <w:rPr>
                    <w:rFonts w:ascii="Cambria Math" w:hAnsi="Cambria Math"/>
                  </w:rPr>
                </m:ctrlPr>
              </m:fPr>
              <m:num>
                <m:r>
                  <w:rPr>
                    <w:rFonts w:ascii="Cambria Math" w:hAnsi="Cambria Math"/>
                  </w:rPr>
                  <m:t>Fη</m:t>
                </m:r>
              </m:num>
              <m:den>
                <m:r>
                  <w:rPr>
                    <w:rFonts w:ascii="Cambria Math" w:hAnsi="Cambria Math"/>
                  </w:rPr>
                  <m:t>RT</m:t>
                </m:r>
              </m:den>
            </m:f>
          </m:sup>
        </m:sSup>
      </m:oMath>
      <w:r w:rsidRPr="004B422D">
        <w:t xml:space="preserve">, Equation S1.1 reduces to solving a second-degree polynomial. </w:t>
      </w:r>
    </w:p>
    <w:p w14:paraId="2F2D3626" w14:textId="77777777" w:rsidR="001426EB" w:rsidRPr="004B422D" w:rsidRDefault="001426EB" w:rsidP="001426EB">
      <m:oMathPara>
        <m:oMath>
          <m:r>
            <m:rPr>
              <m:sty m:val="p"/>
            </m:rPr>
            <w:rPr>
              <w:rFonts w:ascii="Cambria Math" w:hAnsi="Cambria Math"/>
            </w:rPr>
            <m:t>0=-</m:t>
          </m:r>
          <m:sSub>
            <m:sSubPr>
              <m:ctrlPr>
                <w:rPr>
                  <w:rFonts w:ascii="Cambria Math" w:hAnsi="Cambria Math"/>
                </w:rPr>
              </m:ctrlPr>
            </m:sSubPr>
            <m:e>
              <m:r>
                <w:rPr>
                  <w:rFonts w:ascii="Cambria Math" w:hAnsi="Cambria Math"/>
                </w:rPr>
                <m:t>r</m:t>
              </m:r>
            </m:e>
            <m:sub>
              <m:r>
                <w:rPr>
                  <w:rFonts w:ascii="Cambria Math" w:hAnsi="Cambria Math"/>
                </w:rPr>
                <m:t>H+</m:t>
              </m:r>
            </m:sub>
          </m:sSub>
          <m:sSup>
            <m:sSupPr>
              <m:ctrlPr>
                <w:rPr>
                  <w:rFonts w:ascii="Cambria Math" w:hAnsi="Cambria Math"/>
                </w:rPr>
              </m:ctrlPr>
            </m:sSupPr>
            <m:e>
              <m:r>
                <m:rPr>
                  <m:sty m:val="p"/>
                </m:rPr>
                <w:rPr>
                  <w:rFonts w:ascii="Cambria Math" w:hAnsi="Cambria Math"/>
                </w:rPr>
                <m:t>X</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j</m:t>
              </m:r>
            </m:num>
            <m:den>
              <m:sSub>
                <m:sSubPr>
                  <m:ctrlPr>
                    <w:rPr>
                      <w:rFonts w:ascii="Cambria Math" w:hAnsi="Cambria Math"/>
                    </w:rPr>
                  </m:ctrlPr>
                </m:sSubPr>
                <m:e>
                  <m:r>
                    <w:rPr>
                      <w:rFonts w:ascii="Cambria Math" w:hAnsi="Cambria Math"/>
                    </w:rPr>
                    <m:t>j</m:t>
                  </m:r>
                  <m:ctrlPr>
                    <w:rPr>
                      <w:rFonts w:ascii="Cambria Math" w:hAnsi="Cambria Math"/>
                      <w:i/>
                    </w:rPr>
                  </m:ctrlPr>
                </m:e>
                <m:sub>
                  <m:r>
                    <w:rPr>
                      <w:rFonts w:ascii="Cambria Math" w:hAnsi="Cambria Math"/>
                    </w:rPr>
                    <m:t>0</m:t>
                  </m:r>
                </m:sub>
              </m:sSub>
            </m:den>
          </m:f>
          <m:r>
            <w:rPr>
              <w:rFonts w:ascii="Cambria Math" w:hAnsi="Cambria Math"/>
            </w:rPr>
            <m:t>X+</m:t>
          </m:r>
          <m:sSub>
            <m:sSubPr>
              <m:ctrlPr>
                <w:rPr>
                  <w:rFonts w:ascii="Cambria Math" w:hAnsi="Cambria Math"/>
                  <w:i/>
                </w:rPr>
              </m:ctrlPr>
            </m:sSubPr>
            <m:e>
              <m:r>
                <w:rPr>
                  <w:rFonts w:ascii="Cambria Math" w:hAnsi="Cambria Math"/>
                </w:rPr>
                <m:t>r</m:t>
              </m:r>
            </m:e>
            <m:sub>
              <m:sSub>
                <m:sSubPr>
                  <m:ctrlPr>
                    <w:rPr>
                      <w:rFonts w:ascii="Cambria Math" w:hAnsi="Cambria Math"/>
                      <w:i/>
                    </w:rPr>
                  </m:ctrlPr>
                </m:sSubPr>
                <m:e>
                  <m:r>
                    <w:rPr>
                      <w:rFonts w:ascii="Cambria Math" w:hAnsi="Cambria Math"/>
                    </w:rPr>
                    <m:t>H</m:t>
                  </m:r>
                </m:e>
                <m:sub>
                  <m:r>
                    <w:rPr>
                      <w:rFonts w:ascii="Cambria Math" w:hAnsi="Cambria Math"/>
                    </w:rPr>
                    <m:t>2</m:t>
                  </m:r>
                </m:sub>
              </m:sSub>
            </m:sub>
          </m:sSub>
          <m:r>
            <m:rPr>
              <m:sty m:val="p"/>
            </m:rPr>
            <w:rPr>
              <w:rFonts w:ascii="Cambria Math" w:hAnsi="Cambria Math"/>
            </w:rPr>
            <m:t xml:space="preserve">, </m:t>
          </m:r>
          <m:r>
            <w:rPr>
              <w:rFonts w:ascii="Cambria Math" w:hAnsi="Cambria Math"/>
            </w:rPr>
            <m:t>   </m:t>
          </m:r>
          <m:r>
            <m:rPr>
              <m:sty m:val="p"/>
            </m:rPr>
            <w:rPr>
              <w:rFonts w:ascii="Cambria Math" w:hAnsi="Cambria Math"/>
            </w:rPr>
            <m:t>(</m:t>
          </m:r>
          <m:r>
            <w:rPr>
              <w:rFonts w:ascii="Cambria Math" w:hAnsi="Cambria Math"/>
            </w:rPr>
            <m:t>S1.2</m:t>
          </m:r>
          <m:r>
            <m:rPr>
              <m:sty m:val="p"/>
            </m:rPr>
            <w:rPr>
              <w:rFonts w:ascii="Cambria Math" w:hAnsi="Cambria Math"/>
            </w:rPr>
            <m:t>)</m:t>
          </m:r>
        </m:oMath>
      </m:oMathPara>
    </w:p>
    <w:p w14:paraId="74832405" w14:textId="77777777" w:rsidR="001426EB" w:rsidRPr="004B422D" w:rsidRDefault="001426EB" w:rsidP="001426EB">
      <w:r w:rsidRPr="004B422D">
        <w:t>The polynomial admits a physically meaningful solution:</w:t>
      </w:r>
    </w:p>
    <w:p w14:paraId="6609DA50" w14:textId="77777777" w:rsidR="001426EB" w:rsidRPr="004B422D" w:rsidRDefault="001426EB" w:rsidP="001426EB">
      <m:oMathPara>
        <m:oMath>
          <m:r>
            <w:rPr>
              <w:rStyle w:val="katex-mathml"/>
              <w:rFonts w:ascii="Cambria Math" w:hAnsi="Cambria Math"/>
            </w:rPr>
            <m:t>X=</m:t>
          </m:r>
          <m:sSup>
            <m:sSupPr>
              <m:ctrlPr>
                <w:rPr>
                  <w:rFonts w:ascii="Cambria Math" w:hAnsi="Cambria Math"/>
                </w:rPr>
              </m:ctrlPr>
            </m:sSupPr>
            <m:e>
              <m:r>
                <w:rPr>
                  <w:rFonts w:ascii="Cambria Math" w:hAnsi="Cambria Math"/>
                </w:rPr>
                <m:t>e</m:t>
              </m:r>
            </m:e>
            <m:sup>
              <m:r>
                <m:rPr>
                  <m:sty m:val="p"/>
                </m:rPr>
                <w:rPr>
                  <w:rFonts w:ascii="Cambria Math" w:hAnsi="Cambria Math"/>
                </w:rPr>
                <m:t>-</m:t>
              </m:r>
              <m:f>
                <m:fPr>
                  <m:ctrlPr>
                    <w:rPr>
                      <w:rFonts w:ascii="Cambria Math" w:hAnsi="Cambria Math"/>
                    </w:rPr>
                  </m:ctrlPr>
                </m:fPr>
                <m:num>
                  <m:r>
                    <w:rPr>
                      <w:rFonts w:ascii="Cambria Math" w:hAnsi="Cambria Math"/>
                    </w:rPr>
                    <m:t>Fη</m:t>
                  </m:r>
                </m:num>
                <m:den>
                  <m:r>
                    <w:rPr>
                      <w:rFonts w:ascii="Cambria Math" w:hAnsi="Cambria Math"/>
                    </w:rPr>
                    <m:t>RT</m:t>
                  </m:r>
                </m:den>
              </m:f>
            </m:sup>
          </m:sSup>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H+</m:t>
                  </m:r>
                </m:sub>
              </m:sSub>
            </m:den>
          </m:f>
          <m:d>
            <m:dPr>
              <m:ctrlPr>
                <w:rPr>
                  <w:rFonts w:ascii="Cambria Math" w:hAnsi="Cambria Math"/>
                  <w:i/>
                </w:rPr>
              </m:ctrlPr>
            </m:dPr>
            <m:e>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j</m:t>
                              </m:r>
                            </m:num>
                            <m:den>
                              <m:sSub>
                                <m:sSubPr>
                                  <m:ctrlPr>
                                    <w:rPr>
                                      <w:rFonts w:ascii="Cambria Math" w:hAnsi="Cambria Math"/>
                                    </w:rPr>
                                  </m:ctrlPr>
                                </m:sSubPr>
                                <m:e>
                                  <m:r>
                                    <w:rPr>
                                      <w:rFonts w:ascii="Cambria Math" w:hAnsi="Cambria Math"/>
                                    </w:rPr>
                                    <m:t>j</m:t>
                                  </m:r>
                                  <m:ctrlPr>
                                    <w:rPr>
                                      <w:rFonts w:ascii="Cambria Math" w:hAnsi="Cambria Math"/>
                                      <w:i/>
                                    </w:rPr>
                                  </m:ctrlPr>
                                </m:e>
                                <m:sub>
                                  <m:r>
                                    <w:rPr>
                                      <w:rFonts w:ascii="Cambria Math" w:hAnsi="Cambria Math"/>
                                    </w:rPr>
                                    <m:t>0</m:t>
                                  </m:r>
                                </m:sub>
                              </m:sSub>
                            </m:den>
                          </m:f>
                        </m:e>
                      </m:d>
                    </m:e>
                    <m:sup>
                      <m:r>
                        <w:rPr>
                          <w:rFonts w:ascii="Cambria Math" w:hAnsi="Cambria Math"/>
                        </w:rPr>
                        <m:t>2</m:t>
                      </m:r>
                    </m:sup>
                  </m:sSup>
                  <m:r>
                    <w:rPr>
                      <w:rFonts w:ascii="Cambria Math" w:hAnsi="Cambria Math"/>
                    </w:rPr>
                    <m:t>+4</m:t>
                  </m:r>
                  <m:sSub>
                    <m:sSubPr>
                      <m:ctrlPr>
                        <w:rPr>
                          <w:rFonts w:ascii="Cambria Math" w:hAnsi="Cambria Math"/>
                        </w:rPr>
                      </m:ctrlPr>
                    </m:sSubPr>
                    <m:e>
                      <m:r>
                        <w:rPr>
                          <w:rFonts w:ascii="Cambria Math" w:hAnsi="Cambria Math"/>
                        </w:rPr>
                        <m:t>r</m:t>
                      </m:r>
                    </m:e>
                    <m:sub>
                      <m:r>
                        <w:rPr>
                          <w:rFonts w:ascii="Cambria Math" w:hAnsi="Cambria Math"/>
                        </w:rPr>
                        <m:t>H+</m:t>
                      </m:r>
                    </m:sub>
                  </m:sSub>
                  <m:sSub>
                    <m:sSubPr>
                      <m:ctrlPr>
                        <w:rPr>
                          <w:rFonts w:ascii="Cambria Math" w:hAnsi="Cambria Math"/>
                          <w:i/>
                        </w:rPr>
                      </m:ctrlPr>
                    </m:sSubPr>
                    <m:e>
                      <m:r>
                        <w:rPr>
                          <w:rFonts w:ascii="Cambria Math" w:hAnsi="Cambria Math"/>
                        </w:rPr>
                        <m:t>r</m:t>
                      </m:r>
                    </m:e>
                    <m:sub>
                      <m:sSub>
                        <m:sSubPr>
                          <m:ctrlPr>
                            <w:rPr>
                              <w:rFonts w:ascii="Cambria Math" w:hAnsi="Cambria Math"/>
                              <w:i/>
                            </w:rPr>
                          </m:ctrlPr>
                        </m:sSubPr>
                        <m:e>
                          <m:r>
                            <w:rPr>
                              <w:rFonts w:ascii="Cambria Math" w:hAnsi="Cambria Math"/>
                            </w:rPr>
                            <m:t>H</m:t>
                          </m:r>
                        </m:e>
                        <m:sub>
                          <m:r>
                            <w:rPr>
                              <w:rFonts w:ascii="Cambria Math" w:hAnsi="Cambria Math"/>
                            </w:rPr>
                            <m:t>2</m:t>
                          </m:r>
                        </m:sub>
                      </m:sSub>
                    </m:sub>
                  </m:sSub>
                </m:e>
              </m:rad>
              <m:r>
                <w:rPr>
                  <w:rFonts w:ascii="Cambria Math" w:hAnsi="Cambria Math"/>
                </w:rPr>
                <m:t xml:space="preserve">  -  </m:t>
              </m:r>
              <m:f>
                <m:fPr>
                  <m:ctrlPr>
                    <w:rPr>
                      <w:rFonts w:ascii="Cambria Math" w:hAnsi="Cambria Math"/>
                      <w:i/>
                    </w:rPr>
                  </m:ctrlPr>
                </m:fPr>
                <m:num>
                  <m:r>
                    <w:rPr>
                      <w:rFonts w:ascii="Cambria Math" w:hAnsi="Cambria Math"/>
                    </w:rPr>
                    <m:t>j</m:t>
                  </m:r>
                </m:num>
                <m:den>
                  <m:sSub>
                    <m:sSubPr>
                      <m:ctrlPr>
                        <w:rPr>
                          <w:rFonts w:ascii="Cambria Math" w:hAnsi="Cambria Math"/>
                        </w:rPr>
                      </m:ctrlPr>
                    </m:sSubPr>
                    <m:e>
                      <m:r>
                        <w:rPr>
                          <w:rFonts w:ascii="Cambria Math" w:hAnsi="Cambria Math"/>
                        </w:rPr>
                        <m:t>j</m:t>
                      </m:r>
                      <m:ctrlPr>
                        <w:rPr>
                          <w:rFonts w:ascii="Cambria Math" w:hAnsi="Cambria Math"/>
                          <w:i/>
                        </w:rPr>
                      </m:ctrlPr>
                    </m:e>
                    <m:sub>
                      <m:r>
                        <w:rPr>
                          <w:rFonts w:ascii="Cambria Math" w:hAnsi="Cambria Math"/>
                        </w:rPr>
                        <m:t>0</m:t>
                      </m:r>
                    </m:sub>
                  </m:sSub>
                </m:den>
              </m:f>
            </m:e>
          </m:d>
          <m:r>
            <m:rPr>
              <m:sty m:val="p"/>
            </m:rPr>
            <w:rPr>
              <w:rFonts w:ascii="Cambria Math" w:hAnsi="Cambria Math"/>
            </w:rPr>
            <m:t xml:space="preserve">, </m:t>
          </m:r>
          <m:r>
            <w:rPr>
              <w:rFonts w:ascii="Cambria Math" w:hAnsi="Cambria Math"/>
            </w:rPr>
            <m:t>   </m:t>
          </m:r>
          <m:r>
            <m:rPr>
              <m:sty m:val="p"/>
            </m:rPr>
            <w:rPr>
              <w:rFonts w:ascii="Cambria Math" w:hAnsi="Cambria Math"/>
            </w:rPr>
            <m:t>(</m:t>
          </m:r>
          <m:r>
            <w:rPr>
              <w:rFonts w:ascii="Cambria Math" w:hAnsi="Cambria Math"/>
            </w:rPr>
            <m:t>S1.3</m:t>
          </m:r>
          <m:r>
            <m:rPr>
              <m:sty m:val="p"/>
            </m:rPr>
            <w:rPr>
              <w:rFonts w:ascii="Cambria Math" w:hAnsi="Cambria Math"/>
            </w:rPr>
            <m:t>)</m:t>
          </m:r>
        </m:oMath>
      </m:oMathPara>
    </w:p>
    <w:p w14:paraId="0E4AAD43" w14:textId="4E22248A" w:rsidR="00A336FF" w:rsidRPr="004B422D" w:rsidRDefault="001426EB" w:rsidP="001426EB">
      <w:pPr>
        <w:jc w:val="both"/>
      </w:pPr>
      <w:r w:rsidRPr="004B422D">
        <w:t xml:space="preserve">We still need to discuss the values of </w:t>
      </w:r>
      <m:oMath>
        <m:sSub>
          <m:sSubPr>
            <m:ctrlPr>
              <w:rPr>
                <w:rFonts w:ascii="Cambria Math" w:hAnsi="Cambria Math"/>
              </w:rPr>
            </m:ctrlPr>
          </m:sSubPr>
          <m:e>
            <m:r>
              <w:rPr>
                <w:rFonts w:ascii="Cambria Math" w:hAnsi="Cambria Math"/>
              </w:rPr>
              <m:t>r</m:t>
            </m:r>
          </m:e>
          <m:sub>
            <m:r>
              <w:rPr>
                <w:rFonts w:ascii="Cambria Math" w:hAnsi="Cambria Math"/>
              </w:rPr>
              <m:t>H+</m:t>
            </m:r>
          </m:sub>
        </m:sSub>
      </m:oMath>
      <w:r w:rsidRPr="004B422D">
        <w:t xml:space="preserve"> and </w:t>
      </w:r>
      <m:oMath>
        <m:sSub>
          <m:sSubPr>
            <m:ctrlPr>
              <w:rPr>
                <w:rFonts w:ascii="Cambria Math" w:hAnsi="Cambria Math"/>
                <w:i/>
              </w:rPr>
            </m:ctrlPr>
          </m:sSubPr>
          <m:e>
            <m:r>
              <w:rPr>
                <w:rFonts w:ascii="Cambria Math" w:hAnsi="Cambria Math"/>
              </w:rPr>
              <m:t>r</m:t>
            </m:r>
          </m:e>
          <m:sub>
            <m:r>
              <w:rPr>
                <w:rFonts w:ascii="Cambria Math" w:hAnsi="Cambria Math"/>
              </w:rPr>
              <m:t>H2</m:t>
            </m:r>
          </m:sub>
        </m:sSub>
      </m:oMath>
      <w:r w:rsidRPr="004B422D">
        <w:t xml:space="preserve">. In the article, we introduce a relationship between </w:t>
      </w:r>
      <m:oMath>
        <m:sSub>
          <m:sSubPr>
            <m:ctrlPr>
              <w:rPr>
                <w:rFonts w:ascii="Cambria Math" w:hAnsi="Cambria Math"/>
              </w:rPr>
            </m:ctrlPr>
          </m:sSubPr>
          <m:e>
            <m:r>
              <w:rPr>
                <w:rFonts w:ascii="Cambria Math" w:hAnsi="Cambria Math"/>
              </w:rPr>
              <m:t>r</m:t>
            </m:r>
          </m:e>
          <m:sub>
            <m:r>
              <w:rPr>
                <w:rFonts w:ascii="Cambria Math" w:hAnsi="Cambria Math"/>
              </w:rPr>
              <m:t>H+</m:t>
            </m:r>
          </m:sub>
        </m:sSub>
      </m:oMath>
      <w:r w:rsidRPr="004B422D">
        <w:t xml:space="preserve"> and </w:t>
      </w:r>
      <w:r w:rsidRPr="004B422D">
        <w:rPr>
          <w:bCs/>
        </w:rPr>
        <w:t xml:space="preserve">Helmholtz potential </w:t>
      </w:r>
      <m:oMath>
        <m:sSub>
          <m:sSubPr>
            <m:ctrlPr>
              <w:rPr>
                <w:rFonts w:ascii="Cambria Math" w:hAnsi="Cambria Math"/>
              </w:rPr>
            </m:ctrlPr>
          </m:sSubPr>
          <m:e>
            <m:r>
              <w:rPr>
                <w:rFonts w:ascii="Cambria Math" w:hAnsi="Cambria Math"/>
              </w:rPr>
              <m:t>V</m:t>
            </m:r>
            <m:ctrlPr>
              <w:rPr>
                <w:rFonts w:ascii="Cambria Math" w:hAnsi="Cambria Math"/>
                <w:i/>
              </w:rPr>
            </m:ctrlPr>
          </m:e>
          <m:sub>
            <m:r>
              <w:rPr>
                <w:rFonts w:ascii="Cambria Math" w:hAnsi="Cambria Math"/>
              </w:rPr>
              <m:t>H</m:t>
            </m:r>
          </m:sub>
        </m:sSub>
      </m:oMath>
      <w:r w:rsidRPr="004B422D">
        <w:t xml:space="preserve">, </w:t>
      </w:r>
      <w:proofErr w:type="gramStart"/>
      <w:r w:rsidRPr="004B422D">
        <w:t>i.e.</w:t>
      </w:r>
      <w:proofErr w:type="gramEnd"/>
      <w:r w:rsidRPr="004B422D">
        <w:t xml:space="preserve"> </w:t>
      </w:r>
      <m:oMath>
        <m:sSub>
          <m:sSubPr>
            <m:ctrlPr>
              <w:rPr>
                <w:rFonts w:ascii="Cambria Math" w:hAnsi="Cambria Math"/>
              </w:rPr>
            </m:ctrlPr>
          </m:sSubPr>
          <m:e>
            <m:r>
              <w:rPr>
                <w:rFonts w:ascii="Cambria Math" w:hAnsi="Cambria Math"/>
              </w:rPr>
              <m:t>r</m:t>
            </m:r>
          </m:e>
          <m:sub>
            <m:r>
              <w:rPr>
                <w:rFonts w:ascii="Cambria Math" w:hAnsi="Cambria Math"/>
              </w:rPr>
              <m:t>H+</m:t>
            </m:r>
          </m:sub>
        </m:sSub>
        <m:r>
          <w:rPr>
            <w:rFonts w:ascii="Cambria Math" w:hAnsi="Cambria Math"/>
          </w:rPr>
          <m:t>∝</m:t>
        </m:r>
        <m:r>
          <m:rPr>
            <m:sty m:val="p"/>
          </m:rPr>
          <w:rPr>
            <w:rFonts w:ascii="Cambria Math" w:hAnsi="Cambria Math"/>
          </w:rPr>
          <m:t>exp⁡</m:t>
        </m:r>
        <m:d>
          <m:dPr>
            <m:ctrlPr>
              <w:rPr>
                <w:rFonts w:ascii="Cambria Math" w:hAnsi="Cambria Math"/>
                <w:i/>
              </w:rPr>
            </m:ctrlPr>
          </m:dPr>
          <m:e>
            <m:r>
              <m:rPr>
                <m:sty m:val="p"/>
              </m:rPr>
              <w:rPr>
                <w:rFonts w:ascii="Cambria Math" w:hAnsi="Cambria Math"/>
              </w:rPr>
              <m:t>-</m:t>
            </m:r>
            <m:f>
              <m:fPr>
                <m:ctrlPr>
                  <w:rPr>
                    <w:rFonts w:ascii="Cambria Math" w:hAnsi="Cambria Math"/>
                  </w:rPr>
                </m:ctrlPr>
              </m:fPr>
              <m:num>
                <m:r>
                  <w:rPr>
                    <w:rFonts w:ascii="Cambria Math" w:hAnsi="Cambria Math"/>
                  </w:rPr>
                  <m:t>q</m:t>
                </m:r>
                <m:sSub>
                  <m:sSubPr>
                    <m:ctrlPr>
                      <w:rPr>
                        <w:rFonts w:ascii="Cambria Math" w:hAnsi="Cambria Math"/>
                      </w:rPr>
                    </m:ctrlPr>
                  </m:sSubPr>
                  <m:e>
                    <m:r>
                      <w:rPr>
                        <w:rFonts w:ascii="Cambria Math" w:hAnsi="Cambria Math"/>
                      </w:rPr>
                      <m:t>V</m:t>
                    </m:r>
                    <m:ctrlPr>
                      <w:rPr>
                        <w:rFonts w:ascii="Cambria Math" w:hAnsi="Cambria Math"/>
                        <w:i/>
                      </w:rPr>
                    </m:ctrlPr>
                  </m:e>
                  <m:sub>
                    <m:r>
                      <w:rPr>
                        <w:rFonts w:ascii="Cambria Math" w:hAnsi="Cambria Math"/>
                      </w:rPr>
                      <m:t>H</m:t>
                    </m:r>
                  </m:sub>
                </m:sSub>
              </m:num>
              <m:den>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e>
        </m:d>
      </m:oMath>
      <w:r w:rsidRPr="004B422D">
        <w:t xml:space="preserve">. Nevertheless, at low </w:t>
      </w:r>
      <w:r w:rsidRPr="004B422D">
        <w:rPr>
          <w:bCs/>
        </w:rPr>
        <w:t xml:space="preserve">Helmholtz potential </w:t>
      </w:r>
      <m:oMath>
        <m:sSub>
          <m:sSubPr>
            <m:ctrlPr>
              <w:rPr>
                <w:rFonts w:ascii="Cambria Math" w:hAnsi="Cambria Math"/>
              </w:rPr>
            </m:ctrlPr>
          </m:sSubPr>
          <m:e>
            <m:r>
              <w:rPr>
                <w:rFonts w:ascii="Cambria Math" w:hAnsi="Cambria Math"/>
              </w:rPr>
              <m:t>V</m:t>
            </m:r>
            <m:ctrlPr>
              <w:rPr>
                <w:rFonts w:ascii="Cambria Math" w:hAnsi="Cambria Math"/>
                <w:i/>
              </w:rPr>
            </m:ctrlPr>
          </m:e>
          <m:sub>
            <m:r>
              <w:rPr>
                <w:rFonts w:ascii="Cambria Math" w:hAnsi="Cambria Math"/>
              </w:rPr>
              <m:t>H</m:t>
            </m:r>
          </m:sub>
        </m:sSub>
      </m:oMath>
      <w:r w:rsidRPr="004B422D">
        <w:t xml:space="preserve">, it is necessary to introduce a cutoff for </w:t>
      </w:r>
      <m:oMath>
        <m:sSub>
          <m:sSubPr>
            <m:ctrlPr>
              <w:rPr>
                <w:rFonts w:ascii="Cambria Math" w:hAnsi="Cambria Math"/>
              </w:rPr>
            </m:ctrlPr>
          </m:sSubPr>
          <m:e>
            <m:r>
              <w:rPr>
                <w:rFonts w:ascii="Cambria Math" w:hAnsi="Cambria Math"/>
              </w:rPr>
              <m:t>r</m:t>
            </m:r>
          </m:e>
          <m:sub>
            <m:r>
              <w:rPr>
                <w:rFonts w:ascii="Cambria Math" w:hAnsi="Cambria Math"/>
              </w:rPr>
              <m:t>H+</m:t>
            </m:r>
          </m:sub>
        </m:sSub>
      </m:oMath>
      <w:r w:rsidRPr="004B422D">
        <w:t xml:space="preserve">, reflecting the limitation imposed by diffusion. In other words, the surface concentration of </w:t>
      </w:r>
      <m:oMath>
        <m:sSup>
          <m:sSupPr>
            <m:ctrlPr>
              <w:rPr>
                <w:rFonts w:ascii="Cambria Math" w:hAnsi="Cambria Math"/>
                <w:iCs/>
              </w:rPr>
            </m:ctrlPr>
          </m:sSupPr>
          <m:e>
            <m:r>
              <m:rPr>
                <m:sty m:val="p"/>
              </m:rPr>
              <w:rPr>
                <w:rFonts w:ascii="Cambria Math" w:hAnsi="Cambria Math"/>
              </w:rPr>
              <m:t>H</m:t>
            </m:r>
          </m:e>
          <m:sup>
            <m:r>
              <m:rPr>
                <m:sty m:val="p"/>
              </m:rPr>
              <w:rPr>
                <w:rFonts w:ascii="Cambria Math" w:hAnsi="Cambria Math"/>
              </w:rPr>
              <m:t>+</m:t>
            </m:r>
          </m:sup>
        </m:sSup>
      </m:oMath>
      <w:r w:rsidRPr="004B422D">
        <w:t xml:space="preserve"> </w:t>
      </w:r>
      <w:r w:rsidR="00C164CD" w:rsidRPr="004B422D">
        <w:t>is</w:t>
      </w:r>
      <w:r w:rsidRPr="004B422D">
        <w:t xml:space="preserve"> not </w:t>
      </w:r>
      <w:r w:rsidR="00C164CD" w:rsidRPr="004B422D">
        <w:t>expected</w:t>
      </w:r>
      <w:r w:rsidRPr="004B422D">
        <w:t xml:space="preserve"> to exceed the bulk concentration</w:t>
      </w:r>
      <w:r w:rsidR="00386F38" w:rsidRPr="004B422D">
        <w:t xml:space="preserve"> due to its consumption during </w:t>
      </w:r>
      <w:r w:rsidR="00C164CD" w:rsidRPr="004B422D">
        <w:t xml:space="preserve">the </w:t>
      </w:r>
      <w:r w:rsidR="00386F38" w:rsidRPr="004B422D">
        <w:t>reaction</w:t>
      </w:r>
      <w:r w:rsidR="00C164CD" w:rsidRPr="004B422D">
        <w:t xml:space="preserve"> at the surface of the electrode. T</w:t>
      </w:r>
      <w:r w:rsidRPr="004B422D">
        <w:t xml:space="preserve">he local pH cannot be lower than the bulk pH of 13 used in these experiments. </w:t>
      </w:r>
      <w:r w:rsidR="00A336FF" w:rsidRPr="004B422D">
        <w:t>When decreasing the limit surface concentration of H</w:t>
      </w:r>
      <w:r w:rsidR="00A336FF" w:rsidRPr="004B422D">
        <w:rPr>
          <w:vertAlign w:val="superscript"/>
        </w:rPr>
        <w:t>+</w:t>
      </w:r>
      <w:r w:rsidR="00A336FF" w:rsidRPr="004B422D">
        <w:t xml:space="preserve"> from pH=13 to pH=14, the saturation overpotential for negative Helmholtz potential increases as shown by the red curve compared to the b</w:t>
      </w:r>
      <w:r w:rsidR="00A126A5" w:rsidRPr="004B422D">
        <w:t>l</w:t>
      </w:r>
      <w:r w:rsidR="00A336FF" w:rsidRPr="004B422D">
        <w:t xml:space="preserve">ack curve in </w:t>
      </w:r>
      <w:r w:rsidR="00A336FF" w:rsidRPr="004B422D">
        <w:rPr>
          <w:b/>
          <w:bCs/>
        </w:rPr>
        <w:t>Fig. S1</w:t>
      </w:r>
      <w:r w:rsidR="00A336FF" w:rsidRPr="004B422D">
        <w:t xml:space="preserve">. </w:t>
      </w:r>
    </w:p>
    <w:p w14:paraId="23090AB4" w14:textId="623B0C10" w:rsidR="001426EB" w:rsidRPr="004B422D" w:rsidRDefault="001426EB" w:rsidP="001426EB">
      <w:pPr>
        <w:jc w:val="both"/>
      </w:pPr>
      <w:r w:rsidRPr="004B422D">
        <w:t xml:space="preserve">For </w:t>
      </w:r>
      <m:oMath>
        <m:sSub>
          <m:sSubPr>
            <m:ctrlPr>
              <w:rPr>
                <w:rFonts w:ascii="Cambria Math" w:hAnsi="Cambria Math"/>
                <w:i/>
              </w:rPr>
            </m:ctrlPr>
          </m:sSubPr>
          <m:e>
            <m:r>
              <w:rPr>
                <w:rFonts w:ascii="Cambria Math" w:hAnsi="Cambria Math"/>
              </w:rPr>
              <m:t>r</m:t>
            </m:r>
          </m:e>
          <m:sub>
            <m:sSub>
              <m:sSubPr>
                <m:ctrlPr>
                  <w:rPr>
                    <w:rFonts w:ascii="Cambria Math" w:hAnsi="Cambria Math"/>
                    <w:i/>
                  </w:rPr>
                </m:ctrlPr>
              </m:sSubPr>
              <m:e>
                <m:r>
                  <w:rPr>
                    <w:rFonts w:ascii="Cambria Math" w:hAnsi="Cambria Math"/>
                  </w:rPr>
                  <m:t>H</m:t>
                </m:r>
              </m:e>
              <m:sub>
                <m:r>
                  <w:rPr>
                    <w:rFonts w:ascii="Cambria Math" w:hAnsi="Cambria Math"/>
                  </w:rPr>
                  <m:t>2</m:t>
                </m:r>
              </m:sub>
            </m:sSub>
          </m:sub>
        </m:sSub>
      </m:oMath>
      <w:r w:rsidRPr="004B422D">
        <w:t xml:space="preserve">, a first approach consists in taking a value of 1, considering that the continuous production of </w:t>
      </w:r>
      <m:oMath>
        <m:sSub>
          <m:sSubPr>
            <m:ctrlPr>
              <w:rPr>
                <w:rFonts w:ascii="Cambria Math" w:hAnsi="Cambria Math"/>
                <w:i/>
              </w:rPr>
            </m:ctrlPr>
          </m:sSubPr>
          <m:e>
            <m:r>
              <w:rPr>
                <w:rFonts w:ascii="Cambria Math" w:hAnsi="Cambria Math"/>
              </w:rPr>
              <m:t>H</m:t>
            </m:r>
          </m:e>
          <m:sub>
            <m:r>
              <w:rPr>
                <w:rFonts w:ascii="Cambria Math" w:hAnsi="Cambria Math"/>
              </w:rPr>
              <m:t>2</m:t>
            </m:r>
          </m:sub>
        </m:sSub>
      </m:oMath>
      <w:r w:rsidRPr="004B422D">
        <w:t xml:space="preserve"> leads to saturation of dissolved </w:t>
      </w:r>
      <m:oMath>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oMath>
      <w:r w:rsidRPr="004B422D">
        <w:t xml:space="preserve"> in the solution, with </w:t>
      </w:r>
      <m:oMath>
        <m:sSub>
          <m:sSubPr>
            <m:ctrlPr>
              <w:rPr>
                <w:rFonts w:ascii="Cambria Math" w:hAnsi="Cambria Math"/>
              </w:rPr>
            </m:ctrlPr>
          </m:sSubPr>
          <m:e>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H</m:t>
                    </m:r>
                  </m:e>
                  <m:sub>
                    <m:r>
                      <w:rPr>
                        <w:rFonts w:ascii="Cambria Math" w:hAnsi="Cambria Math"/>
                      </w:rPr>
                      <m:t>2</m:t>
                    </m:r>
                  </m:sub>
                </m:sSub>
              </m:e>
            </m:d>
          </m:e>
          <m:sub>
            <m:r>
              <w:rPr>
                <w:rFonts w:ascii="Cambria Math" w:hAnsi="Cambria Math"/>
              </w:rPr>
              <m:t>surf</m:t>
            </m:r>
          </m:sub>
        </m:sSub>
        <m:r>
          <w:rPr>
            <w:rFonts w:ascii="Cambria Math" w:hAnsi="Cambria Math"/>
          </w:rPr>
          <m:t>=</m:t>
        </m:r>
        <m:sSub>
          <m:sSubPr>
            <m:ctrlPr>
              <w:rPr>
                <w:rFonts w:ascii="Cambria Math" w:hAnsi="Cambria Math"/>
              </w:rPr>
            </m:ctrlPr>
          </m:sSubPr>
          <m:e>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H</m:t>
                    </m:r>
                  </m:e>
                  <m:sub>
                    <m:r>
                      <w:rPr>
                        <w:rFonts w:ascii="Cambria Math" w:hAnsi="Cambria Math"/>
                      </w:rPr>
                      <m:t>2</m:t>
                    </m:r>
                  </m:sub>
                </m:sSub>
              </m:e>
            </m:d>
          </m:e>
          <m:sub>
            <m:r>
              <w:rPr>
                <w:rFonts w:ascii="Cambria Math" w:hAnsi="Cambria Math"/>
              </w:rPr>
              <m:t>bulk</m:t>
            </m:r>
          </m:sub>
        </m:sSub>
        <m:r>
          <w:rPr>
            <w:rFonts w:ascii="Cambria Math" w:hAnsi="Cambria Math"/>
          </w:rPr>
          <m:t>=</m:t>
        </m:r>
        <m:sSub>
          <m:sSubPr>
            <m:ctrlPr>
              <w:rPr>
                <w:rFonts w:ascii="Cambria Math" w:hAnsi="Cambria Math"/>
              </w:rPr>
            </m:ctrlPr>
          </m:sSubPr>
          <m:e>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H</m:t>
                    </m:r>
                  </m:e>
                  <m:sub>
                    <m:r>
                      <w:rPr>
                        <w:rFonts w:ascii="Cambria Math" w:hAnsi="Cambria Math"/>
                      </w:rPr>
                      <m:t>2</m:t>
                    </m:r>
                  </m:sub>
                </m:sSub>
              </m:e>
            </m:d>
          </m:e>
          <m:sub>
            <m:r>
              <w:rPr>
                <w:rFonts w:ascii="Cambria Math" w:hAnsi="Cambria Math"/>
              </w:rPr>
              <m:t>sat</m:t>
            </m:r>
          </m:sub>
        </m:sSub>
        <m:r>
          <m:rPr>
            <m:sty m:val="p"/>
          </m:rPr>
          <w:rPr>
            <w:rFonts w:ascii="Cambria Math" w:hAnsi="Cambria Math"/>
          </w:rPr>
          <m:t>= 7.8×</m:t>
        </m:r>
        <m:sSup>
          <m:sSupPr>
            <m:ctrlPr>
              <w:rPr>
                <w:rFonts w:ascii="Cambria Math" w:hAnsi="Cambria Math"/>
              </w:rPr>
            </m:ctrlPr>
          </m:sSupPr>
          <m:e>
            <m:r>
              <m:rPr>
                <m:sty m:val="p"/>
              </m:rPr>
              <w:rPr>
                <w:rFonts w:ascii="Cambria Math" w:hAnsi="Cambria Math"/>
              </w:rPr>
              <m:t>10</m:t>
            </m:r>
          </m:e>
          <m:sup>
            <m:r>
              <w:rPr>
                <w:rFonts w:ascii="Cambria Math" w:hAnsi="Cambria Math"/>
              </w:rPr>
              <m:t>-4</m:t>
            </m:r>
          </m:sup>
        </m:sSup>
      </m:oMath>
      <w:r w:rsidRPr="004B422D">
        <w:t xml:space="preserve"> mol/L considering the </w:t>
      </w:r>
      <m:oMath>
        <m:sSub>
          <m:sSubPr>
            <m:ctrlPr>
              <w:rPr>
                <w:rFonts w:ascii="Cambria Math" w:hAnsi="Cambria Math"/>
              </w:rPr>
            </m:ctrlPr>
          </m:sSubPr>
          <m:e>
            <m:r>
              <m:rPr>
                <m:sty m:val="p"/>
              </m:rPr>
              <w:rPr>
                <w:rFonts w:ascii="Cambria Math" w:hAnsi="Cambria Math"/>
              </w:rPr>
              <m:t>H</m:t>
            </m:r>
          </m:e>
          <m:sub>
            <m:r>
              <w:rPr>
                <w:rFonts w:ascii="Cambria Math" w:hAnsi="Cambria Math"/>
              </w:rPr>
              <m:t>2</m:t>
            </m:r>
          </m:sub>
        </m:sSub>
      </m:oMath>
      <w:r w:rsidRPr="004B422D">
        <w:t xml:space="preserve"> solubility in water at 1 atm and 25°C (Henry coefficient </w:t>
      </w:r>
      <m:oMath>
        <m:r>
          <w:rPr>
            <w:rFonts w:ascii="Cambria Math" w:hAnsi="Cambria Math"/>
          </w:rPr>
          <m:t xml:space="preserve">7.8 </m:t>
        </m:r>
        <m:r>
          <m:rPr>
            <m:sty m:val="p"/>
          </m:rPr>
          <w:rPr>
            <w:rFonts w:ascii="Cambria Math" w:hAnsi="Cambria Math"/>
          </w:rPr>
          <m:t>×</m:t>
        </m:r>
        <m:sSup>
          <m:sSupPr>
            <m:ctrlPr>
              <w:rPr>
                <w:rFonts w:ascii="Cambria Math" w:hAnsi="Cambria Math"/>
              </w:rPr>
            </m:ctrlPr>
          </m:sSupPr>
          <m:e>
            <m:r>
              <m:rPr>
                <m:sty m:val="p"/>
              </m:rPr>
              <w:rPr>
                <w:rFonts w:ascii="Cambria Math" w:hAnsi="Cambria Math"/>
              </w:rPr>
              <m:t>10</m:t>
            </m:r>
          </m:e>
          <m:sup>
            <m:r>
              <w:rPr>
                <w:rFonts w:ascii="Cambria Math" w:hAnsi="Cambria Math"/>
              </w:rPr>
              <m:t>-6</m:t>
            </m:r>
          </m:sup>
        </m:sSup>
      </m:oMath>
      <w:r w:rsidRPr="004B422D">
        <w:t xml:space="preserve"> mol/m</w:t>
      </w:r>
      <w:r w:rsidRPr="004B422D">
        <w:rPr>
          <w:vertAlign w:val="superscript"/>
        </w:rPr>
        <w:t>3</w:t>
      </w:r>
      <w:r w:rsidRPr="004B422D">
        <w:t xml:space="preserve">/pa). In any case, the </w:t>
      </w:r>
      <m:oMath>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oMath>
      <w:r w:rsidRPr="004B422D">
        <w:t xml:space="preserve"> concentration is not expected to depend on </w:t>
      </w:r>
      <m:oMath>
        <m:sSub>
          <m:sSubPr>
            <m:ctrlPr>
              <w:rPr>
                <w:rFonts w:ascii="Cambria Math" w:hAnsi="Cambria Math"/>
              </w:rPr>
            </m:ctrlPr>
          </m:sSubPr>
          <m:e>
            <m:r>
              <w:rPr>
                <w:rFonts w:ascii="Cambria Math" w:hAnsi="Cambria Math"/>
              </w:rPr>
              <m:t>V</m:t>
            </m:r>
            <m:ctrlPr>
              <w:rPr>
                <w:rFonts w:ascii="Cambria Math" w:hAnsi="Cambria Math"/>
                <w:i/>
              </w:rPr>
            </m:ctrlPr>
          </m:e>
          <m:sub>
            <m:r>
              <w:rPr>
                <w:rFonts w:ascii="Cambria Math" w:hAnsi="Cambria Math"/>
              </w:rPr>
              <m:t>H</m:t>
            </m:r>
          </m:sub>
        </m:sSub>
      </m:oMath>
      <w:r w:rsidRPr="004B422D">
        <w:t xml:space="preserve">. From Equation S1.3, we can evaluate the </w:t>
      </w:r>
      <m:oMath>
        <m:sSub>
          <m:sSubPr>
            <m:ctrlPr>
              <w:rPr>
                <w:rFonts w:ascii="Cambria Math" w:hAnsi="Cambria Math"/>
              </w:rPr>
            </m:ctrlPr>
          </m:sSubPr>
          <m:e>
            <m:r>
              <w:rPr>
                <w:rFonts w:ascii="Cambria Math" w:hAnsi="Cambria Math"/>
              </w:rPr>
              <m:t>V</m:t>
            </m:r>
            <m:ctrlPr>
              <w:rPr>
                <w:rFonts w:ascii="Cambria Math" w:hAnsi="Cambria Math"/>
                <w:i/>
              </w:rPr>
            </m:ctrlPr>
          </m:e>
          <m:sub>
            <m:r>
              <w:rPr>
                <w:rFonts w:ascii="Cambria Math" w:hAnsi="Cambria Math"/>
              </w:rPr>
              <m:t>H</m:t>
            </m:r>
          </m:sub>
        </m:sSub>
      </m:oMath>
      <w:r w:rsidRPr="004B422D">
        <w:t xml:space="preserve"> value from which the oxidation reaction has to be taken into account. This corresponds to the </w:t>
      </w:r>
      <m:oMath>
        <m:sSub>
          <m:sSubPr>
            <m:ctrlPr>
              <w:rPr>
                <w:rFonts w:ascii="Cambria Math" w:hAnsi="Cambria Math"/>
              </w:rPr>
            </m:ctrlPr>
          </m:sSubPr>
          <m:e>
            <m:r>
              <w:rPr>
                <w:rFonts w:ascii="Cambria Math" w:hAnsi="Cambria Math"/>
              </w:rPr>
              <m:t>V</m:t>
            </m:r>
            <m:ctrlPr>
              <w:rPr>
                <w:rFonts w:ascii="Cambria Math" w:hAnsi="Cambria Math"/>
                <w:i/>
              </w:rPr>
            </m:ctrlPr>
          </m:e>
          <m:sub>
            <m:r>
              <w:rPr>
                <w:rFonts w:ascii="Cambria Math" w:hAnsi="Cambria Math"/>
              </w:rPr>
              <m:t>H</m:t>
            </m:r>
          </m:sub>
        </m:sSub>
      </m:oMath>
      <w:r w:rsidRPr="004B422D">
        <w:t xml:space="preserve"> value at which the two terms inside the square root in Equation </w:t>
      </w:r>
      <w:r w:rsidRPr="004B422D">
        <w:lastRenderedPageBreak/>
        <w:t xml:space="preserve">S1.3 become equal, </w:t>
      </w:r>
      <w:proofErr w:type="gramStart"/>
      <w:r w:rsidRPr="004B422D">
        <w:t>i.e.</w:t>
      </w:r>
      <w:proofErr w:type="gramEnd"/>
      <w:r w:rsidRPr="004B422D">
        <w:t xml:space="preserve"> </w:t>
      </w:r>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j</m:t>
                    </m:r>
                  </m:num>
                  <m:den>
                    <m:sSub>
                      <m:sSubPr>
                        <m:ctrlPr>
                          <w:rPr>
                            <w:rFonts w:ascii="Cambria Math" w:hAnsi="Cambria Math"/>
                          </w:rPr>
                        </m:ctrlPr>
                      </m:sSubPr>
                      <m:e>
                        <m:r>
                          <w:rPr>
                            <w:rFonts w:ascii="Cambria Math" w:hAnsi="Cambria Math"/>
                          </w:rPr>
                          <m:t>j</m:t>
                        </m:r>
                        <m:ctrlPr>
                          <w:rPr>
                            <w:rFonts w:ascii="Cambria Math" w:hAnsi="Cambria Math"/>
                            <w:i/>
                          </w:rPr>
                        </m:ctrlPr>
                      </m:e>
                      <m:sub>
                        <m:r>
                          <w:rPr>
                            <w:rFonts w:ascii="Cambria Math" w:hAnsi="Cambria Math"/>
                          </w:rPr>
                          <m:t>0</m:t>
                        </m:r>
                      </m:sub>
                    </m:sSub>
                  </m:den>
                </m:f>
              </m:e>
            </m:d>
          </m:e>
          <m:sup>
            <m:r>
              <w:rPr>
                <w:rFonts w:ascii="Cambria Math" w:hAnsi="Cambria Math"/>
              </w:rPr>
              <m:t>2</m:t>
            </m:r>
          </m:sup>
        </m:sSup>
        <m:r>
          <w:rPr>
            <w:rFonts w:ascii="Cambria Math" w:hAnsi="Cambria Math"/>
          </w:rPr>
          <m:t>=4</m:t>
        </m:r>
        <m:sSub>
          <m:sSubPr>
            <m:ctrlPr>
              <w:rPr>
                <w:rFonts w:ascii="Cambria Math" w:hAnsi="Cambria Math"/>
              </w:rPr>
            </m:ctrlPr>
          </m:sSubPr>
          <m:e>
            <m:r>
              <w:rPr>
                <w:rFonts w:ascii="Cambria Math" w:hAnsi="Cambria Math"/>
              </w:rPr>
              <m:t>r</m:t>
            </m:r>
          </m:e>
          <m:sub>
            <m:r>
              <w:rPr>
                <w:rFonts w:ascii="Cambria Math" w:hAnsi="Cambria Math"/>
              </w:rPr>
              <m:t>H+</m:t>
            </m:r>
          </m:sub>
        </m:sSub>
        <m:sSub>
          <m:sSubPr>
            <m:ctrlPr>
              <w:rPr>
                <w:rFonts w:ascii="Cambria Math" w:hAnsi="Cambria Math"/>
                <w:i/>
              </w:rPr>
            </m:ctrlPr>
          </m:sSubPr>
          <m:e>
            <m:r>
              <w:rPr>
                <w:rFonts w:ascii="Cambria Math" w:hAnsi="Cambria Math"/>
              </w:rPr>
              <m:t>r</m:t>
            </m:r>
          </m:e>
          <m:sub>
            <m:sSub>
              <m:sSubPr>
                <m:ctrlPr>
                  <w:rPr>
                    <w:rFonts w:ascii="Cambria Math" w:hAnsi="Cambria Math"/>
                    <w:i/>
                  </w:rPr>
                </m:ctrlPr>
              </m:sSubPr>
              <m:e>
                <m:r>
                  <w:rPr>
                    <w:rFonts w:ascii="Cambria Math" w:hAnsi="Cambria Math"/>
                  </w:rPr>
                  <m:t>H</m:t>
                </m:r>
              </m:e>
              <m:sub>
                <m:r>
                  <w:rPr>
                    <w:rFonts w:ascii="Cambria Math" w:hAnsi="Cambria Math"/>
                  </w:rPr>
                  <m:t>2</m:t>
                </m:r>
              </m:sub>
            </m:sSub>
          </m:sub>
        </m:sSub>
      </m:oMath>
      <w:r w:rsidRPr="004B422D">
        <w:t xml:space="preserve">. It occurs for </w:t>
      </w:r>
      <m:oMath>
        <m:sSub>
          <m:sSubPr>
            <m:ctrlPr>
              <w:rPr>
                <w:rFonts w:ascii="Cambria Math" w:hAnsi="Cambria Math"/>
              </w:rPr>
            </m:ctrlPr>
          </m:sSubPr>
          <m:e>
            <m:r>
              <w:rPr>
                <w:rFonts w:ascii="Cambria Math" w:hAnsi="Cambria Math"/>
              </w:rPr>
              <m:t>V</m:t>
            </m:r>
            <m:ctrlPr>
              <w:rPr>
                <w:rFonts w:ascii="Cambria Math" w:hAnsi="Cambria Math"/>
                <w:i/>
              </w:rPr>
            </m:ctrlPr>
          </m:e>
          <m:sub>
            <m:r>
              <w:rPr>
                <w:rFonts w:ascii="Cambria Math" w:hAnsi="Cambria Math"/>
              </w:rPr>
              <m:t>H</m:t>
            </m:r>
          </m:sub>
        </m:sSub>
        <m:r>
          <w:rPr>
            <w:rFonts w:ascii="Cambria Math" w:hAnsi="Cambria Math"/>
          </w:rPr>
          <m:t>=0.43</m:t>
        </m:r>
      </m:oMath>
      <w:r w:rsidRPr="004B422D">
        <w:t xml:space="preserve"> V, as shown in </w:t>
      </w:r>
      <w:r w:rsidRPr="004B422D">
        <w:rPr>
          <w:b/>
          <w:bCs/>
        </w:rPr>
        <w:t>Fig</w:t>
      </w:r>
      <w:r w:rsidR="003B725A" w:rsidRPr="004B422D">
        <w:rPr>
          <w:b/>
          <w:bCs/>
        </w:rPr>
        <w:t>.</w:t>
      </w:r>
      <w:r w:rsidRPr="004B422D">
        <w:rPr>
          <w:b/>
          <w:bCs/>
        </w:rPr>
        <w:t xml:space="preserve"> </w:t>
      </w:r>
      <w:r w:rsidR="00C164CD" w:rsidRPr="004B422D">
        <w:rPr>
          <w:b/>
          <w:bCs/>
        </w:rPr>
        <w:t>1</w:t>
      </w:r>
      <w:r w:rsidR="003B725A" w:rsidRPr="004B422D">
        <w:t xml:space="preserve"> and in black in </w:t>
      </w:r>
      <w:r w:rsidR="003B725A" w:rsidRPr="004B422D">
        <w:rPr>
          <w:b/>
          <w:bCs/>
        </w:rPr>
        <w:t>Fig. S1</w:t>
      </w:r>
      <w:r w:rsidRPr="004B422D">
        <w:t>.</w:t>
      </w:r>
    </w:p>
    <w:p w14:paraId="2CEC547D" w14:textId="4A21222A" w:rsidR="001426EB" w:rsidRPr="004B422D" w:rsidRDefault="001426EB" w:rsidP="001426EB">
      <w:pPr>
        <w:jc w:val="both"/>
      </w:pPr>
      <w:r w:rsidRPr="004B422D">
        <w:t xml:space="preserve">We assume </w:t>
      </w:r>
      <m:oMath>
        <m:sSub>
          <m:sSubPr>
            <m:ctrlPr>
              <w:rPr>
                <w:rFonts w:ascii="Cambria Math" w:hAnsi="Cambria Math"/>
                <w:i/>
              </w:rPr>
            </m:ctrlPr>
          </m:sSubPr>
          <m:e>
            <m:r>
              <w:rPr>
                <w:rFonts w:ascii="Cambria Math" w:hAnsi="Cambria Math"/>
              </w:rPr>
              <m:t>r</m:t>
            </m:r>
          </m:e>
          <m:sub>
            <m:sSub>
              <m:sSubPr>
                <m:ctrlPr>
                  <w:rPr>
                    <w:rFonts w:ascii="Cambria Math" w:hAnsi="Cambria Math"/>
                    <w:i/>
                  </w:rPr>
                </m:ctrlPr>
              </m:sSubPr>
              <m:e>
                <m:r>
                  <w:rPr>
                    <w:rFonts w:ascii="Cambria Math" w:hAnsi="Cambria Math"/>
                  </w:rPr>
                  <m:t>H</m:t>
                </m:r>
              </m:e>
              <m:sub>
                <m:r>
                  <w:rPr>
                    <w:rFonts w:ascii="Cambria Math" w:hAnsi="Cambria Math"/>
                  </w:rPr>
                  <m:t>2</m:t>
                </m:r>
              </m:sub>
            </m:sSub>
          </m:sub>
        </m:sSub>
        <m:r>
          <w:rPr>
            <w:rFonts w:ascii="Cambria Math" w:hAnsi="Cambria Math"/>
          </w:rPr>
          <m:t>=1,</m:t>
        </m:r>
      </m:oMath>
      <w:r w:rsidRPr="004B422D">
        <w:t xml:space="preserve"> but, at equilibrium, an </w:t>
      </w:r>
      <m:oMath>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oMath>
      <w:r w:rsidRPr="004B422D">
        <w:t xml:space="preserve"> concentration gradient can be assumed to result from its accumulation close to the interface. Assuming a </w:t>
      </w:r>
      <m:oMath>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r>
          <w:rPr>
            <w:rFonts w:ascii="Cambria Math" w:hAnsi="Cambria Math"/>
          </w:rPr>
          <m:t xml:space="preserve"> </m:t>
        </m:r>
      </m:oMath>
      <w:r w:rsidRPr="004B422D">
        <w:rPr>
          <w:iCs/>
        </w:rPr>
        <w:t xml:space="preserve">current density </w:t>
      </w:r>
      <m:oMath>
        <m:sSub>
          <m:sSubPr>
            <m:ctrlPr>
              <w:rPr>
                <w:rFonts w:ascii="Cambria Math" w:hAnsi="Cambria Math"/>
              </w:rPr>
            </m:ctrlPr>
          </m:sSubPr>
          <m:e>
            <m:r>
              <w:rPr>
                <w:rFonts w:ascii="Cambria Math" w:hAnsi="Cambria Math"/>
              </w:rPr>
              <m:t>j</m:t>
            </m:r>
            <m:ctrlPr>
              <w:rPr>
                <w:rFonts w:ascii="Cambria Math" w:hAnsi="Cambria Math"/>
                <w:i/>
              </w:rPr>
            </m:ctrlPr>
          </m:e>
          <m:sub>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r>
              <w:rPr>
                <w:rFonts w:ascii="Cambria Math" w:hAnsi="Cambria Math"/>
              </w:rPr>
              <m:t>j</m:t>
            </m:r>
          </m:e>
        </m:d>
        <m:r>
          <w:rPr>
            <w:rFonts w:ascii="Cambria Math" w:hAnsi="Cambria Math"/>
          </w:rPr>
          <m:t xml:space="preserve"> </m:t>
        </m:r>
      </m:oMath>
      <w:r w:rsidRPr="004B422D">
        <w:t xml:space="preserve"> at the electrode surface, resulting from its production, one can derive the concentration gradient</w:t>
      </w:r>
      <w:r w:rsidRPr="004B422D">
        <w:rPr>
          <w:iCs/>
        </w:rPr>
        <w:t xml:space="preserve"> </w:t>
      </w:r>
      <m:oMath>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H</m:t>
                </m:r>
              </m:e>
              <m:sub>
                <m:r>
                  <w:rPr>
                    <w:rFonts w:ascii="Cambria Math" w:hAnsi="Cambria Math"/>
                  </w:rPr>
                  <m:t>2</m:t>
                </m:r>
              </m:sub>
            </m:sSub>
          </m:e>
        </m:d>
        <m:d>
          <m:dPr>
            <m:ctrlPr>
              <w:rPr>
                <w:rFonts w:ascii="Cambria Math" w:hAnsi="Cambria Math"/>
                <w:i/>
                <w:iCs/>
              </w:rPr>
            </m:ctrlPr>
          </m:dPr>
          <m:e>
            <m:r>
              <w:rPr>
                <w:rFonts w:ascii="Cambria Math" w:hAnsi="Cambria Math"/>
              </w:rPr>
              <m:t>z</m:t>
            </m:r>
          </m:e>
        </m:d>
      </m:oMath>
      <w:r w:rsidRPr="004B422D">
        <w:rPr>
          <w:iCs/>
        </w:rPr>
        <w:t xml:space="preserve">, </w:t>
      </w:r>
      <w:r w:rsidRPr="004B422D">
        <w:t xml:space="preserve">with </w:t>
      </w:r>
      <m:oMath>
        <m:r>
          <w:rPr>
            <w:rFonts w:ascii="Cambria Math" w:hAnsi="Cambria Math"/>
          </w:rPr>
          <m:t>z</m:t>
        </m:r>
      </m:oMath>
      <w:r w:rsidRPr="004B422D">
        <w:t xml:space="preserve"> being the distance from the electrode into the electrolyte. We assume a planar interface which is a reasonable approximation given the characteristic distance involved. The stationary solution </w:t>
      </w:r>
      <m:oMath>
        <m:r>
          <w:rPr>
            <w:rFonts w:ascii="Cambria Math" w:hAnsi="Cambria Math"/>
          </w:rPr>
          <m:t>0=</m:t>
        </m:r>
        <m:f>
          <m:fPr>
            <m:ctrlPr>
              <w:rPr>
                <w:rFonts w:ascii="Cambria Math" w:hAnsi="Cambria Math"/>
                <w:i/>
              </w:rPr>
            </m:ctrlPr>
          </m:fPr>
          <m:num>
            <m: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H</m:t>
                    </m:r>
                  </m:e>
                  <m:sub>
                    <m:r>
                      <w:rPr>
                        <w:rFonts w:ascii="Cambria Math" w:hAnsi="Cambria Math"/>
                      </w:rPr>
                      <m:t>2</m:t>
                    </m:r>
                  </m:sub>
                </m:sSub>
              </m:e>
            </m:d>
          </m:num>
          <m:den>
            <m:r>
              <w:rPr>
                <w:rFonts w:ascii="Cambria Math" w:hAnsi="Cambria Math"/>
              </w:rPr>
              <m:t>∂t</m:t>
            </m:r>
          </m:den>
        </m:f>
        <m:d>
          <m:dPr>
            <m:ctrlPr>
              <w:rPr>
                <w:rFonts w:ascii="Cambria Math" w:hAnsi="Cambria Math"/>
                <w:i/>
              </w:rPr>
            </m:ctrlPr>
          </m:dPr>
          <m:e>
            <m:r>
              <w:rPr>
                <w:rFonts w:ascii="Cambria Math" w:hAnsi="Cambria Math"/>
              </w:rPr>
              <m:t>z,t</m:t>
            </m:r>
          </m:e>
        </m:d>
      </m:oMath>
      <w:r w:rsidR="00A126A5" w:rsidRPr="004B422D">
        <w:t xml:space="preserve"> </w:t>
      </w:r>
      <w:r w:rsidRPr="004B422D">
        <w:t xml:space="preserve">implies that </w:t>
      </w:r>
      <m:oMath>
        <m:sSub>
          <m:sSubPr>
            <m:ctrlPr>
              <w:rPr>
                <w:rFonts w:ascii="Cambria Math" w:hAnsi="Cambria Math"/>
              </w:rPr>
            </m:ctrlPr>
          </m:sSubPr>
          <m:e>
            <m:r>
              <w:rPr>
                <w:rFonts w:ascii="Cambria Math" w:hAnsi="Cambria Math"/>
              </w:rPr>
              <m:t>j</m:t>
            </m:r>
            <m:ctrlPr>
              <w:rPr>
                <w:rFonts w:ascii="Cambria Math" w:hAnsi="Cambria Math"/>
                <w:i/>
              </w:rPr>
            </m:ctrlPr>
          </m:e>
          <m:sub>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sub>
        </m:sSub>
        <m:d>
          <m:dPr>
            <m:ctrlPr>
              <w:rPr>
                <w:rFonts w:ascii="Cambria Math" w:hAnsi="Cambria Math"/>
                <w:i/>
              </w:rPr>
            </m:ctrlPr>
          </m:dPr>
          <m:e>
            <m:r>
              <w:rPr>
                <w:rFonts w:ascii="Cambria Math" w:hAnsi="Cambria Math"/>
              </w:rPr>
              <m:t>z</m:t>
            </m:r>
          </m:e>
        </m:d>
        <m:r>
          <w:rPr>
            <w:rFonts w:ascii="Cambria Math" w:hAnsi="Cambria Math"/>
          </w:rPr>
          <m:t>=</m:t>
        </m:r>
        <m:sSub>
          <m:sSubPr>
            <m:ctrlPr>
              <w:rPr>
                <w:rFonts w:ascii="Cambria Math" w:hAnsi="Cambria Math"/>
              </w:rPr>
            </m:ctrlPr>
          </m:sSubPr>
          <m:e>
            <m:r>
              <w:rPr>
                <w:rFonts w:ascii="Cambria Math" w:hAnsi="Cambria Math"/>
              </w:rPr>
              <m:t>j</m:t>
            </m:r>
            <m:ctrlPr>
              <w:rPr>
                <w:rFonts w:ascii="Cambria Math" w:hAnsi="Cambria Math"/>
                <w:i/>
              </w:rPr>
            </m:ctrlPr>
          </m:e>
          <m:sub>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sub>
        </m:sSub>
        <m:d>
          <m:dPr>
            <m:ctrlPr>
              <w:rPr>
                <w:rFonts w:ascii="Cambria Math" w:hAnsi="Cambria Math"/>
                <w:i/>
              </w:rPr>
            </m:ctrlPr>
          </m:dPr>
          <m:e>
            <m:r>
              <w:rPr>
                <w:rFonts w:ascii="Cambria Math" w:hAnsi="Cambria Math"/>
              </w:rPr>
              <m:t>0</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r>
              <w:rPr>
                <w:rFonts w:ascii="Cambria Math" w:hAnsi="Cambria Math"/>
              </w:rPr>
              <m:t>j</m:t>
            </m:r>
          </m:e>
        </m:d>
      </m:oMath>
      <w:r w:rsidRPr="004B422D">
        <w:t xml:space="preserve"> close to the surface, since </w:t>
      </w:r>
      <m:oMath>
        <m:f>
          <m:fPr>
            <m:ctrlPr>
              <w:rPr>
                <w:rFonts w:ascii="Cambria Math" w:hAnsi="Cambria Math"/>
                <w:i/>
              </w:rPr>
            </m:ctrlPr>
          </m:fPr>
          <m:num>
            <m: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H</m:t>
                    </m:r>
                  </m:e>
                  <m:sub>
                    <m:r>
                      <w:rPr>
                        <w:rFonts w:ascii="Cambria Math" w:hAnsi="Cambria Math"/>
                      </w:rPr>
                      <m:t>2</m:t>
                    </m:r>
                  </m:sub>
                </m:sSub>
              </m:e>
            </m:d>
          </m:num>
          <m:den>
            <m:r>
              <w:rPr>
                <w:rFonts w:ascii="Cambria Math" w:hAnsi="Cambria Math"/>
              </w:rPr>
              <m:t>∂t</m:t>
            </m:r>
          </m:den>
        </m:f>
        <m:d>
          <m:dPr>
            <m:ctrlPr>
              <w:rPr>
                <w:rFonts w:ascii="Cambria Math" w:hAnsi="Cambria Math"/>
                <w:i/>
              </w:rPr>
            </m:ctrlPr>
          </m:dPr>
          <m:e>
            <m:r>
              <w:rPr>
                <w:rFonts w:ascii="Cambria Math" w:hAnsi="Cambria Math"/>
              </w:rPr>
              <m:t>z,t</m:t>
            </m:r>
          </m:e>
        </m:d>
        <m:r>
          <w:rPr>
            <w:rFonts w:ascii="Cambria Math" w:hAnsi="Cambria Math"/>
          </w:rPr>
          <m:t>=-</m:t>
        </m:r>
        <m:f>
          <m:fPr>
            <m:ctrlPr>
              <w:rPr>
                <w:rFonts w:ascii="Cambria Math" w:hAnsi="Cambria Math"/>
                <w:i/>
              </w:rPr>
            </m:ctrlPr>
          </m:fPr>
          <m:num>
            <m:r>
              <w:rPr>
                <w:rFonts w:ascii="Cambria Math" w:hAnsi="Cambria Math"/>
              </w:rPr>
              <m:t>∂</m:t>
            </m:r>
            <m:sSub>
              <m:sSubPr>
                <m:ctrlPr>
                  <w:rPr>
                    <w:rFonts w:ascii="Cambria Math" w:hAnsi="Cambria Math"/>
                  </w:rPr>
                </m:ctrlPr>
              </m:sSubPr>
              <m:e>
                <m:r>
                  <w:rPr>
                    <w:rFonts w:ascii="Cambria Math" w:hAnsi="Cambria Math"/>
                  </w:rPr>
                  <m:t>j</m:t>
                </m:r>
                <m:ctrlPr>
                  <w:rPr>
                    <w:rFonts w:ascii="Cambria Math" w:hAnsi="Cambria Math"/>
                    <w:i/>
                  </w:rPr>
                </m:ctrlPr>
              </m:e>
              <m:sub>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sub>
            </m:sSub>
          </m:num>
          <m:den>
            <m:r>
              <w:rPr>
                <w:rFonts w:ascii="Cambria Math" w:hAnsi="Cambria Math"/>
              </w:rPr>
              <m:t>∂z</m:t>
            </m:r>
          </m:den>
        </m:f>
        <m:d>
          <m:dPr>
            <m:ctrlPr>
              <w:rPr>
                <w:rFonts w:ascii="Cambria Math" w:hAnsi="Cambria Math"/>
                <w:i/>
              </w:rPr>
            </m:ctrlPr>
          </m:dPr>
          <m:e>
            <m:r>
              <w:rPr>
                <w:rFonts w:ascii="Cambria Math" w:hAnsi="Cambria Math"/>
              </w:rPr>
              <m:t>z,t</m:t>
            </m:r>
          </m:e>
        </m:d>
      </m:oMath>
      <w:r w:rsidRPr="004B422D">
        <w:t xml:space="preserve">. Solving the Fick law, </w:t>
      </w:r>
      <m:oMath>
        <m:sSub>
          <m:sSubPr>
            <m:ctrlPr>
              <w:rPr>
                <w:rFonts w:ascii="Cambria Math" w:hAnsi="Cambria Math"/>
              </w:rPr>
            </m:ctrlPr>
          </m:sSubPr>
          <m:e>
            <m:r>
              <w:rPr>
                <w:rFonts w:ascii="Cambria Math" w:hAnsi="Cambria Math"/>
              </w:rPr>
              <m:t>j</m:t>
            </m:r>
            <m:ctrlPr>
              <w:rPr>
                <w:rFonts w:ascii="Cambria Math" w:hAnsi="Cambria Math"/>
                <w:i/>
              </w:rPr>
            </m:ctrlPr>
          </m:e>
          <m:sub>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sub>
        </m:sSub>
        <m:r>
          <w:rPr>
            <w:rFonts w:ascii="Cambria Math" w:hAnsi="Cambria Math"/>
          </w:rPr>
          <m:t>(z)=-D</m:t>
        </m:r>
        <m:f>
          <m:fPr>
            <m:ctrlPr>
              <w:rPr>
                <w:rFonts w:ascii="Cambria Math" w:hAnsi="Cambria Math"/>
                <w:i/>
              </w:rPr>
            </m:ctrlPr>
          </m:fPr>
          <m:num>
            <m: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H</m:t>
                    </m:r>
                  </m:e>
                  <m:sub>
                    <m:r>
                      <w:rPr>
                        <w:rFonts w:ascii="Cambria Math" w:hAnsi="Cambria Math"/>
                      </w:rPr>
                      <m:t>2</m:t>
                    </m:r>
                  </m:sub>
                </m:sSub>
              </m:e>
            </m:d>
          </m:num>
          <m:den>
            <m:r>
              <w:rPr>
                <w:rFonts w:ascii="Cambria Math" w:hAnsi="Cambria Math"/>
              </w:rPr>
              <m:t>∂z</m:t>
            </m:r>
          </m:den>
        </m:f>
        <m:d>
          <m:dPr>
            <m:ctrlPr>
              <w:rPr>
                <w:rFonts w:ascii="Cambria Math" w:hAnsi="Cambria Math"/>
                <w:i/>
              </w:rPr>
            </m:ctrlPr>
          </m:dPr>
          <m:e>
            <m:r>
              <w:rPr>
                <w:rFonts w:ascii="Cambria Math" w:hAnsi="Cambria Math"/>
              </w:rPr>
              <m:t>z</m:t>
            </m:r>
          </m:e>
        </m:d>
      </m:oMath>
      <w:r w:rsidRPr="004B422D">
        <w:t xml:space="preserve">, with </w:t>
      </w:r>
      <m:oMath>
        <m:r>
          <w:rPr>
            <w:rFonts w:ascii="Cambria Math" w:hAnsi="Cambria Math"/>
          </w:rPr>
          <m:t>D=4.5×</m:t>
        </m:r>
        <m:sSup>
          <m:sSupPr>
            <m:ctrlPr>
              <w:rPr>
                <w:rFonts w:ascii="Cambria Math" w:hAnsi="Cambria Math"/>
                <w:i/>
              </w:rPr>
            </m:ctrlPr>
          </m:sSupPr>
          <m:e>
            <m:r>
              <w:rPr>
                <w:rFonts w:ascii="Cambria Math" w:hAnsi="Cambria Math"/>
              </w:rPr>
              <m:t>10</m:t>
            </m:r>
          </m:e>
          <m:sup>
            <m:r>
              <w:rPr>
                <w:rFonts w:ascii="Cambria Math" w:hAnsi="Cambria Math"/>
              </w:rPr>
              <m:t>-9</m:t>
            </m:r>
          </m:sup>
        </m:sSup>
      </m:oMath>
      <w:r w:rsidRPr="004B422D">
        <w:t xml:space="preserve"> m</w:t>
      </w:r>
      <w:r w:rsidRPr="004B422D">
        <w:rPr>
          <w:vertAlign w:val="superscript"/>
        </w:rPr>
        <w:t>2</w:t>
      </w:r>
      <w:r w:rsidRPr="004B422D">
        <w:t xml:space="preserve">/s the diffusion coefficient of </w:t>
      </w:r>
      <m:oMath>
        <m:sSub>
          <m:sSubPr>
            <m:ctrlPr>
              <w:rPr>
                <w:rFonts w:ascii="Cambria Math" w:hAnsi="Cambria Math"/>
              </w:rPr>
            </m:ctrlPr>
          </m:sSubPr>
          <m:e>
            <m:r>
              <m:rPr>
                <m:sty m:val="p"/>
              </m:rPr>
              <w:rPr>
                <w:rFonts w:ascii="Cambria Math" w:hAnsi="Cambria Math"/>
              </w:rPr>
              <m:t>H</m:t>
            </m:r>
          </m:e>
          <m:sub>
            <m:r>
              <w:rPr>
                <w:rFonts w:ascii="Cambria Math" w:hAnsi="Cambria Math"/>
              </w:rPr>
              <m:t>2</m:t>
            </m:r>
          </m:sub>
        </m:sSub>
      </m:oMath>
      <w:r w:rsidRPr="004B422D">
        <w:t xml:space="preserve"> in water, it follows that </w:t>
      </w:r>
      <m:oMath>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H</m:t>
                </m:r>
              </m:e>
              <m:sub>
                <m:r>
                  <w:rPr>
                    <w:rFonts w:ascii="Cambria Math" w:hAnsi="Cambria Math"/>
                  </w:rPr>
                  <m:t>2</m:t>
                </m:r>
              </m:sub>
            </m:sSub>
          </m:e>
        </m:d>
        <m:d>
          <m:dPr>
            <m:ctrlPr>
              <w:rPr>
                <w:rFonts w:ascii="Cambria Math" w:hAnsi="Cambria Math"/>
                <w:i/>
                <w:iCs/>
              </w:rPr>
            </m:ctrlPr>
          </m:dPr>
          <m:e>
            <m:r>
              <w:rPr>
                <w:rFonts w:ascii="Cambria Math" w:hAnsi="Cambria Math"/>
              </w:rPr>
              <m:t>z</m:t>
            </m:r>
          </m:e>
        </m:d>
        <m:r>
          <w:rPr>
            <w:rFonts w:ascii="Cambria Math" w:hAnsi="Cambria Math"/>
          </w:rPr>
          <m:t>=-</m:t>
        </m:r>
        <m:f>
          <m:fPr>
            <m:ctrlPr>
              <w:rPr>
                <w:rFonts w:ascii="Cambria Math" w:hAnsi="Cambria Math"/>
                <w:i/>
                <w:iCs/>
              </w:rPr>
            </m:ctrlPr>
          </m:fPr>
          <m:num>
            <m:d>
              <m:dPr>
                <m:begChr m:val="|"/>
                <m:endChr m:val="|"/>
                <m:ctrlPr>
                  <w:rPr>
                    <w:rFonts w:ascii="Cambria Math" w:hAnsi="Cambria Math"/>
                    <w:i/>
                  </w:rPr>
                </m:ctrlPr>
              </m:dPr>
              <m:e>
                <m:r>
                  <w:rPr>
                    <w:rFonts w:ascii="Cambria Math" w:hAnsi="Cambria Math"/>
                  </w:rPr>
                  <m:t>j</m:t>
                </m:r>
              </m:e>
            </m:d>
          </m:num>
          <m:den>
            <m:r>
              <w:rPr>
                <w:rFonts w:ascii="Cambria Math" w:hAnsi="Cambria Math"/>
              </w:rPr>
              <m:t>2D</m:t>
            </m:r>
          </m:den>
        </m:f>
        <m:r>
          <w:rPr>
            <w:rFonts w:ascii="Cambria Math" w:hAnsi="Cambria Math"/>
          </w:rPr>
          <m:t>z+cst.</m:t>
        </m:r>
      </m:oMath>
      <w:r w:rsidRPr="004B422D">
        <w:rPr>
          <w:iCs/>
        </w:rPr>
        <w:t xml:space="preserve"> At a distance L, </w:t>
      </w:r>
      <w:r w:rsidRPr="004B422D">
        <w:t xml:space="preserve">corresponding to the slipping plane, </w:t>
      </w:r>
      <m:oMath>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H</m:t>
                </m:r>
              </m:e>
              <m:sub>
                <m:r>
                  <w:rPr>
                    <w:rFonts w:ascii="Cambria Math" w:hAnsi="Cambria Math"/>
                  </w:rPr>
                  <m:t>2</m:t>
                </m:r>
              </m:sub>
            </m:sSub>
          </m:e>
        </m:d>
        <m:d>
          <m:dPr>
            <m:ctrlPr>
              <w:rPr>
                <w:rFonts w:ascii="Cambria Math" w:hAnsi="Cambria Math"/>
                <w:i/>
                <w:iCs/>
              </w:rPr>
            </m:ctrlPr>
          </m:dPr>
          <m:e>
            <m:r>
              <w:rPr>
                <w:rFonts w:ascii="Cambria Math" w:hAnsi="Cambria Math"/>
              </w:rPr>
              <m:t>z</m:t>
            </m:r>
          </m:e>
        </m:d>
      </m:oMath>
      <w:r w:rsidRPr="004B422D">
        <w:rPr>
          <w:iCs/>
        </w:rPr>
        <w:t xml:space="preserve"> reaches a constant due to the stirring of the solution. One can assume </w:t>
      </w:r>
      <m:oMath>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H</m:t>
                </m:r>
              </m:e>
              <m:sub>
                <m:r>
                  <w:rPr>
                    <w:rFonts w:ascii="Cambria Math" w:hAnsi="Cambria Math"/>
                  </w:rPr>
                  <m:t>2</m:t>
                </m:r>
              </m:sub>
            </m:sSub>
          </m:e>
        </m:d>
        <m:d>
          <m:dPr>
            <m:ctrlPr>
              <w:rPr>
                <w:rFonts w:ascii="Cambria Math" w:hAnsi="Cambria Math"/>
                <w:i/>
                <w:iCs/>
              </w:rPr>
            </m:ctrlPr>
          </m:dPr>
          <m:e>
            <m:r>
              <w:rPr>
                <w:rFonts w:ascii="Cambria Math" w:hAnsi="Cambria Math"/>
              </w:rPr>
              <m:t>L</m:t>
            </m:r>
          </m:e>
        </m:d>
        <m:r>
          <w:rPr>
            <w:rFonts w:ascii="Cambria Math" w:hAnsi="Cambria Math"/>
          </w:rPr>
          <m:t>=</m:t>
        </m:r>
        <m:sSub>
          <m:sSubPr>
            <m:ctrlPr>
              <w:rPr>
                <w:rFonts w:ascii="Cambria Math" w:hAnsi="Cambria Math"/>
              </w:rPr>
            </m:ctrlPr>
          </m:sSubPr>
          <m:e>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H</m:t>
                    </m:r>
                  </m:e>
                  <m:sub>
                    <m:r>
                      <w:rPr>
                        <w:rFonts w:ascii="Cambria Math" w:hAnsi="Cambria Math"/>
                      </w:rPr>
                      <m:t>2</m:t>
                    </m:r>
                  </m:sub>
                </m:sSub>
              </m:e>
            </m:d>
          </m:e>
          <m:sub>
            <m:r>
              <w:rPr>
                <w:rFonts w:ascii="Cambria Math" w:hAnsi="Cambria Math"/>
              </w:rPr>
              <m:t>sat</m:t>
            </m:r>
          </m:sub>
        </m:sSub>
      </m:oMath>
      <w:r w:rsidRPr="004B422D">
        <w:rPr>
          <w:iCs/>
        </w:rPr>
        <w:t xml:space="preserve">, </w:t>
      </w:r>
      <w:r w:rsidRPr="004B422D">
        <w:t xml:space="preserve">with </w:t>
      </w:r>
      <m:oMath>
        <m:r>
          <w:rPr>
            <w:rFonts w:ascii="Cambria Math" w:hAnsi="Cambria Math"/>
          </w:rPr>
          <m:t>L</m:t>
        </m:r>
      </m:oMath>
      <w:r w:rsidRPr="004B422D">
        <w:t xml:space="preserve"> taken as 1 nm at molar ionic strength. It follows that </w:t>
      </w:r>
      <m:oMath>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H</m:t>
                </m:r>
              </m:e>
              <m:sub>
                <m:r>
                  <w:rPr>
                    <w:rFonts w:ascii="Cambria Math" w:hAnsi="Cambria Math"/>
                  </w:rPr>
                  <m:t>2</m:t>
                </m:r>
              </m:sub>
            </m:sSub>
          </m:e>
        </m:d>
        <m:d>
          <m:dPr>
            <m:ctrlPr>
              <w:rPr>
                <w:rFonts w:ascii="Cambria Math" w:hAnsi="Cambria Math"/>
                <w:i/>
                <w:iCs/>
              </w:rPr>
            </m:ctrlPr>
          </m:dPr>
          <m:e>
            <m:r>
              <w:rPr>
                <w:rFonts w:ascii="Cambria Math" w:hAnsi="Cambria Math"/>
              </w:rPr>
              <m:t>z</m:t>
            </m:r>
          </m:e>
        </m:d>
        <m:r>
          <w:rPr>
            <w:rFonts w:ascii="Cambria Math" w:hAnsi="Cambria Math"/>
          </w:rPr>
          <m:t>=</m:t>
        </m:r>
        <m:f>
          <m:fPr>
            <m:ctrlPr>
              <w:rPr>
                <w:rFonts w:ascii="Cambria Math" w:hAnsi="Cambria Math"/>
                <w:i/>
                <w:iCs/>
              </w:rPr>
            </m:ctrlPr>
          </m:fPr>
          <m:num>
            <m:d>
              <m:dPr>
                <m:begChr m:val="|"/>
                <m:endChr m:val="|"/>
                <m:ctrlPr>
                  <w:rPr>
                    <w:rFonts w:ascii="Cambria Math" w:hAnsi="Cambria Math"/>
                    <w:i/>
                  </w:rPr>
                </m:ctrlPr>
              </m:dPr>
              <m:e>
                <m:r>
                  <w:rPr>
                    <w:rFonts w:ascii="Cambria Math" w:hAnsi="Cambria Math"/>
                  </w:rPr>
                  <m:t>j</m:t>
                </m:r>
              </m:e>
            </m:d>
          </m:num>
          <m:den>
            <m:r>
              <w:rPr>
                <w:rFonts w:ascii="Cambria Math" w:hAnsi="Cambria Math"/>
              </w:rPr>
              <m:t>2D</m:t>
            </m:r>
          </m:den>
        </m:f>
        <m:d>
          <m:dPr>
            <m:ctrlPr>
              <w:rPr>
                <w:rFonts w:ascii="Cambria Math" w:hAnsi="Cambria Math"/>
                <w:i/>
                <w:iCs/>
              </w:rPr>
            </m:ctrlPr>
          </m:dPr>
          <m:e>
            <m:r>
              <w:rPr>
                <w:rFonts w:ascii="Cambria Math" w:hAnsi="Cambria Math"/>
              </w:rPr>
              <m:t>L-z</m:t>
            </m:r>
          </m:e>
        </m:d>
        <m:r>
          <w:rPr>
            <w:rFonts w:ascii="Cambria Math" w:hAnsi="Cambria Math"/>
          </w:rPr>
          <m:t>+</m:t>
        </m:r>
        <m:sSub>
          <m:sSubPr>
            <m:ctrlPr>
              <w:rPr>
                <w:rFonts w:ascii="Cambria Math" w:hAnsi="Cambria Math"/>
              </w:rPr>
            </m:ctrlPr>
          </m:sSubPr>
          <m:e>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H</m:t>
                    </m:r>
                  </m:e>
                  <m:sub>
                    <m:r>
                      <w:rPr>
                        <w:rFonts w:ascii="Cambria Math" w:hAnsi="Cambria Math"/>
                      </w:rPr>
                      <m:t>2</m:t>
                    </m:r>
                  </m:sub>
                </m:sSub>
              </m:e>
            </m:d>
          </m:e>
          <m:sub>
            <m:r>
              <w:rPr>
                <w:rFonts w:ascii="Cambria Math" w:hAnsi="Cambria Math"/>
              </w:rPr>
              <m:t>sat</m:t>
            </m:r>
          </m:sub>
        </m:sSub>
      </m:oMath>
      <w:r w:rsidRPr="004B422D">
        <w:t>, and then</w:t>
      </w:r>
    </w:p>
    <w:p w14:paraId="017202A0" w14:textId="77777777" w:rsidR="001426EB" w:rsidRPr="004B422D" w:rsidRDefault="00F83C00" w:rsidP="001426EB">
      <m:oMathPara>
        <m:oMath>
          <m:sSub>
            <m:sSubPr>
              <m:ctrlPr>
                <w:rPr>
                  <w:rFonts w:ascii="Cambria Math" w:hAnsi="Cambria Math"/>
                  <w:i/>
                </w:rPr>
              </m:ctrlPr>
            </m:sSubPr>
            <m:e>
              <m:r>
                <w:rPr>
                  <w:rFonts w:ascii="Cambria Math" w:hAnsi="Cambria Math"/>
                </w:rPr>
                <m:t>r</m:t>
              </m:r>
            </m:e>
            <m:sub>
              <m:sSub>
                <m:sSubPr>
                  <m:ctrlPr>
                    <w:rPr>
                      <w:rFonts w:ascii="Cambria Math" w:hAnsi="Cambria Math"/>
                      <w:i/>
                    </w:rPr>
                  </m:ctrlPr>
                </m:sSubPr>
                <m:e>
                  <m:r>
                    <w:rPr>
                      <w:rFonts w:ascii="Cambria Math" w:hAnsi="Cambria Math"/>
                    </w:rPr>
                    <m:t>H</m:t>
                  </m:r>
                </m:e>
                <m:sub>
                  <m:r>
                    <w:rPr>
                      <w:rFonts w:ascii="Cambria Math" w:hAnsi="Cambria Math"/>
                    </w:rPr>
                    <m:t>2</m:t>
                  </m:r>
                </m:sub>
              </m:sSub>
            </m:sub>
          </m:sSub>
          <m:r>
            <w:rPr>
              <w:rFonts w:ascii="Cambria Math" w:hAnsi="Cambria Math"/>
            </w:rPr>
            <m:t xml:space="preserve">= </m:t>
          </m:r>
          <m:f>
            <m:fPr>
              <m:ctrlPr>
                <w:rPr>
                  <w:rFonts w:ascii="Cambria Math" w:hAnsi="Cambria Math"/>
                </w:rPr>
              </m:ctrlPr>
            </m:fPr>
            <m:num>
              <m:sSub>
                <m:sSubPr>
                  <m:ctrlPr>
                    <w:rPr>
                      <w:rFonts w:ascii="Cambria Math" w:hAnsi="Cambria Math"/>
                    </w:rPr>
                  </m:ctrlPr>
                </m:sSubPr>
                <m:e>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H</m:t>
                          </m:r>
                        </m:e>
                        <m:sub>
                          <m:r>
                            <w:rPr>
                              <w:rFonts w:ascii="Cambria Math" w:hAnsi="Cambria Math"/>
                            </w:rPr>
                            <m:t>2</m:t>
                          </m:r>
                        </m:sub>
                      </m:sSub>
                    </m:e>
                  </m:d>
                </m:e>
                <m:sub>
                  <m:r>
                    <w:rPr>
                      <w:rFonts w:ascii="Cambria Math" w:hAnsi="Cambria Math"/>
                    </w:rPr>
                    <m:t>surf</m:t>
                  </m:r>
                </m:sub>
              </m:sSub>
              <m:ctrlPr>
                <w:rPr>
                  <w:rFonts w:ascii="Cambria Math" w:hAnsi="Cambria Math"/>
                  <w:i/>
                </w:rPr>
              </m:ctrlPr>
            </m:num>
            <m:den>
              <m:sSub>
                <m:sSubPr>
                  <m:ctrlPr>
                    <w:rPr>
                      <w:rFonts w:ascii="Cambria Math" w:hAnsi="Cambria Math"/>
                    </w:rPr>
                  </m:ctrlPr>
                </m:sSubPr>
                <m:e>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H</m:t>
                          </m:r>
                        </m:e>
                        <m:sub>
                          <m:r>
                            <w:rPr>
                              <w:rFonts w:ascii="Cambria Math" w:hAnsi="Cambria Math"/>
                            </w:rPr>
                            <m:t>2</m:t>
                          </m:r>
                        </m:sub>
                      </m:sSub>
                    </m:e>
                  </m:d>
                </m:e>
                <m:sub>
                  <m:r>
                    <w:rPr>
                      <w:rFonts w:ascii="Cambria Math" w:hAnsi="Cambria Math"/>
                    </w:rPr>
                    <m:t>bulk</m:t>
                  </m:r>
                </m:sub>
              </m:sSub>
            </m:den>
          </m:f>
          <m:r>
            <w:rPr>
              <w:rFonts w:ascii="Cambria Math" w:hAnsi="Cambria Math"/>
            </w:rPr>
            <m:t>=</m:t>
          </m:r>
          <m:f>
            <m:fPr>
              <m:ctrlPr>
                <w:rPr>
                  <w:rFonts w:ascii="Cambria Math" w:hAnsi="Cambria Math"/>
                </w:rPr>
              </m:ctrlPr>
            </m:fPr>
            <m:num>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H</m:t>
                      </m:r>
                    </m:e>
                    <m:sub>
                      <m:r>
                        <w:rPr>
                          <w:rFonts w:ascii="Cambria Math" w:hAnsi="Cambria Math"/>
                        </w:rPr>
                        <m:t>2</m:t>
                      </m:r>
                    </m:sub>
                  </m:sSub>
                </m:e>
              </m:d>
              <m:d>
                <m:dPr>
                  <m:ctrlPr>
                    <w:rPr>
                      <w:rFonts w:ascii="Cambria Math" w:hAnsi="Cambria Math"/>
                      <w:i/>
                      <w:iCs/>
                    </w:rPr>
                  </m:ctrlPr>
                </m:dPr>
                <m:e>
                  <m:r>
                    <w:rPr>
                      <w:rFonts w:ascii="Cambria Math" w:hAnsi="Cambria Math"/>
                    </w:rPr>
                    <m:t>0</m:t>
                  </m:r>
                </m:e>
              </m:d>
              <m:ctrlPr>
                <w:rPr>
                  <w:rFonts w:ascii="Cambria Math" w:hAnsi="Cambria Math"/>
                  <w:i/>
                </w:rPr>
              </m:ctrlPr>
            </m:num>
            <m:den>
              <m:sSub>
                <m:sSubPr>
                  <m:ctrlPr>
                    <w:rPr>
                      <w:rFonts w:ascii="Cambria Math" w:hAnsi="Cambria Math"/>
                    </w:rPr>
                  </m:ctrlPr>
                </m:sSubPr>
                <m:e>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H</m:t>
                          </m:r>
                        </m:e>
                        <m:sub>
                          <m:r>
                            <w:rPr>
                              <w:rFonts w:ascii="Cambria Math" w:hAnsi="Cambria Math"/>
                            </w:rPr>
                            <m:t>2</m:t>
                          </m:r>
                        </m:sub>
                      </m:sSub>
                    </m:e>
                  </m:d>
                </m:e>
                <m:sub>
                  <m:r>
                    <w:rPr>
                      <w:rFonts w:ascii="Cambria Math" w:hAnsi="Cambria Math"/>
                    </w:rPr>
                    <m:t>sat</m:t>
                  </m:r>
                </m:sub>
              </m:sSub>
            </m:den>
          </m:f>
          <m:r>
            <w:rPr>
              <w:rFonts w:ascii="Cambria Math" w:hAnsi="Cambria Math"/>
            </w:rPr>
            <m:t>=</m:t>
          </m:r>
          <m:f>
            <m:fPr>
              <m:ctrlPr>
                <w:rPr>
                  <w:rFonts w:ascii="Cambria Math" w:hAnsi="Cambria Math"/>
                  <w:i/>
                  <w:iCs/>
                </w:rPr>
              </m:ctrlPr>
            </m:fPr>
            <m:num>
              <m:d>
                <m:dPr>
                  <m:begChr m:val="|"/>
                  <m:endChr m:val="|"/>
                  <m:ctrlPr>
                    <w:rPr>
                      <w:rFonts w:ascii="Cambria Math" w:hAnsi="Cambria Math"/>
                      <w:i/>
                    </w:rPr>
                  </m:ctrlPr>
                </m:dPr>
                <m:e>
                  <m:r>
                    <w:rPr>
                      <w:rFonts w:ascii="Cambria Math" w:hAnsi="Cambria Math"/>
                    </w:rPr>
                    <m:t>j</m:t>
                  </m:r>
                </m:e>
              </m:d>
              <m:r>
                <w:rPr>
                  <w:rFonts w:ascii="Cambria Math" w:hAnsi="Cambria Math"/>
                </w:rPr>
                <m:t>L</m:t>
              </m:r>
            </m:num>
            <m:den>
              <m:r>
                <w:rPr>
                  <w:rFonts w:ascii="Cambria Math" w:hAnsi="Cambria Math"/>
                </w:rPr>
                <m:t>2D</m:t>
              </m:r>
              <m:sSub>
                <m:sSubPr>
                  <m:ctrlPr>
                    <w:rPr>
                      <w:rFonts w:ascii="Cambria Math" w:hAnsi="Cambria Math"/>
                    </w:rPr>
                  </m:ctrlPr>
                </m:sSubPr>
                <m:e>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H</m:t>
                          </m:r>
                        </m:e>
                        <m:sub>
                          <m:r>
                            <w:rPr>
                              <w:rFonts w:ascii="Cambria Math" w:hAnsi="Cambria Math"/>
                            </w:rPr>
                            <m:t>2</m:t>
                          </m:r>
                        </m:sub>
                      </m:sSub>
                    </m:e>
                  </m:d>
                </m:e>
                <m:sub>
                  <m:r>
                    <w:rPr>
                      <w:rFonts w:ascii="Cambria Math" w:hAnsi="Cambria Math"/>
                    </w:rPr>
                    <m:t>sat</m:t>
                  </m:r>
                </m:sub>
              </m:sSub>
            </m:den>
          </m:f>
          <m:r>
            <w:rPr>
              <w:rFonts w:ascii="Cambria Math" w:hAnsi="Cambria Math"/>
            </w:rPr>
            <m:t>+1</m:t>
          </m:r>
          <m:r>
            <m:rPr>
              <m:sty m:val="p"/>
            </m:rPr>
            <w:rPr>
              <w:rFonts w:ascii="Cambria Math" w:hAnsi="Cambria Math"/>
            </w:rPr>
            <m:t xml:space="preserve">, </m:t>
          </m:r>
          <m:r>
            <w:rPr>
              <w:rFonts w:ascii="Cambria Math" w:hAnsi="Cambria Math"/>
            </w:rPr>
            <m:t>   </m:t>
          </m:r>
          <m:r>
            <m:rPr>
              <m:sty m:val="p"/>
            </m:rPr>
            <w:rPr>
              <w:rFonts w:ascii="Cambria Math" w:hAnsi="Cambria Math"/>
            </w:rPr>
            <m:t>(</m:t>
          </m:r>
          <m:r>
            <w:rPr>
              <w:rFonts w:ascii="Cambria Math" w:hAnsi="Cambria Math"/>
            </w:rPr>
            <m:t>S1.4</m:t>
          </m:r>
          <m:r>
            <m:rPr>
              <m:sty m:val="p"/>
            </m:rPr>
            <w:rPr>
              <w:rFonts w:ascii="Cambria Math" w:hAnsi="Cambria Math"/>
            </w:rPr>
            <m:t>)</m:t>
          </m:r>
        </m:oMath>
      </m:oMathPara>
    </w:p>
    <w:p w14:paraId="0B55ECBF" w14:textId="7A6809B0" w:rsidR="007C6B59" w:rsidRDefault="001426EB" w:rsidP="001426EB">
      <w:pPr>
        <w:jc w:val="both"/>
      </w:pPr>
      <w:r w:rsidRPr="004B422D">
        <w:rPr>
          <w:iCs/>
        </w:rPr>
        <w:t xml:space="preserve">This leads to </w:t>
      </w:r>
      <m:oMath>
        <m:sSub>
          <m:sSubPr>
            <m:ctrlPr>
              <w:rPr>
                <w:rFonts w:ascii="Cambria Math" w:hAnsi="Cambria Math"/>
                <w:i/>
              </w:rPr>
            </m:ctrlPr>
          </m:sSubPr>
          <m:e>
            <m:r>
              <w:rPr>
                <w:rFonts w:ascii="Cambria Math" w:hAnsi="Cambria Math"/>
              </w:rPr>
              <m:t>r</m:t>
            </m:r>
          </m:e>
          <m:sub>
            <m:sSub>
              <m:sSubPr>
                <m:ctrlPr>
                  <w:rPr>
                    <w:rFonts w:ascii="Cambria Math" w:hAnsi="Cambria Math"/>
                    <w:i/>
                  </w:rPr>
                </m:ctrlPr>
              </m:sSubPr>
              <m:e>
                <m:r>
                  <w:rPr>
                    <w:rFonts w:ascii="Cambria Math" w:hAnsi="Cambria Math"/>
                  </w:rPr>
                  <m:t>H</m:t>
                </m:r>
              </m:e>
              <m:sub>
                <m:r>
                  <w:rPr>
                    <w:rFonts w:ascii="Cambria Math" w:hAnsi="Cambria Math"/>
                  </w:rPr>
                  <m:t>2</m:t>
                </m:r>
              </m:sub>
            </m:sSub>
          </m:sub>
        </m:sSub>
        <m:r>
          <w:rPr>
            <w:rFonts w:ascii="Cambria Math" w:hAnsi="Cambria Math"/>
          </w:rPr>
          <m:t>=8.1</m:t>
        </m:r>
      </m:oMath>
      <w:r w:rsidRPr="004B422D">
        <w:t>. Th</w:t>
      </w:r>
      <w:r w:rsidR="003A363C" w:rsidRPr="004B422D">
        <w:t xml:space="preserve">e </w:t>
      </w:r>
      <w:r w:rsidRPr="004B422D">
        <w:t xml:space="preserve">increase in </w:t>
      </w:r>
      <m:oMath>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oMath>
      <w:r w:rsidRPr="004B422D">
        <w:rPr>
          <w:iCs/>
        </w:rPr>
        <w:t xml:space="preserve"> concentration </w:t>
      </w:r>
      <w:r w:rsidRPr="004B422D">
        <w:t xml:space="preserve">near the electrode </w:t>
      </w:r>
      <w:r w:rsidR="003A363C" w:rsidRPr="004B422D">
        <w:t xml:space="preserve">leads to a slight rise in the overpotential compared to the case </w:t>
      </w:r>
      <m:oMath>
        <m:sSub>
          <m:sSubPr>
            <m:ctrlPr>
              <w:rPr>
                <w:rFonts w:ascii="Cambria Math" w:hAnsi="Cambria Math"/>
                <w:i/>
              </w:rPr>
            </m:ctrlPr>
          </m:sSubPr>
          <m:e>
            <m:r>
              <w:rPr>
                <w:rFonts w:ascii="Cambria Math" w:hAnsi="Cambria Math"/>
              </w:rPr>
              <m:t>r</m:t>
            </m:r>
          </m:e>
          <m:sub>
            <m:sSub>
              <m:sSubPr>
                <m:ctrlPr>
                  <w:rPr>
                    <w:rFonts w:ascii="Cambria Math" w:hAnsi="Cambria Math"/>
                    <w:i/>
                  </w:rPr>
                </m:ctrlPr>
              </m:sSubPr>
              <m:e>
                <m:r>
                  <w:rPr>
                    <w:rFonts w:ascii="Cambria Math" w:hAnsi="Cambria Math"/>
                  </w:rPr>
                  <m:t>H</m:t>
                </m:r>
              </m:e>
              <m:sub>
                <m:r>
                  <w:rPr>
                    <w:rFonts w:ascii="Cambria Math" w:hAnsi="Cambria Math"/>
                  </w:rPr>
                  <m:t>2</m:t>
                </m:r>
              </m:sub>
            </m:sSub>
          </m:sub>
        </m:sSub>
        <m:r>
          <w:rPr>
            <w:rFonts w:ascii="Cambria Math" w:hAnsi="Cambria Math"/>
          </w:rPr>
          <m:t>=1</m:t>
        </m:r>
      </m:oMath>
      <w:r w:rsidR="00A336FF" w:rsidRPr="004B422D">
        <w:t xml:space="preserve"> as </w:t>
      </w:r>
      <w:r w:rsidR="003A363C" w:rsidRPr="004B422D">
        <w:t xml:space="preserve">shown </w:t>
      </w:r>
      <w:r w:rsidR="00A336FF" w:rsidRPr="004B422D">
        <w:t xml:space="preserve">in </w:t>
      </w:r>
      <w:r w:rsidR="00A336FF" w:rsidRPr="004B422D">
        <w:rPr>
          <w:b/>
          <w:bCs/>
        </w:rPr>
        <w:t>Fig. S1</w:t>
      </w:r>
      <w:r w:rsidR="00A336FF" w:rsidRPr="004B422D">
        <w:t xml:space="preserve"> </w:t>
      </w:r>
      <w:r w:rsidR="003A363C" w:rsidRPr="004B422D">
        <w:t>(blue curve versus black curve)</w:t>
      </w:r>
      <w:r w:rsidR="00A336FF" w:rsidRPr="004B422D">
        <w:t xml:space="preserve">. </w:t>
      </w:r>
      <w:r w:rsidR="003A363C" w:rsidRPr="004B422D">
        <w:t>For overpotential small enough so the H</w:t>
      </w:r>
      <w:r w:rsidR="003A363C" w:rsidRPr="004B422D">
        <w:rPr>
          <w:vertAlign w:val="subscript"/>
        </w:rPr>
        <w:t>2</w:t>
      </w:r>
      <w:r w:rsidR="003A363C" w:rsidRPr="004B422D">
        <w:t xml:space="preserve"> oxidation reaction becomes significant, the higher surface concentration of H</w:t>
      </w:r>
      <w:r w:rsidR="003A363C" w:rsidRPr="004B422D">
        <w:rPr>
          <w:vertAlign w:val="subscript"/>
        </w:rPr>
        <w:t>2</w:t>
      </w:r>
      <w:r w:rsidR="003A363C" w:rsidRPr="004B422D">
        <w:t xml:space="preserve"> enhances the reaction rate, which in turn must be balanced by a larger overpotential.</w:t>
      </w:r>
    </w:p>
    <w:p w14:paraId="4D570BB7" w14:textId="1565EF01" w:rsidR="00BB7632" w:rsidRDefault="00BB7632" w:rsidP="00BB7632">
      <w:pPr>
        <w:pStyle w:val="ImageCaption"/>
        <w:jc w:val="center"/>
      </w:pPr>
      <w:r>
        <w:rPr>
          <w:noProof/>
        </w:rPr>
        <w:lastRenderedPageBreak/>
        <w:drawing>
          <wp:inline distT="0" distB="0" distL="0" distR="0" wp14:anchorId="6D04A71B" wp14:editId="2BF9D96B">
            <wp:extent cx="3574588" cy="2904134"/>
            <wp:effectExtent l="0" t="0" r="698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694" cy="2909908"/>
                    </a:xfrm>
                    <a:prstGeom prst="rect">
                      <a:avLst/>
                    </a:prstGeom>
                    <a:noFill/>
                    <a:ln>
                      <a:noFill/>
                    </a:ln>
                  </pic:spPr>
                </pic:pic>
              </a:graphicData>
            </a:graphic>
          </wp:inline>
        </w:drawing>
      </w:r>
    </w:p>
    <w:p w14:paraId="76013FD1" w14:textId="4EC948F6" w:rsidR="00BB7632" w:rsidRPr="00FF6C86" w:rsidRDefault="00BB7632" w:rsidP="00FF6C86">
      <w:pPr>
        <w:pStyle w:val="ImageCaption"/>
        <w:jc w:val="both"/>
      </w:pPr>
      <w:r w:rsidRPr="004B422D">
        <w:t xml:space="preserve">Figure S1: Variations of the </w:t>
      </w:r>
      <w:r w:rsidR="003B4B7F" w:rsidRPr="004B422D">
        <w:t xml:space="preserve">HER </w:t>
      </w:r>
      <w:r w:rsidRPr="004B422D">
        <w:t>overpotential as a function of the Helmholtz potential depending on the pH at the surface of the electrode as well as the surface versus bulk ratio</w:t>
      </w:r>
      <w:r w:rsidR="003B725A" w:rsidRPr="004B422D">
        <w:t xml:space="preserve"> of H</w:t>
      </w:r>
      <w:r w:rsidR="003B725A" w:rsidRPr="004B422D">
        <w:rPr>
          <w:vertAlign w:val="subscript"/>
        </w:rPr>
        <w:t>2</w:t>
      </w:r>
      <w:r w:rsidR="00794837" w:rsidRPr="004B422D">
        <w:t>(</w:t>
      </w:r>
      <w:r w:rsidR="00794837" w:rsidRPr="004B422D">
        <w:rPr>
          <w:rFonts w:ascii="Cambria Math" w:hAnsi="Cambria Math"/>
          <w:i/>
        </w:rPr>
        <w:t xml:space="preserve"> </w:t>
      </w:r>
      <m:oMath>
        <m:sSub>
          <m:sSubPr>
            <m:ctrlPr>
              <w:rPr>
                <w:rFonts w:ascii="Cambria Math" w:hAnsi="Cambria Math"/>
                <w:i/>
              </w:rPr>
            </m:ctrlPr>
          </m:sSubPr>
          <m:e>
            <m:r>
              <m:rPr>
                <m:sty m:val="bi"/>
              </m:rPr>
              <w:rPr>
                <w:rFonts w:ascii="Cambria Math" w:hAnsi="Cambria Math"/>
              </w:rPr>
              <m:t>r</m:t>
            </m:r>
          </m:e>
          <m:sub>
            <m:sSub>
              <m:sSubPr>
                <m:ctrlPr>
                  <w:rPr>
                    <w:rFonts w:ascii="Cambria Math" w:hAnsi="Cambria Math"/>
                    <w:i/>
                  </w:rPr>
                </m:ctrlPr>
              </m:sSubPr>
              <m:e>
                <m:r>
                  <m:rPr>
                    <m:sty m:val="bi"/>
                  </m:rPr>
                  <w:rPr>
                    <w:rFonts w:ascii="Cambria Math" w:hAnsi="Cambria Math"/>
                  </w:rPr>
                  <m:t>H</m:t>
                </m:r>
              </m:e>
              <m:sub>
                <m:r>
                  <m:rPr>
                    <m:sty m:val="bi"/>
                  </m:rPr>
                  <w:rPr>
                    <w:rFonts w:ascii="Cambria Math" w:hAnsi="Cambria Math"/>
                  </w:rPr>
                  <m:t>2</m:t>
                </m:r>
              </m:sub>
            </m:sSub>
          </m:sub>
        </m:sSub>
        <m:r>
          <m:rPr>
            <m:sty m:val="bi"/>
          </m:rPr>
          <w:rPr>
            <w:rFonts w:ascii="Cambria Math" w:hAnsi="Cambria Math"/>
          </w:rPr>
          <m:t>).</m:t>
        </m:r>
      </m:oMath>
    </w:p>
    <w:p w14:paraId="2202F3BA" w14:textId="563296E1" w:rsidR="00481CE4" w:rsidRDefault="00D71739">
      <w:pPr>
        <w:pStyle w:val="Titre2"/>
      </w:pPr>
      <w:bookmarkStart w:id="3" w:name="sec:ccoe4gl3fyz"/>
      <w:r>
        <w:rPr>
          <w:bCs/>
        </w:rPr>
        <w:t xml:space="preserve">Supplementary Note </w:t>
      </w:r>
      <w:r w:rsidR="001473FE">
        <w:rPr>
          <w:bCs/>
        </w:rPr>
        <w:t>2</w:t>
      </w:r>
      <w:r>
        <w:rPr>
          <w:bCs/>
        </w:rPr>
        <w:t>: Continuity of the</w:t>
      </w:r>
      <w:r>
        <w:t xml:space="preserve"> </w:t>
      </w:r>
      <w:r>
        <w:rPr>
          <w:bCs/>
        </w:rPr>
        <w:t>electric displacement at the surface of a semiconductor electrode</w:t>
      </w:r>
    </w:p>
    <w:p w14:paraId="664CF205" w14:textId="1B00F696" w:rsidR="00481CE4" w:rsidRDefault="00D71739" w:rsidP="00E87024">
      <w:pPr>
        <w:pStyle w:val="FirstParagraph"/>
        <w:jc w:val="both"/>
      </w:pPr>
      <w:r>
        <w:t xml:space="preserve">When a semiconductor electrode is put in contact with a metal, having a difference of potential </w:t>
      </w:r>
      <m:oMath>
        <m:r>
          <m:rPr>
            <m:sty m:val="p"/>
          </m:rPr>
          <w:rPr>
            <w:rFonts w:ascii="Cambria Math" w:hAnsi="Cambria Math"/>
          </w:rPr>
          <m:t>Δ</m:t>
        </m:r>
        <m:sSub>
          <m:sSubPr>
            <m:ctrlPr>
              <w:rPr>
                <w:rFonts w:ascii="Cambria Math" w:hAnsi="Cambria Math"/>
              </w:rPr>
            </m:ctrlPr>
          </m:sSubPr>
          <m:e>
            <m:r>
              <w:rPr>
                <w:rFonts w:ascii="Cambria Math" w:hAnsi="Cambria Math"/>
              </w:rPr>
              <m:t>ϕ</m:t>
            </m:r>
            <m:ctrlPr>
              <w:rPr>
                <w:rFonts w:ascii="Cambria Math" w:hAnsi="Cambria Math"/>
                <w:i/>
              </w:rPr>
            </m:ctrlPr>
          </m:e>
          <m:sub>
            <m:r>
              <w:rPr>
                <w:rFonts w:ascii="Cambria Math" w:hAnsi="Cambria Math"/>
              </w:rPr>
              <m:t>SC</m:t>
            </m:r>
          </m:sub>
        </m:sSub>
      </m:oMath>
      <w:r>
        <w:t xml:space="preserve">, charge transfers form a SCR with a thickness </w:t>
      </w:r>
      <m:oMath>
        <m:sSub>
          <m:sSubPr>
            <m:ctrlPr>
              <w:rPr>
                <w:rFonts w:ascii="Cambria Math" w:hAnsi="Cambria Math"/>
              </w:rPr>
            </m:ctrlPr>
          </m:sSubPr>
          <m:e>
            <m:r>
              <w:rPr>
                <w:rFonts w:ascii="Cambria Math" w:hAnsi="Cambria Math"/>
              </w:rPr>
              <m:t>W</m:t>
            </m:r>
            <m:ctrlPr>
              <w:rPr>
                <w:rFonts w:ascii="Cambria Math" w:hAnsi="Cambria Math"/>
                <w:i/>
              </w:rPr>
            </m:ctrlPr>
          </m:e>
          <m:sub>
            <m:r>
              <w:rPr>
                <w:rFonts w:ascii="Cambria Math" w:hAnsi="Cambria Math"/>
              </w:rPr>
              <m:t>SC</m:t>
            </m:r>
          </m:sub>
        </m:sSub>
      </m:oMath>
      <w:r>
        <w:t xml:space="preserve"> that can be calculated simply as </w:t>
      </w:r>
    </w:p>
    <w:p w14:paraId="30EDA6A6" w14:textId="085370D1" w:rsidR="00481CE4" w:rsidRDefault="00F83C00">
      <w:pPr>
        <w:pStyle w:val="Corpsdetexte"/>
      </w:pPr>
      <m:oMathPara>
        <m:oMathParaPr>
          <m:jc m:val="center"/>
        </m:oMathParaPr>
        <m:oMath>
          <m:sSub>
            <m:sSubPr>
              <m:ctrlPr>
                <w:rPr>
                  <w:rFonts w:ascii="Cambria Math" w:hAnsi="Cambria Math"/>
                </w:rPr>
              </m:ctrlPr>
            </m:sSubPr>
            <m:e>
              <m:r>
                <w:rPr>
                  <w:rFonts w:ascii="Cambria Math" w:hAnsi="Cambria Math"/>
                </w:rPr>
                <m:t>W</m:t>
              </m:r>
              <m:ctrlPr>
                <w:rPr>
                  <w:rFonts w:ascii="Cambria Math" w:hAnsi="Cambria Math"/>
                  <w:i/>
                </w:rPr>
              </m:ctrlPr>
            </m:e>
            <m:sub>
              <m:r>
                <w:rPr>
                  <w:rFonts w:ascii="Cambria Math" w:hAnsi="Cambria Math"/>
                </w:rPr>
                <m:t>SC</m:t>
              </m:r>
            </m:sub>
          </m:sSub>
          <m:r>
            <m:rPr>
              <m:sty m:val="p"/>
            </m:rPr>
            <w:rPr>
              <w:rFonts w:ascii="Cambria Math" w:hAnsi="Cambria Math"/>
            </w:rPr>
            <m:t>=</m:t>
          </m:r>
          <m:rad>
            <m:radPr>
              <m:degHide m:val="1"/>
              <m:ctrlPr>
                <w:rPr>
                  <w:rFonts w:ascii="Cambria Math" w:hAnsi="Cambria Math"/>
                </w:rPr>
              </m:ctrlPr>
            </m:radPr>
            <m:deg>
              <m:ctrlPr>
                <w:rPr>
                  <w:rFonts w:ascii="Cambria Math" w:hAnsi="Cambria Math"/>
                  <w:i/>
                </w:rPr>
              </m:ctrlPr>
            </m:deg>
            <m:e>
              <m:f>
                <m:fPr>
                  <m:ctrlPr>
                    <w:rPr>
                      <w:rFonts w:ascii="Cambria Math" w:hAnsi="Cambria Math"/>
                    </w:rPr>
                  </m:ctrlPr>
                </m:fPr>
                <m:num>
                  <m:r>
                    <w:rPr>
                      <w:rFonts w:ascii="Cambria Math" w:hAnsi="Cambria Math"/>
                    </w:rPr>
                    <m:t>2</m:t>
                  </m:r>
                  <m:sSub>
                    <m:sSubPr>
                      <m:ctrlPr>
                        <w:rPr>
                          <w:rFonts w:ascii="Cambria Math" w:hAnsi="Cambria Math"/>
                        </w:rPr>
                      </m:ctrlPr>
                    </m:sSubPr>
                    <m:e>
                      <m:r>
                        <w:rPr>
                          <w:rFonts w:ascii="Cambria Math" w:hAnsi="Cambria Math"/>
                        </w:rPr>
                        <m:t>ϵ</m:t>
                      </m:r>
                      <m:ctrlPr>
                        <w:rPr>
                          <w:rFonts w:ascii="Cambria Math" w:hAnsi="Cambria Math"/>
                          <w:i/>
                        </w:rPr>
                      </m:ctrlPr>
                    </m:e>
                    <m:sub>
                      <m:r>
                        <w:rPr>
                          <w:rFonts w:ascii="Cambria Math" w:hAnsi="Cambria Math"/>
                        </w:rPr>
                        <m:t>0</m:t>
                      </m:r>
                    </m:sub>
                  </m:sSub>
                  <m:r>
                    <m:rPr>
                      <m:sty m:val="p"/>
                    </m:rPr>
                    <w:rPr>
                      <w:rFonts w:ascii="Cambria Math" w:hAnsi="Cambria Math"/>
                    </w:rPr>
                    <m:t xml:space="preserve"> </m:t>
                  </m:r>
                  <m:sSubSup>
                    <m:sSubSupPr>
                      <m:ctrlPr>
                        <w:rPr>
                          <w:rFonts w:ascii="Cambria Math" w:hAnsi="Cambria Math"/>
                        </w:rPr>
                      </m:ctrlPr>
                    </m:sSubSupPr>
                    <m:e>
                      <m:r>
                        <w:rPr>
                          <w:rFonts w:ascii="Cambria Math" w:hAnsi="Cambria Math"/>
                        </w:rPr>
                        <m:t>ϵ</m:t>
                      </m:r>
                    </m:e>
                    <m:sub>
                      <m:r>
                        <w:rPr>
                          <w:rFonts w:ascii="Cambria Math" w:hAnsi="Cambria Math"/>
                        </w:rPr>
                        <m:t>r</m:t>
                      </m:r>
                      <m:ctrlPr>
                        <w:rPr>
                          <w:rFonts w:ascii="Cambria Math" w:hAnsi="Cambria Math"/>
                          <w:i/>
                        </w:rPr>
                      </m:ctrlPr>
                    </m:sub>
                    <m:sup>
                      <m:r>
                        <w:rPr>
                          <w:rFonts w:ascii="Cambria Math" w:hAnsi="Cambria Math"/>
                        </w:rPr>
                        <m:t>SC</m:t>
                      </m:r>
                    </m:sup>
                  </m:sSubSup>
                </m:num>
                <m:den>
                  <m:r>
                    <w:rPr>
                      <w:rFonts w:ascii="Cambria Math" w:hAnsi="Cambria Math"/>
                    </w:rPr>
                    <m:t>q</m:t>
                  </m:r>
                  <m:sSub>
                    <m:sSubPr>
                      <m:ctrlPr>
                        <w:rPr>
                          <w:rFonts w:ascii="Cambria Math" w:hAnsi="Cambria Math"/>
                        </w:rPr>
                      </m:ctrlPr>
                    </m:sSubPr>
                    <m:e>
                      <m:r>
                        <w:rPr>
                          <w:rFonts w:ascii="Cambria Math" w:hAnsi="Cambria Math"/>
                        </w:rPr>
                        <m:t>N</m:t>
                      </m:r>
                      <m:ctrlPr>
                        <w:rPr>
                          <w:rFonts w:ascii="Cambria Math" w:hAnsi="Cambria Math"/>
                          <w:i/>
                        </w:rPr>
                      </m:ctrlPr>
                    </m:e>
                    <m:sub>
                      <m:r>
                        <w:rPr>
                          <w:rFonts w:ascii="Cambria Math" w:hAnsi="Cambria Math"/>
                        </w:rPr>
                        <m:t>D</m:t>
                      </m:r>
                    </m:sub>
                  </m:sSub>
                  <m:r>
                    <m:rPr>
                      <m:sty m:val="p"/>
                    </m:rPr>
                    <w:rPr>
                      <w:rFonts w:ascii="Cambria Math" w:hAnsi="Cambria Math"/>
                    </w:rPr>
                    <m:t xml:space="preserve"> </m:t>
                  </m:r>
                </m:den>
              </m:f>
              <m:r>
                <m:rPr>
                  <m:sty m:val="p"/>
                </m:rPr>
                <w:rPr>
                  <w:rFonts w:ascii="Cambria Math" w:hAnsi="Cambria Math"/>
                </w:rPr>
                <m:t xml:space="preserve"> Δ</m:t>
              </m:r>
              <m:sSub>
                <m:sSubPr>
                  <m:ctrlPr>
                    <w:rPr>
                      <w:rFonts w:ascii="Cambria Math" w:hAnsi="Cambria Math"/>
                    </w:rPr>
                  </m:ctrlPr>
                </m:sSubPr>
                <m:e>
                  <m:r>
                    <w:rPr>
                      <w:rFonts w:ascii="Cambria Math" w:hAnsi="Cambria Math"/>
                    </w:rPr>
                    <m:t>ϕ</m:t>
                  </m:r>
                  <m:ctrlPr>
                    <w:rPr>
                      <w:rFonts w:ascii="Cambria Math" w:hAnsi="Cambria Math"/>
                      <w:i/>
                    </w:rPr>
                  </m:ctrlPr>
                </m:e>
                <m:sub>
                  <m:r>
                    <w:rPr>
                      <w:rFonts w:ascii="Cambria Math" w:hAnsi="Cambria Math"/>
                    </w:rPr>
                    <m:t>SC</m:t>
                  </m:r>
                </m:sub>
              </m:sSub>
              <m:r>
                <m:rPr>
                  <m:sty m:val="p"/>
                </m:rPr>
                <w:rPr>
                  <w:rFonts w:ascii="Cambria Math" w:hAnsi="Cambria Math"/>
                </w:rPr>
                <m:t xml:space="preserve"> </m:t>
              </m:r>
            </m:e>
          </m:rad>
          <m:r>
            <w:rPr>
              <w:rFonts w:ascii="Cambria Math" w:hAnsi="Cambria Math"/>
            </w:rPr>
            <m:t>         </m:t>
          </m:r>
          <m:d>
            <m:dPr>
              <m:ctrlPr>
                <w:rPr>
                  <w:rFonts w:ascii="Cambria Math" w:hAnsi="Cambria Math"/>
                </w:rPr>
              </m:ctrlPr>
            </m:dPr>
            <m:e>
              <m:r>
                <w:rPr>
                  <w:rFonts w:ascii="Cambria Math" w:hAnsi="Cambria Math"/>
                </w:rPr>
                <m:t>S2.1</m:t>
              </m:r>
            </m:e>
          </m:d>
        </m:oMath>
      </m:oMathPara>
    </w:p>
    <w:p w14:paraId="281EF94F" w14:textId="286B1C9E" w:rsidR="00481CE4" w:rsidRDefault="00D71739" w:rsidP="00E87024">
      <w:pPr>
        <w:pStyle w:val="FirstParagraph"/>
        <w:jc w:val="both"/>
      </w:pPr>
      <w:r>
        <w:t xml:space="preserve">with </w:t>
      </w:r>
      <m:oMath>
        <m:sSubSup>
          <m:sSubSupPr>
            <m:ctrlPr>
              <w:rPr>
                <w:rFonts w:ascii="Cambria Math" w:hAnsi="Cambria Math"/>
              </w:rPr>
            </m:ctrlPr>
          </m:sSubSupPr>
          <m:e>
            <m:r>
              <w:rPr>
                <w:rFonts w:ascii="Cambria Math" w:hAnsi="Cambria Math"/>
              </w:rPr>
              <m:t>ϵ</m:t>
            </m:r>
            <m:ctrlPr>
              <w:rPr>
                <w:rFonts w:ascii="Cambria Math" w:hAnsi="Cambria Math"/>
                <w:i/>
              </w:rPr>
            </m:ctrlPr>
          </m:e>
          <m:sub>
            <m:r>
              <w:rPr>
                <w:rFonts w:ascii="Cambria Math" w:hAnsi="Cambria Math"/>
              </w:rPr>
              <m:t>r</m:t>
            </m:r>
            <m:ctrlPr>
              <w:rPr>
                <w:rFonts w:ascii="Cambria Math" w:hAnsi="Cambria Math"/>
                <w:i/>
              </w:rPr>
            </m:ctrlPr>
          </m:sub>
          <m:sup>
            <m:r>
              <w:rPr>
                <w:rFonts w:ascii="Cambria Math" w:hAnsi="Cambria Math"/>
              </w:rPr>
              <m:t>SC</m:t>
            </m:r>
          </m:sup>
        </m:sSubSup>
        <m:r>
          <w:rPr>
            <w:rFonts w:ascii="Cambria Math" w:hAnsi="Cambria Math"/>
          </w:rPr>
          <m:t xml:space="preserve">  </m:t>
        </m:r>
      </m:oMath>
      <w:r>
        <w:t xml:space="preserve"> and </w:t>
      </w:r>
      <m:oMath>
        <m:sSub>
          <m:sSubPr>
            <m:ctrlPr>
              <w:rPr>
                <w:rFonts w:ascii="Cambria Math" w:hAnsi="Cambria Math"/>
              </w:rPr>
            </m:ctrlPr>
          </m:sSubPr>
          <m:e>
            <m:r>
              <w:rPr>
                <w:rFonts w:ascii="Cambria Math" w:hAnsi="Cambria Math"/>
              </w:rPr>
              <m:t>ϵ</m:t>
            </m:r>
            <m:ctrlPr>
              <w:rPr>
                <w:rFonts w:ascii="Cambria Math" w:hAnsi="Cambria Math"/>
                <w:i/>
              </w:rPr>
            </m:ctrlPr>
          </m:e>
          <m:sub>
            <m:r>
              <w:rPr>
                <w:rFonts w:ascii="Cambria Math" w:hAnsi="Cambria Math"/>
              </w:rPr>
              <m:t>0</m:t>
            </m:r>
          </m:sub>
        </m:sSub>
      </m:oMath>
      <w:r>
        <w:t xml:space="preserve"> the relative permittivity of the semiconductor and of the vacuum, respectively, and </w:t>
      </w:r>
      <m:oMath>
        <m:sSub>
          <m:sSubPr>
            <m:ctrlPr>
              <w:rPr>
                <w:rFonts w:ascii="Cambria Math" w:hAnsi="Cambria Math"/>
              </w:rPr>
            </m:ctrlPr>
          </m:sSubPr>
          <m:e>
            <m:r>
              <w:rPr>
                <w:rFonts w:ascii="Cambria Math" w:hAnsi="Cambria Math"/>
              </w:rPr>
              <m:t>N</m:t>
            </m:r>
            <m:ctrlPr>
              <w:rPr>
                <w:rFonts w:ascii="Cambria Math" w:hAnsi="Cambria Math"/>
                <w:i/>
              </w:rPr>
            </m:ctrlPr>
          </m:e>
          <m:sub>
            <m:r>
              <w:rPr>
                <w:rFonts w:ascii="Cambria Math" w:hAnsi="Cambria Math"/>
              </w:rPr>
              <m:t>D</m:t>
            </m:r>
          </m:sub>
        </m:sSub>
      </m:oMath>
      <w:r>
        <w:t xml:space="preserve"> the density of charge carriers.</w:t>
      </w:r>
    </w:p>
    <w:p w14:paraId="474F1EB8" w14:textId="77777777" w:rsidR="00481CE4" w:rsidRDefault="00D71739" w:rsidP="00E87024">
      <w:pPr>
        <w:pStyle w:val="Corpsdetexte"/>
        <w:jc w:val="both"/>
      </w:pPr>
      <w:r>
        <w:t>Considering the continuity of the electric displacement at the interface, the Helmholtz potential can be derived as:</w:t>
      </w:r>
    </w:p>
    <w:p w14:paraId="415A5C93" w14:textId="5F42AA05" w:rsidR="00481CE4" w:rsidRDefault="006E6561">
      <w:pPr>
        <w:pStyle w:val="Corpsdetexte"/>
      </w:pPr>
      <m:oMathPara>
        <m:oMathParaPr>
          <m:jc m:val="center"/>
        </m:oMathParaPr>
        <m:oMath>
          <m:r>
            <w:rPr>
              <w:rFonts w:ascii="Cambria Math" w:hAnsi="Cambria Math"/>
            </w:rPr>
            <m:t>         </m:t>
          </m:r>
          <m:sSub>
            <m:sSubPr>
              <m:ctrlPr>
                <w:rPr>
                  <w:rFonts w:ascii="Cambria Math" w:hAnsi="Cambria Math"/>
                </w:rPr>
              </m:ctrlPr>
            </m:sSubPr>
            <m:e>
              <m:r>
                <w:rPr>
                  <w:rFonts w:ascii="Cambria Math" w:hAnsi="Cambria Math"/>
                </w:rPr>
                <m:t>V</m:t>
              </m:r>
              <m:ctrlPr>
                <w:rPr>
                  <w:rFonts w:ascii="Cambria Math" w:hAnsi="Cambria Math"/>
                  <w:i/>
                </w:rPr>
              </m:ctrlPr>
            </m:e>
            <m:sub>
              <m:r>
                <w:rPr>
                  <w:rFonts w:ascii="Cambria Math" w:hAnsi="Cambria Math"/>
                </w:rPr>
                <m:t>H</m:t>
              </m:r>
            </m:sub>
          </m:sSub>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ϵ</m:t>
                  </m:r>
                </m:e>
                <m:sub>
                  <m:r>
                    <w:rPr>
                      <w:rFonts w:ascii="Cambria Math" w:hAnsi="Cambria Math"/>
                    </w:rPr>
                    <m:t>r</m:t>
                  </m:r>
                  <m:ctrlPr>
                    <w:rPr>
                      <w:rFonts w:ascii="Cambria Math" w:hAnsi="Cambria Math"/>
                      <w:i/>
                    </w:rPr>
                  </m:ctrlPr>
                </m:sub>
                <m:sup>
                  <m:r>
                    <w:rPr>
                      <w:rFonts w:ascii="Cambria Math" w:hAnsi="Cambria Math"/>
                    </w:rPr>
                    <m:t>SC</m:t>
                  </m:r>
                </m:sup>
              </m:sSubSup>
              <m:ctrlPr>
                <w:rPr>
                  <w:rFonts w:ascii="Cambria Math" w:hAnsi="Cambria Math"/>
                  <w:i/>
                </w:rPr>
              </m:ctrlPr>
            </m:num>
            <m:den>
              <m:sSubSup>
                <m:sSubSupPr>
                  <m:ctrlPr>
                    <w:rPr>
                      <w:rFonts w:ascii="Cambria Math" w:hAnsi="Cambria Math"/>
                    </w:rPr>
                  </m:ctrlPr>
                </m:sSubSupPr>
                <m:e>
                  <m:r>
                    <w:rPr>
                      <w:rFonts w:ascii="Cambria Math" w:hAnsi="Cambria Math"/>
                    </w:rPr>
                    <m:t>ϵ</m:t>
                  </m:r>
                </m:e>
                <m:sub>
                  <m:r>
                    <w:rPr>
                      <w:rFonts w:ascii="Cambria Math" w:hAnsi="Cambria Math"/>
                    </w:rPr>
                    <m:t>r</m:t>
                  </m:r>
                  <m:ctrlPr>
                    <w:rPr>
                      <w:rFonts w:ascii="Cambria Math" w:hAnsi="Cambria Math"/>
                      <w:i/>
                    </w:rPr>
                  </m:ctrlPr>
                </m:sub>
                <m:sup>
                  <m:r>
                    <w:rPr>
                      <w:rFonts w:ascii="Cambria Math" w:hAnsi="Cambria Math"/>
                    </w:rPr>
                    <m:t>HL</m:t>
                  </m:r>
                </m:sup>
              </m:sSubSup>
              <m:r>
                <m:rPr>
                  <m:sty m:val="p"/>
                </m:rPr>
                <w:rPr>
                  <w:rFonts w:ascii="Cambria Math" w:hAnsi="Cambria Math"/>
                </w:rPr>
                <m:t xml:space="preserve"> </m:t>
              </m:r>
            </m:den>
          </m:f>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w:rPr>
                      <w:rFonts w:ascii="Cambria Math" w:hAnsi="Cambria Math"/>
                    </w:rPr>
                    <m:t>W</m:t>
                  </m:r>
                </m:e>
                <m:sub>
                  <m:r>
                    <w:rPr>
                      <w:rFonts w:ascii="Cambria Math" w:hAnsi="Cambria Math"/>
                    </w:rPr>
                    <m:t>HL</m:t>
                  </m:r>
                </m:sub>
              </m:sSub>
            </m:num>
            <m:den>
              <m:sSub>
                <m:sSubPr>
                  <m:ctrlPr>
                    <w:rPr>
                      <w:rFonts w:ascii="Cambria Math" w:hAnsi="Cambria Math"/>
                    </w:rPr>
                  </m:ctrlPr>
                </m:sSubPr>
                <m:e>
                  <m:r>
                    <w:rPr>
                      <w:rFonts w:ascii="Cambria Math" w:hAnsi="Cambria Math"/>
                    </w:rPr>
                    <m:t>W</m:t>
                  </m:r>
                </m:e>
                <m:sub>
                  <m:r>
                    <w:rPr>
                      <w:rFonts w:ascii="Cambria Math" w:hAnsi="Cambria Math"/>
                    </w:rPr>
                    <m:t>SC</m:t>
                  </m:r>
                </m:sub>
              </m:sSub>
            </m:den>
          </m:f>
          <m:r>
            <m:rPr>
              <m:sty m:val="p"/>
            </m:rPr>
            <w:rPr>
              <w:rFonts w:ascii="Cambria Math" w:hAnsi="Cambria Math"/>
            </w:rPr>
            <m:t xml:space="preserve">  Δ</m:t>
          </m:r>
          <m:sSub>
            <m:sSubPr>
              <m:ctrlPr>
                <w:rPr>
                  <w:rFonts w:ascii="Cambria Math" w:hAnsi="Cambria Math"/>
                </w:rPr>
              </m:ctrlPr>
            </m:sSubPr>
            <m:e>
              <m:r>
                <w:rPr>
                  <w:rFonts w:ascii="Cambria Math" w:hAnsi="Cambria Math"/>
                </w:rPr>
                <m:t>ϕ</m:t>
              </m:r>
              <m:ctrlPr>
                <w:rPr>
                  <w:rFonts w:ascii="Cambria Math" w:hAnsi="Cambria Math"/>
                  <w:i/>
                </w:rPr>
              </m:ctrlPr>
            </m:e>
            <m:sub>
              <m:r>
                <w:rPr>
                  <w:rFonts w:ascii="Cambria Math" w:hAnsi="Cambria Math"/>
                </w:rPr>
                <m:t>SC</m:t>
              </m:r>
            </m:sub>
          </m:sSub>
          <m:r>
            <m:rPr>
              <m:sty m:val="p"/>
            </m:rPr>
            <w:rPr>
              <w:rFonts w:ascii="Cambria Math" w:hAnsi="Cambria Math"/>
            </w:rPr>
            <m:t>,</m:t>
          </m:r>
          <m:r>
            <w:rPr>
              <w:rFonts w:ascii="Cambria Math" w:hAnsi="Cambria Math"/>
            </w:rPr>
            <m:t>         </m:t>
          </m:r>
          <m:r>
            <m:rPr>
              <m:sty m:val="p"/>
            </m:rPr>
            <w:rPr>
              <w:rFonts w:ascii="Cambria Math" w:hAnsi="Cambria Math"/>
            </w:rPr>
            <m:t>(</m:t>
          </m:r>
          <m:r>
            <w:rPr>
              <w:rFonts w:ascii="Cambria Math" w:hAnsi="Cambria Math"/>
            </w:rPr>
            <m:t>S2.2</m:t>
          </m:r>
          <m:r>
            <m:rPr>
              <m:sty m:val="p"/>
            </m:rPr>
            <w:rPr>
              <w:rFonts w:ascii="Cambria Math" w:hAnsi="Cambria Math"/>
            </w:rPr>
            <m:t>)</m:t>
          </m:r>
        </m:oMath>
      </m:oMathPara>
    </w:p>
    <w:p w14:paraId="429E442D" w14:textId="5AC29E46" w:rsidR="00481CE4" w:rsidRDefault="00D71739" w:rsidP="00E87024">
      <w:pPr>
        <w:pStyle w:val="FirstParagraph"/>
        <w:jc w:val="both"/>
      </w:pPr>
      <w:r>
        <w:t xml:space="preserve">with </w:t>
      </w:r>
      <m:oMath>
        <m:sSubSup>
          <m:sSubSupPr>
            <m:ctrlPr>
              <w:rPr>
                <w:rFonts w:ascii="Cambria Math" w:hAnsi="Cambria Math"/>
              </w:rPr>
            </m:ctrlPr>
          </m:sSubSupPr>
          <m:e>
            <m:r>
              <w:rPr>
                <w:rFonts w:ascii="Cambria Math" w:hAnsi="Cambria Math"/>
              </w:rPr>
              <m:t>ϵ</m:t>
            </m:r>
            <m:ctrlPr>
              <w:rPr>
                <w:rFonts w:ascii="Cambria Math" w:hAnsi="Cambria Math"/>
                <w:i/>
              </w:rPr>
            </m:ctrlPr>
          </m:e>
          <m:sub>
            <m:r>
              <w:rPr>
                <w:rFonts w:ascii="Cambria Math" w:hAnsi="Cambria Math"/>
              </w:rPr>
              <m:t>r</m:t>
            </m:r>
            <m:ctrlPr>
              <w:rPr>
                <w:rFonts w:ascii="Cambria Math" w:hAnsi="Cambria Math"/>
                <w:i/>
              </w:rPr>
            </m:ctrlPr>
          </m:sub>
          <m:sup>
            <m:r>
              <w:rPr>
                <w:rFonts w:ascii="Cambria Math" w:hAnsi="Cambria Math"/>
              </w:rPr>
              <m:t>SC</m:t>
            </m:r>
          </m:sup>
        </m:sSubSup>
      </m:oMath>
      <w:r>
        <w:t xml:space="preserve"> and </w:t>
      </w:r>
      <m:oMath>
        <m:sSubSup>
          <m:sSubSupPr>
            <m:ctrlPr>
              <w:rPr>
                <w:rFonts w:ascii="Cambria Math" w:hAnsi="Cambria Math"/>
              </w:rPr>
            </m:ctrlPr>
          </m:sSubSupPr>
          <m:e>
            <m:r>
              <w:rPr>
                <w:rFonts w:ascii="Cambria Math" w:hAnsi="Cambria Math"/>
              </w:rPr>
              <m:t>ϵ</m:t>
            </m:r>
            <m:ctrlPr>
              <w:rPr>
                <w:rFonts w:ascii="Cambria Math" w:hAnsi="Cambria Math"/>
                <w:i/>
              </w:rPr>
            </m:ctrlPr>
          </m:e>
          <m:sub>
            <m:r>
              <w:rPr>
                <w:rFonts w:ascii="Cambria Math" w:hAnsi="Cambria Math"/>
              </w:rPr>
              <m:t>r</m:t>
            </m:r>
            <m:ctrlPr>
              <w:rPr>
                <w:rFonts w:ascii="Cambria Math" w:hAnsi="Cambria Math"/>
                <w:i/>
              </w:rPr>
            </m:ctrlPr>
          </m:sub>
          <m:sup>
            <m:r>
              <w:rPr>
                <w:rFonts w:ascii="Cambria Math" w:hAnsi="Cambria Math"/>
              </w:rPr>
              <m:t>HL</m:t>
            </m:r>
          </m:sup>
        </m:sSubSup>
      </m:oMath>
      <w:r>
        <w:t xml:space="preserve"> the relative permittivity of the semiconductor and the Helmholtz layer, respectively, and </w:t>
      </w:r>
      <m:oMath>
        <m:sSub>
          <m:sSubPr>
            <m:ctrlPr>
              <w:rPr>
                <w:rFonts w:ascii="Cambria Math" w:hAnsi="Cambria Math"/>
              </w:rPr>
            </m:ctrlPr>
          </m:sSubPr>
          <m:e>
            <m:r>
              <w:rPr>
                <w:rFonts w:ascii="Cambria Math" w:hAnsi="Cambria Math"/>
              </w:rPr>
              <m:t>W</m:t>
            </m:r>
            <m:ctrlPr>
              <w:rPr>
                <w:rFonts w:ascii="Cambria Math" w:hAnsi="Cambria Math"/>
                <w:i/>
              </w:rPr>
            </m:ctrlPr>
          </m:e>
          <m:sub>
            <m:r>
              <w:rPr>
                <w:rFonts w:ascii="Cambria Math" w:hAnsi="Cambria Math"/>
              </w:rPr>
              <m:t>HL</m:t>
            </m:r>
          </m:sub>
        </m:sSub>
      </m:oMath>
      <w:r>
        <w:t xml:space="preserve"> the width of the Helmholtz layer. The relative permittivity of the electrolyte remains close to that of water (</w:t>
      </w:r>
      <m:oMath>
        <m:sSubSup>
          <m:sSubSupPr>
            <m:ctrlPr>
              <w:rPr>
                <w:rFonts w:ascii="Cambria Math" w:hAnsi="Cambria Math"/>
              </w:rPr>
            </m:ctrlPr>
          </m:sSubSupPr>
          <m:e>
            <m:r>
              <w:rPr>
                <w:rFonts w:ascii="Cambria Math" w:hAnsi="Cambria Math"/>
              </w:rPr>
              <m:t>ϵ</m:t>
            </m:r>
            <m:ctrlPr>
              <w:rPr>
                <w:rFonts w:ascii="Cambria Math" w:hAnsi="Cambria Math"/>
                <w:i/>
              </w:rPr>
            </m:ctrlPr>
          </m:e>
          <m:sub>
            <m:r>
              <w:rPr>
                <w:rFonts w:ascii="Cambria Math" w:hAnsi="Cambria Math"/>
              </w:rPr>
              <m:t>r</m:t>
            </m:r>
            <m:ctrlPr>
              <w:rPr>
                <w:rFonts w:ascii="Cambria Math" w:hAnsi="Cambria Math"/>
                <w:i/>
              </w:rPr>
            </m:ctrlPr>
          </m:sub>
          <m:sup>
            <m:r>
              <w:rPr>
                <w:rFonts w:ascii="Cambria Math" w:hAnsi="Cambria Math"/>
              </w:rPr>
              <m:t>HL</m:t>
            </m:r>
          </m:sup>
        </m:sSubSup>
        <m:r>
          <m:rPr>
            <m:sty m:val="p"/>
          </m:rPr>
          <w:rPr>
            <w:rFonts w:ascii="Cambria Math" w:hAnsi="Cambria Math"/>
          </w:rPr>
          <m:t>∼</m:t>
        </m:r>
        <m:r>
          <w:rPr>
            <w:rFonts w:ascii="Cambria Math" w:hAnsi="Cambria Math"/>
          </w:rPr>
          <m:t>80</m:t>
        </m:r>
      </m:oMath>
      <w:r>
        <w:t>) even if it decreases with increasing ion concentration</w:t>
      </w:r>
      <w:hyperlink w:anchor="ref-Shilov2015TheTheory">
        <w:r>
          <w:rPr>
            <w:rStyle w:val="Lienhypertexte"/>
            <w:vertAlign w:val="superscript"/>
          </w:rPr>
          <w:t>32</w:t>
        </w:r>
      </w:hyperlink>
      <w:r>
        <w:t xml:space="preserve">, so that </w:t>
      </w:r>
      <m:oMath>
        <m:sSubSup>
          <m:sSubSupPr>
            <m:ctrlPr>
              <w:rPr>
                <w:rFonts w:ascii="Cambria Math" w:hAnsi="Cambria Math"/>
              </w:rPr>
            </m:ctrlPr>
          </m:sSubSupPr>
          <m:e>
            <m:r>
              <w:rPr>
                <w:rFonts w:ascii="Cambria Math" w:hAnsi="Cambria Math"/>
              </w:rPr>
              <m:t>ϵ</m:t>
            </m:r>
            <m:ctrlPr>
              <w:rPr>
                <w:rFonts w:ascii="Cambria Math" w:hAnsi="Cambria Math"/>
                <w:i/>
              </w:rPr>
            </m:ctrlPr>
          </m:e>
          <m:sub>
            <m:r>
              <w:rPr>
                <w:rFonts w:ascii="Cambria Math" w:hAnsi="Cambria Math"/>
              </w:rPr>
              <m:t>r</m:t>
            </m:r>
            <m:ctrlPr>
              <w:rPr>
                <w:rFonts w:ascii="Cambria Math" w:hAnsi="Cambria Math"/>
                <w:i/>
              </w:rPr>
            </m:ctrlPr>
          </m:sub>
          <m:sup>
            <m:r>
              <w:rPr>
                <w:rFonts w:ascii="Cambria Math" w:hAnsi="Cambria Math"/>
              </w:rPr>
              <m:t>SC</m:t>
            </m:r>
          </m:sup>
        </m:sSubSup>
        <m:r>
          <m:rPr>
            <m:sty m:val="p"/>
          </m:rPr>
          <w:rPr>
            <w:rFonts w:ascii="Cambria Math" w:hAnsi="Cambria Math"/>
          </w:rPr>
          <m:t>&lt;</m:t>
        </m:r>
        <m:sSubSup>
          <m:sSubSupPr>
            <m:ctrlPr>
              <w:rPr>
                <w:rFonts w:ascii="Cambria Math" w:hAnsi="Cambria Math"/>
              </w:rPr>
            </m:ctrlPr>
          </m:sSubSupPr>
          <m:e>
            <m:r>
              <w:rPr>
                <w:rFonts w:ascii="Cambria Math" w:hAnsi="Cambria Math"/>
              </w:rPr>
              <m:t>ϵ</m:t>
            </m:r>
            <m:ctrlPr>
              <w:rPr>
                <w:rFonts w:ascii="Cambria Math" w:hAnsi="Cambria Math"/>
                <w:i/>
              </w:rPr>
            </m:ctrlPr>
          </m:e>
          <m:sub>
            <m:r>
              <w:rPr>
                <w:rFonts w:ascii="Cambria Math" w:hAnsi="Cambria Math"/>
              </w:rPr>
              <m:t>r</m:t>
            </m:r>
            <m:ctrlPr>
              <w:rPr>
                <w:rFonts w:ascii="Cambria Math" w:hAnsi="Cambria Math"/>
                <w:i/>
              </w:rPr>
            </m:ctrlPr>
          </m:sub>
          <m:sup>
            <m:r>
              <w:rPr>
                <w:rFonts w:ascii="Cambria Math" w:hAnsi="Cambria Math"/>
              </w:rPr>
              <m:t>HL</m:t>
            </m:r>
          </m:sup>
        </m:sSubSup>
      </m:oMath>
      <w:r>
        <w:t xml:space="preserve"> and </w:t>
      </w:r>
      <m:oMath>
        <m:sSub>
          <m:sSubPr>
            <m:ctrlPr>
              <w:rPr>
                <w:rFonts w:ascii="Cambria Math" w:hAnsi="Cambria Math"/>
              </w:rPr>
            </m:ctrlPr>
          </m:sSubPr>
          <m:e>
            <m:r>
              <w:rPr>
                <w:rFonts w:ascii="Cambria Math" w:hAnsi="Cambria Math"/>
              </w:rPr>
              <m:t>W</m:t>
            </m:r>
            <m:ctrlPr>
              <w:rPr>
                <w:rFonts w:ascii="Cambria Math" w:hAnsi="Cambria Math"/>
                <w:i/>
              </w:rPr>
            </m:ctrlPr>
          </m:e>
          <m:sub>
            <m:r>
              <w:rPr>
                <w:rFonts w:ascii="Cambria Math" w:hAnsi="Cambria Math"/>
              </w:rPr>
              <m:t>SC</m:t>
            </m:r>
          </m:sub>
        </m:sSub>
        <m:r>
          <m:rPr>
            <m:sty m:val="p"/>
          </m:rPr>
          <w:rPr>
            <w:rFonts w:ascii="Cambria Math" w:hAnsi="Cambria Math"/>
          </w:rPr>
          <m:t>&gt;&gt;</m:t>
        </m:r>
        <m:sSub>
          <m:sSubPr>
            <m:ctrlPr>
              <w:rPr>
                <w:rFonts w:ascii="Cambria Math" w:hAnsi="Cambria Math"/>
              </w:rPr>
            </m:ctrlPr>
          </m:sSubPr>
          <m:e>
            <m:r>
              <w:rPr>
                <w:rFonts w:ascii="Cambria Math" w:hAnsi="Cambria Math"/>
              </w:rPr>
              <m:t>W</m:t>
            </m:r>
            <m:ctrlPr>
              <w:rPr>
                <w:rFonts w:ascii="Cambria Math" w:hAnsi="Cambria Math"/>
                <w:i/>
              </w:rPr>
            </m:ctrlPr>
          </m:e>
          <m:sub>
            <m:r>
              <w:rPr>
                <w:rFonts w:ascii="Cambria Math" w:hAnsi="Cambria Math"/>
              </w:rPr>
              <m:t>HL</m:t>
            </m:r>
          </m:sub>
        </m:sSub>
      </m:oMath>
      <w:r>
        <w:t xml:space="preserve"> for a classical semiconductor in concentrated electrolyte (&gt;0.1 M). Interestingly, </w:t>
      </w:r>
      <m:oMath>
        <m:sSub>
          <m:sSubPr>
            <m:ctrlPr>
              <w:rPr>
                <w:rFonts w:ascii="Cambria Math" w:hAnsi="Cambria Math"/>
              </w:rPr>
            </m:ctrlPr>
          </m:sSubPr>
          <m:e>
            <m:r>
              <w:rPr>
                <w:rFonts w:ascii="Cambria Math" w:hAnsi="Cambria Math"/>
              </w:rPr>
              <m:t>V</m:t>
            </m:r>
            <m:ctrlPr>
              <w:rPr>
                <w:rFonts w:ascii="Cambria Math" w:hAnsi="Cambria Math"/>
                <w:i/>
              </w:rPr>
            </m:ctrlPr>
          </m:e>
          <m:sub>
            <m:r>
              <w:rPr>
                <w:rFonts w:ascii="Cambria Math" w:hAnsi="Cambria Math"/>
              </w:rPr>
              <m:t>H</m:t>
            </m:r>
          </m:sub>
        </m:sSub>
      </m:oMath>
      <w:r>
        <w:t xml:space="preserve"> is therefore negligible for semiconductors. </w:t>
      </w:r>
    </w:p>
    <w:p w14:paraId="4CAA44D8" w14:textId="64571FBE" w:rsidR="00481CE4" w:rsidRDefault="00D71739" w:rsidP="00E87024">
      <w:pPr>
        <w:pStyle w:val="Corpsdetexte"/>
        <w:jc w:val="both"/>
      </w:pPr>
      <w:r>
        <w:lastRenderedPageBreak/>
        <w:t>In equation (S</w:t>
      </w:r>
      <w:r w:rsidR="001473FE">
        <w:t>2</w:t>
      </w:r>
      <w:r>
        <w:t>.2), surface charges are not explicitly considered, which may seem surprising as surface states and defect often trap charges and ions can absorb. This omission is justified by the fact that the potential drop is attributed to the charge distribution within the Helmholtz layer, which inherently includes any surface charges. Alternatively, since the Helmholtz layer is extremely thin at high ionic strength, its total charge can be effectively treated as a surface charge. The results presented here remain unchanged whether one interprets the effect as the energy required for a reactant to adsorb or desorb from a charged surface, or as the energy needed to overcome the potential barrier across the Helmholtz layer.</w:t>
      </w:r>
    </w:p>
    <w:p w14:paraId="3B1FEBC9" w14:textId="57035BAD" w:rsidR="00481CE4" w:rsidRDefault="00D71739">
      <w:pPr>
        <w:pStyle w:val="Titre2"/>
      </w:pPr>
      <w:bookmarkStart w:id="4" w:name="sec:u7k7i868rf7e"/>
      <w:bookmarkEnd w:id="3"/>
      <w:r>
        <w:rPr>
          <w:bCs/>
        </w:rPr>
        <w:t xml:space="preserve">Supplementary Note </w:t>
      </w:r>
      <w:r w:rsidR="001473FE">
        <w:rPr>
          <w:bCs/>
        </w:rPr>
        <w:t>3</w:t>
      </w:r>
      <w:r>
        <w:rPr>
          <w:bCs/>
        </w:rPr>
        <w:t>: Derivation of the evolution of the potential in a semiconductor thin film</w:t>
      </w:r>
    </w:p>
    <w:p w14:paraId="52A54547" w14:textId="368E3D01" w:rsidR="00481CE4" w:rsidRDefault="00D71739">
      <w:pPr>
        <w:pStyle w:val="FirstParagraph"/>
      </w:pPr>
      <w:r>
        <w:t xml:space="preserve">The evolution of the potential </w:t>
      </w:r>
      <m:oMath>
        <m:r>
          <w:rPr>
            <w:rFonts w:ascii="Cambria Math" w:hAnsi="Cambria Math"/>
          </w:rPr>
          <m:t>ϕ</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in the semiconductor is given by the Poisson equation with a uniform charge density </w:t>
      </w:r>
      <m:oMath>
        <m:r>
          <w:rPr>
            <w:rFonts w:ascii="Cambria Math" w:hAnsi="Cambria Math"/>
          </w:rPr>
          <m:t>q</m:t>
        </m:r>
        <m:sSub>
          <m:sSubPr>
            <m:ctrlPr>
              <w:rPr>
                <w:rFonts w:ascii="Cambria Math" w:hAnsi="Cambria Math"/>
              </w:rPr>
            </m:ctrlPr>
          </m:sSubPr>
          <m:e>
            <m:r>
              <w:rPr>
                <w:rFonts w:ascii="Cambria Math" w:hAnsi="Cambria Math"/>
              </w:rPr>
              <m:t>N</m:t>
            </m:r>
            <m:ctrlPr>
              <w:rPr>
                <w:rFonts w:ascii="Cambria Math" w:hAnsi="Cambria Math"/>
                <w:i/>
              </w:rPr>
            </m:ctrlPr>
          </m:e>
          <m:sub>
            <m:r>
              <w:rPr>
                <w:rFonts w:ascii="Cambria Math" w:hAnsi="Cambria Math"/>
              </w:rPr>
              <m:t>D</m:t>
            </m:r>
          </m:sub>
        </m:sSub>
      </m:oMath>
      <w:r>
        <w:t>​ as described as:</w:t>
      </w:r>
    </w:p>
    <w:p w14:paraId="295F84AB" w14:textId="5C9244CE" w:rsidR="00481CE4" w:rsidRDefault="006E6561">
      <w:pPr>
        <w:pStyle w:val="Corpsdetexte"/>
      </w:pPr>
      <m:oMathPara>
        <m:oMathParaPr>
          <m:jc m:val="center"/>
        </m:oMathParaPr>
        <m:oMath>
          <m:r>
            <w:rPr>
              <w:rFonts w:ascii="Cambria Math" w:hAnsi="Cambria Math"/>
            </w:rPr>
            <m:t>         </m:t>
          </m:r>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2</m:t>
                  </m:r>
                </m:sup>
              </m:sSup>
              <m:r>
                <w:rPr>
                  <w:rFonts w:ascii="Cambria Math" w:hAnsi="Cambria Math"/>
                </w:rPr>
                <m:t xml:space="preserve"> ϕ</m:t>
              </m:r>
              <m:ctrlPr>
                <w:rPr>
                  <w:rFonts w:ascii="Cambria Math" w:hAnsi="Cambria Math"/>
                  <w:i/>
                </w:rPr>
              </m:ctrlPr>
            </m:num>
            <m:den>
              <m:r>
                <w:rPr>
                  <w:rFonts w:ascii="Cambria Math" w:hAnsi="Cambria Math"/>
                </w:rPr>
                <m:t>d</m:t>
              </m:r>
              <m:sSup>
                <m:sSupPr>
                  <m:ctrlPr>
                    <w:rPr>
                      <w:rFonts w:ascii="Cambria Math" w:hAnsi="Cambria Math"/>
                    </w:rPr>
                  </m:ctrlPr>
                </m:sSupPr>
                <m:e>
                  <m:r>
                    <w:rPr>
                      <w:rFonts w:ascii="Cambria Math" w:hAnsi="Cambria Math"/>
                    </w:rPr>
                    <m:t>x</m:t>
                  </m:r>
                  <m:ctrlPr>
                    <w:rPr>
                      <w:rFonts w:ascii="Cambria Math" w:hAnsi="Cambria Math"/>
                      <w:i/>
                    </w:rPr>
                  </m:ctrlPr>
                </m:e>
                <m:sup>
                  <m:r>
                    <w:rPr>
                      <w:rFonts w:ascii="Cambria Math" w:hAnsi="Cambria Math"/>
                    </w:rPr>
                    <m:t>2</m:t>
                  </m:r>
                </m:sup>
              </m:sSup>
              <m:r>
                <m:rPr>
                  <m:sty m:val="p"/>
                </m:rPr>
                <w:rPr>
                  <w:rFonts w:ascii="Cambria Math" w:hAnsi="Cambria Math"/>
                </w:rPr>
                <m:t xml:space="preserve"> </m:t>
              </m:r>
            </m:den>
          </m:f>
          <m:r>
            <m:rPr>
              <m:sty m:val="p"/>
            </m:rPr>
            <w:rPr>
              <w:rFonts w:ascii="Cambria Math" w:hAnsi="Cambria Math"/>
            </w:rPr>
            <m:t>=-</m:t>
          </m:r>
          <m:f>
            <m:fPr>
              <m:ctrlPr>
                <w:rPr>
                  <w:rFonts w:ascii="Cambria Math" w:hAnsi="Cambria Math"/>
                </w:rPr>
              </m:ctrlPr>
            </m:fPr>
            <m:num>
              <m:r>
                <w:rPr>
                  <w:rFonts w:ascii="Cambria Math" w:hAnsi="Cambria Math"/>
                </w:rPr>
                <m:t>q</m:t>
              </m:r>
              <m:sSub>
                <m:sSubPr>
                  <m:ctrlPr>
                    <w:rPr>
                      <w:rFonts w:ascii="Cambria Math" w:hAnsi="Cambria Math"/>
                    </w:rPr>
                  </m:ctrlPr>
                </m:sSubPr>
                <m:e>
                  <m:r>
                    <w:rPr>
                      <w:rFonts w:ascii="Cambria Math" w:hAnsi="Cambria Math"/>
                    </w:rPr>
                    <m:t>N</m:t>
                  </m:r>
                  <m:ctrlPr>
                    <w:rPr>
                      <w:rFonts w:ascii="Cambria Math" w:hAnsi="Cambria Math"/>
                      <w:i/>
                    </w:rPr>
                  </m:ctrlPr>
                </m:e>
                <m:sub>
                  <m:r>
                    <w:rPr>
                      <w:rFonts w:ascii="Cambria Math" w:hAnsi="Cambria Math"/>
                    </w:rPr>
                    <m:t>D</m:t>
                  </m:r>
                </m:sub>
              </m:sSub>
            </m:num>
            <m:den>
              <m:sSub>
                <m:sSubPr>
                  <m:ctrlPr>
                    <w:rPr>
                      <w:rFonts w:ascii="Cambria Math" w:hAnsi="Cambria Math"/>
                    </w:rPr>
                  </m:ctrlPr>
                </m:sSubPr>
                <m:e>
                  <m:r>
                    <w:rPr>
                      <w:rFonts w:ascii="Cambria Math" w:hAnsi="Cambria Math"/>
                    </w:rPr>
                    <m:t>ϵ</m:t>
                  </m:r>
                </m:e>
                <m:sub>
                  <m:r>
                    <w:rPr>
                      <w:rFonts w:ascii="Cambria Math" w:hAnsi="Cambria Math"/>
                    </w:rPr>
                    <m:t>0</m:t>
                  </m:r>
                </m:sub>
              </m:sSub>
              <m:r>
                <m:rPr>
                  <m:sty m:val="p"/>
                </m:rPr>
                <w:rPr>
                  <w:rFonts w:ascii="Cambria Math" w:hAnsi="Cambria Math"/>
                </w:rPr>
                <m:t xml:space="preserve"> </m:t>
              </m:r>
              <m:sSubSup>
                <m:sSubSupPr>
                  <m:ctrlPr>
                    <w:rPr>
                      <w:rFonts w:ascii="Cambria Math" w:hAnsi="Cambria Math"/>
                    </w:rPr>
                  </m:ctrlPr>
                </m:sSubSupPr>
                <m:e>
                  <m:r>
                    <w:rPr>
                      <w:rFonts w:ascii="Cambria Math" w:hAnsi="Cambria Math"/>
                    </w:rPr>
                    <m:t>ϵ</m:t>
                  </m:r>
                </m:e>
                <m:sub>
                  <m:r>
                    <w:rPr>
                      <w:rFonts w:ascii="Cambria Math" w:hAnsi="Cambria Math"/>
                    </w:rPr>
                    <m:t>r</m:t>
                  </m:r>
                  <m:ctrlPr>
                    <w:rPr>
                      <w:rFonts w:ascii="Cambria Math" w:hAnsi="Cambria Math"/>
                      <w:i/>
                    </w:rPr>
                  </m:ctrlPr>
                </m:sub>
                <m:sup>
                  <m:r>
                    <w:rPr>
                      <w:rFonts w:ascii="Cambria Math" w:hAnsi="Cambria Math"/>
                    </w:rPr>
                    <m:t>SC</m:t>
                  </m:r>
                </m:sup>
              </m:sSubSup>
              <m:r>
                <m:rPr>
                  <m:sty m:val="p"/>
                </m:rPr>
                <w:rPr>
                  <w:rFonts w:ascii="Cambria Math" w:hAnsi="Cambria Math"/>
                </w:rPr>
                <m:t xml:space="preserve"> </m:t>
              </m:r>
            </m:den>
          </m:f>
          <m:r>
            <w:rPr>
              <w:rFonts w:ascii="Cambria Math" w:hAnsi="Cambria Math"/>
            </w:rPr>
            <m:t>         </m:t>
          </m:r>
          <m:r>
            <m:rPr>
              <m:sty m:val="p"/>
            </m:rPr>
            <w:rPr>
              <w:rFonts w:ascii="Cambria Math" w:hAnsi="Cambria Math"/>
            </w:rPr>
            <m:t>(</m:t>
          </m:r>
          <m:r>
            <w:rPr>
              <w:rFonts w:ascii="Cambria Math" w:hAnsi="Cambria Math"/>
            </w:rPr>
            <m:t>S3.1</m:t>
          </m:r>
          <m:r>
            <m:rPr>
              <m:sty m:val="p"/>
            </m:rPr>
            <w:rPr>
              <w:rFonts w:ascii="Cambria Math" w:hAnsi="Cambria Math"/>
            </w:rPr>
            <m:t>)</m:t>
          </m:r>
        </m:oMath>
      </m:oMathPara>
    </w:p>
    <w:p w14:paraId="50715FB9" w14:textId="265DC336" w:rsidR="00481CE4" w:rsidRDefault="00D71739">
      <w:pPr>
        <w:pStyle w:val="FirstParagraph"/>
      </w:pPr>
      <w:r>
        <w:t xml:space="preserve">Solving this equation considering </w:t>
      </w:r>
      <m:oMath>
        <m:r>
          <w:rPr>
            <w:rFonts w:ascii="Cambria Math" w:hAnsi="Cambria Math"/>
          </w:rPr>
          <m:t>ϕ</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WF</m:t>
        </m:r>
        <m:r>
          <m:rPr>
            <m:sty m:val="p"/>
          </m:rPr>
          <w:rPr>
            <w:rFonts w:ascii="Cambria Math" w:hAnsi="Cambria Math"/>
          </w:rPr>
          <m:t>/</m:t>
        </m:r>
        <m:r>
          <w:rPr>
            <w:rFonts w:ascii="Cambria Math" w:hAnsi="Cambria Math"/>
          </w:rPr>
          <m:t>q</m:t>
        </m:r>
      </m:oMath>
      <w:r>
        <w:t xml:space="preserve">​ and </w:t>
      </w:r>
      <m:oMath>
        <m:r>
          <w:rPr>
            <w:rFonts w:ascii="Cambria Math" w:hAnsi="Cambria Math"/>
          </w:rPr>
          <m:t>ϕ</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H</m:t>
            </m:r>
          </m:sub>
        </m:sSub>
      </m:oMath>
      <w:r>
        <w:t>, leads to:</w:t>
      </w:r>
    </w:p>
    <w:p w14:paraId="2872209D" w14:textId="73728FBF" w:rsidR="00481CE4" w:rsidRDefault="006E6561">
      <w:pPr>
        <w:pStyle w:val="Corpsdetexte"/>
      </w:pPr>
      <m:oMathPara>
        <m:oMathParaPr>
          <m:jc m:val="center"/>
        </m:oMathParaPr>
        <m:oMath>
          <m:r>
            <w:rPr>
              <w:rFonts w:ascii="Cambria Math" w:hAnsi="Cambria Math"/>
            </w:rPr>
            <m:t>         ϕ</m:t>
          </m:r>
          <m:d>
            <m:dPr>
              <m:ctrlPr>
                <w:rPr>
                  <w:rFonts w:ascii="Cambria Math" w:hAnsi="Cambria Math"/>
                </w:rPr>
              </m:ctrlPr>
            </m:dPr>
            <m:e>
              <m:r>
                <w:rPr>
                  <w:rFonts w:ascii="Cambria Math" w:hAnsi="Cambria Math"/>
                </w:rPr>
                <m:t>x</m:t>
              </m:r>
            </m:e>
          </m:d>
          <m:r>
            <m:rPr>
              <m:sty m:val="p"/>
            </m:rPr>
            <w:rPr>
              <w:rFonts w:ascii="Cambria Math" w:hAnsi="Cambria Math"/>
            </w:rPr>
            <m:t>=-</m:t>
          </m:r>
          <m:f>
            <m:fPr>
              <m:ctrlPr>
                <w:rPr>
                  <w:rFonts w:ascii="Cambria Math" w:hAnsi="Cambria Math"/>
                </w:rPr>
              </m:ctrlPr>
            </m:fPr>
            <m:num>
              <m:r>
                <w:rPr>
                  <w:rFonts w:ascii="Cambria Math" w:hAnsi="Cambria Math"/>
                </w:rPr>
                <m:t>q</m:t>
              </m:r>
              <m:sSub>
                <m:sSubPr>
                  <m:ctrlPr>
                    <w:rPr>
                      <w:rFonts w:ascii="Cambria Math" w:hAnsi="Cambria Math"/>
                    </w:rPr>
                  </m:ctrlPr>
                </m:sSubPr>
                <m:e>
                  <m:r>
                    <w:rPr>
                      <w:rFonts w:ascii="Cambria Math" w:hAnsi="Cambria Math"/>
                    </w:rPr>
                    <m:t>N</m:t>
                  </m:r>
                  <m:ctrlPr>
                    <w:rPr>
                      <w:rFonts w:ascii="Cambria Math" w:hAnsi="Cambria Math"/>
                      <w:i/>
                    </w:rPr>
                  </m:ctrlPr>
                </m:e>
                <m:sub>
                  <m:r>
                    <w:rPr>
                      <w:rFonts w:ascii="Cambria Math" w:hAnsi="Cambria Math"/>
                    </w:rPr>
                    <m:t>D</m:t>
                  </m:r>
                </m:sub>
              </m:sSub>
            </m:num>
            <m:den>
              <m:r>
                <w:rPr>
                  <w:rFonts w:ascii="Cambria Math" w:hAnsi="Cambria Math"/>
                </w:rPr>
                <m:t>2</m:t>
              </m:r>
              <m:sSub>
                <m:sSubPr>
                  <m:ctrlPr>
                    <w:rPr>
                      <w:rFonts w:ascii="Cambria Math" w:hAnsi="Cambria Math"/>
                    </w:rPr>
                  </m:ctrlPr>
                </m:sSubPr>
                <m:e>
                  <m:r>
                    <w:rPr>
                      <w:rFonts w:ascii="Cambria Math" w:hAnsi="Cambria Math"/>
                    </w:rPr>
                    <m:t>ϵ</m:t>
                  </m:r>
                  <m:ctrlPr>
                    <w:rPr>
                      <w:rFonts w:ascii="Cambria Math" w:hAnsi="Cambria Math"/>
                      <w:i/>
                    </w:rPr>
                  </m:ctrlPr>
                </m:e>
                <m:sub>
                  <m:r>
                    <w:rPr>
                      <w:rFonts w:ascii="Cambria Math" w:hAnsi="Cambria Math"/>
                    </w:rPr>
                    <m:t>0</m:t>
                  </m:r>
                </m:sub>
              </m:sSub>
              <m:r>
                <m:rPr>
                  <m:sty m:val="p"/>
                </m:rPr>
                <w:rPr>
                  <w:rFonts w:ascii="Cambria Math" w:hAnsi="Cambria Math"/>
                </w:rPr>
                <m:t xml:space="preserve"> </m:t>
              </m:r>
              <m:sSubSup>
                <m:sSubSupPr>
                  <m:ctrlPr>
                    <w:rPr>
                      <w:rFonts w:ascii="Cambria Math" w:hAnsi="Cambria Math"/>
                    </w:rPr>
                  </m:ctrlPr>
                </m:sSubSupPr>
                <m:e>
                  <m:r>
                    <w:rPr>
                      <w:rFonts w:ascii="Cambria Math" w:hAnsi="Cambria Math"/>
                    </w:rPr>
                    <m:t>ϵ</m:t>
                  </m:r>
                </m:e>
                <m:sub>
                  <m:r>
                    <w:rPr>
                      <w:rFonts w:ascii="Cambria Math" w:hAnsi="Cambria Math"/>
                    </w:rPr>
                    <m:t>r</m:t>
                  </m:r>
                  <m:ctrlPr>
                    <w:rPr>
                      <w:rFonts w:ascii="Cambria Math" w:hAnsi="Cambria Math"/>
                      <w:i/>
                    </w:rPr>
                  </m:ctrlPr>
                </m:sub>
                <m:sup>
                  <m:r>
                    <w:rPr>
                      <w:rFonts w:ascii="Cambria Math" w:hAnsi="Cambria Math"/>
                    </w:rPr>
                    <m:t>SC</m:t>
                  </m:r>
                </m:sup>
              </m:sSubSup>
              <m:r>
                <m:rPr>
                  <m:sty m:val="p"/>
                </m:rPr>
                <w:rPr>
                  <w:rFonts w:ascii="Cambria Math" w:hAnsi="Cambria Math"/>
                </w:rPr>
                <m:t xml:space="preserve"> </m:t>
              </m:r>
            </m:den>
          </m:f>
          <m:sSup>
            <m:sSupPr>
              <m:ctrlPr>
                <w:rPr>
                  <w:rFonts w:ascii="Cambria Math" w:hAnsi="Cambria Math"/>
                </w:rPr>
              </m:ctrlPr>
            </m:sSupPr>
            <m:e>
              <m:r>
                <w:rPr>
                  <w:rFonts w:ascii="Cambria Math" w:hAnsi="Cambria Math"/>
                </w:rPr>
                <m:t>x</m:t>
              </m:r>
              <m:ctrlPr>
                <w:rPr>
                  <w:rFonts w:ascii="Cambria Math" w:hAnsi="Cambria Math"/>
                  <w:i/>
                </w:rPr>
              </m:ctrlPr>
            </m:e>
            <m:sup>
              <m:r>
                <w:rPr>
                  <w:rFonts w:ascii="Cambria Math" w:hAnsi="Cambria Math"/>
                </w:rPr>
                <m:t>2</m:t>
              </m:r>
            </m:sup>
          </m:sSup>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1</m:t>
              </m:r>
            </m:sub>
          </m:sSub>
          <m:r>
            <w:rPr>
              <w:rFonts w:ascii="Cambria Math" w:hAnsi="Cambria Math"/>
            </w:rPr>
            <m:t xml:space="preserve"> x</m:t>
          </m:r>
          <m:r>
            <m:rPr>
              <m:sty m:val="p"/>
            </m:rPr>
            <w:rPr>
              <w:rFonts w:ascii="Cambria Math" w:hAnsi="Cambria Math"/>
            </w:rPr>
            <m:t>+</m:t>
          </m:r>
          <m:r>
            <w:rPr>
              <w:rFonts w:ascii="Cambria Math" w:hAnsi="Cambria Math"/>
            </w:rPr>
            <m:t>WF</m:t>
          </m:r>
          <m:r>
            <m:rPr>
              <m:sty m:val="p"/>
            </m:rPr>
            <w:rPr>
              <w:rFonts w:ascii="Cambria Math" w:hAnsi="Cambria Math"/>
            </w:rPr>
            <m:t>/</m:t>
          </m:r>
          <m:r>
            <w:rPr>
              <w:rFonts w:ascii="Cambria Math" w:hAnsi="Cambria Math"/>
            </w:rPr>
            <m:t>q         </m:t>
          </m:r>
          <m:r>
            <m:rPr>
              <m:sty m:val="p"/>
            </m:rPr>
            <w:rPr>
              <w:rFonts w:ascii="Cambria Math" w:hAnsi="Cambria Math"/>
            </w:rPr>
            <m:t>(</m:t>
          </m:r>
          <m:r>
            <w:rPr>
              <w:rFonts w:ascii="Cambria Math" w:hAnsi="Cambria Math"/>
            </w:rPr>
            <m:t>S3.2</m:t>
          </m:r>
          <m:r>
            <m:rPr>
              <m:sty m:val="p"/>
            </m:rPr>
            <w:rPr>
              <w:rFonts w:ascii="Cambria Math" w:hAnsi="Cambria Math"/>
            </w:rPr>
            <m:t>)</m:t>
          </m:r>
        </m:oMath>
      </m:oMathPara>
    </w:p>
    <w:p w14:paraId="3D59E9CC" w14:textId="77777777" w:rsidR="00481CE4" w:rsidRDefault="00D71739">
      <w:pPr>
        <w:pStyle w:val="FirstParagraph"/>
      </w:pPr>
      <w:r>
        <w:t>with:</w:t>
      </w:r>
    </w:p>
    <w:p w14:paraId="3D6B0AE1" w14:textId="5C0322F7" w:rsidR="00481CE4" w:rsidRDefault="006E6561">
      <w:pPr>
        <w:pStyle w:val="Corpsdetexte"/>
      </w:pPr>
      <m:oMathPara>
        <m:oMathParaPr>
          <m:jc m:val="center"/>
        </m:oMathParaPr>
        <m:oMath>
          <m:r>
            <w:rPr>
              <w:rFonts w:ascii="Cambria Math" w:hAnsi="Cambria Math"/>
            </w:rPr>
            <m:t>         </m:t>
          </m:r>
          <m:sSub>
            <m:sSubPr>
              <m:ctrlPr>
                <w:rPr>
                  <w:rFonts w:ascii="Cambria Math" w:hAnsi="Cambria Math"/>
                </w:rPr>
              </m:ctrlPr>
            </m:sSubPr>
            <m:e>
              <m:r>
                <w:rPr>
                  <w:rFonts w:ascii="Cambria Math" w:hAnsi="Cambria Math"/>
                </w:rPr>
                <m:t>C</m:t>
              </m:r>
              <m:ctrlPr>
                <w:rPr>
                  <w:rFonts w:ascii="Cambria Math" w:hAnsi="Cambria Math"/>
                  <w:i/>
                </w:rPr>
              </m:ctrlPr>
            </m:e>
            <m:sub>
              <m:r>
                <w:rPr>
                  <w:rFonts w:ascii="Cambria Math" w:hAnsi="Cambria Math"/>
                </w:rPr>
                <m:t>1</m:t>
              </m:r>
            </m:sub>
          </m:sSub>
          <m:r>
            <m:rPr>
              <m:sty m:val="p"/>
            </m:rPr>
            <w:rPr>
              <w:rFonts w:ascii="Cambria Math" w:hAnsi="Cambria Math"/>
            </w:rPr>
            <m:t>=</m:t>
          </m:r>
          <m:f>
            <m:fPr>
              <m:ctrlPr>
                <w:rPr>
                  <w:rFonts w:ascii="Cambria Math" w:hAnsi="Cambria Math"/>
                </w:rPr>
              </m:ctrlPr>
            </m:fPr>
            <m:num>
              <m:r>
                <w:rPr>
                  <w:rFonts w:ascii="Cambria Math" w:hAnsi="Cambria Math"/>
                </w:rPr>
                <m:t>q</m:t>
              </m:r>
              <m:sSub>
                <m:sSubPr>
                  <m:ctrlPr>
                    <w:rPr>
                      <w:rFonts w:ascii="Cambria Math" w:hAnsi="Cambria Math"/>
                    </w:rPr>
                  </m:ctrlPr>
                </m:sSubPr>
                <m:e>
                  <m:r>
                    <w:rPr>
                      <w:rFonts w:ascii="Cambria Math" w:hAnsi="Cambria Math"/>
                    </w:rPr>
                    <m:t>N</m:t>
                  </m:r>
                  <m:ctrlPr>
                    <w:rPr>
                      <w:rFonts w:ascii="Cambria Math" w:hAnsi="Cambria Math"/>
                      <w:i/>
                    </w:rPr>
                  </m:ctrlPr>
                </m:e>
                <m:sub>
                  <m:r>
                    <w:rPr>
                      <w:rFonts w:ascii="Cambria Math" w:hAnsi="Cambria Math"/>
                    </w:rPr>
                    <m:t>D</m:t>
                  </m:r>
                </m:sub>
              </m:sSub>
              <m:ctrlPr>
                <w:rPr>
                  <w:rFonts w:ascii="Cambria Math" w:hAnsi="Cambria Math"/>
                  <w:i/>
                </w:rPr>
              </m:ctrlPr>
            </m:num>
            <m:den>
              <m:r>
                <w:rPr>
                  <w:rFonts w:ascii="Cambria Math" w:hAnsi="Cambria Math"/>
                </w:rPr>
                <m:t>2</m:t>
              </m:r>
              <m:sSub>
                <m:sSubPr>
                  <m:ctrlPr>
                    <w:rPr>
                      <w:rFonts w:ascii="Cambria Math" w:hAnsi="Cambria Math"/>
                    </w:rPr>
                  </m:ctrlPr>
                </m:sSubPr>
                <m:e>
                  <m:r>
                    <w:rPr>
                      <w:rFonts w:ascii="Cambria Math" w:hAnsi="Cambria Math"/>
                    </w:rPr>
                    <m:t>ϵ</m:t>
                  </m:r>
                  <m:ctrlPr>
                    <w:rPr>
                      <w:rFonts w:ascii="Cambria Math" w:hAnsi="Cambria Math"/>
                      <w:i/>
                    </w:rPr>
                  </m:ctrlPr>
                </m:e>
                <m:sub>
                  <m:r>
                    <w:rPr>
                      <w:rFonts w:ascii="Cambria Math" w:hAnsi="Cambria Math"/>
                    </w:rPr>
                    <m:t>0</m:t>
                  </m:r>
                </m:sub>
              </m:sSub>
              <m:r>
                <m:rPr>
                  <m:sty m:val="p"/>
                </m:rPr>
                <w:rPr>
                  <w:rFonts w:ascii="Cambria Math" w:hAnsi="Cambria Math"/>
                </w:rPr>
                <m:t xml:space="preserve"> </m:t>
              </m:r>
              <m:sSubSup>
                <m:sSubSupPr>
                  <m:ctrlPr>
                    <w:rPr>
                      <w:rFonts w:ascii="Cambria Math" w:hAnsi="Cambria Math"/>
                    </w:rPr>
                  </m:ctrlPr>
                </m:sSubSupPr>
                <m:e>
                  <m:r>
                    <w:rPr>
                      <w:rFonts w:ascii="Cambria Math" w:hAnsi="Cambria Math"/>
                    </w:rPr>
                    <m:t>ϵ</m:t>
                  </m:r>
                </m:e>
                <m:sub>
                  <m:r>
                    <w:rPr>
                      <w:rFonts w:ascii="Cambria Math" w:hAnsi="Cambria Math"/>
                    </w:rPr>
                    <m:t>r</m:t>
                  </m:r>
                  <m:ctrlPr>
                    <w:rPr>
                      <w:rFonts w:ascii="Cambria Math" w:hAnsi="Cambria Math"/>
                      <w:i/>
                    </w:rPr>
                  </m:ctrlPr>
                </m:sub>
                <m:sup>
                  <m:r>
                    <w:rPr>
                      <w:rFonts w:ascii="Cambria Math" w:hAnsi="Cambria Math"/>
                    </w:rPr>
                    <m:t>SC</m:t>
                  </m:r>
                </m:sup>
              </m:sSubSup>
              <m:r>
                <m:rPr>
                  <m:sty m:val="p"/>
                </m:rPr>
                <w:rPr>
                  <w:rFonts w:ascii="Cambria Math" w:hAnsi="Cambria Math"/>
                </w:rPr>
                <m:t xml:space="preserve"> </m:t>
              </m:r>
            </m:den>
          </m:f>
          <m:r>
            <w:rPr>
              <w:rFonts w:ascii="Cambria Math" w:hAnsi="Cambria Math"/>
            </w:rPr>
            <m:t xml:space="preserve"> d</m:t>
          </m:r>
          <m:r>
            <m:rPr>
              <m:sty m:val="p"/>
            </m:rPr>
            <w:rPr>
              <w:rFonts w:ascii="Cambria Math" w:hAnsi="Cambria Math"/>
            </w:rPr>
            <m:t>-</m:t>
          </m:r>
          <m:f>
            <m:fPr>
              <m:ctrlPr>
                <w:rPr>
                  <w:rFonts w:ascii="Cambria Math" w:hAnsi="Cambria Math"/>
                </w:rPr>
              </m:ctrlPr>
            </m:fPr>
            <m:num>
              <m:r>
                <w:rPr>
                  <w:rFonts w:ascii="Cambria Math" w:hAnsi="Cambria Math"/>
                </w:rPr>
                <m:t>μ</m:t>
              </m:r>
              <m:r>
                <m:rPr>
                  <m:sty m:val="p"/>
                </m:rPr>
                <w:rPr>
                  <w:rFonts w:ascii="Cambria Math" w:hAnsi="Cambria Math"/>
                </w:rPr>
                <m:t>+</m:t>
              </m:r>
              <m:r>
                <w:rPr>
                  <w:rFonts w:ascii="Cambria Math" w:hAnsi="Cambria Math"/>
                </w:rPr>
                <m:t>WF</m:t>
              </m:r>
              <m:r>
                <m:rPr>
                  <m:sty m:val="p"/>
                </m:rPr>
                <w:rPr>
                  <w:rFonts w:ascii="Cambria Math" w:hAnsi="Cambria Math"/>
                </w:rPr>
                <m:t>+</m:t>
              </m:r>
              <m:r>
                <w:rPr>
                  <w:rFonts w:ascii="Cambria Math" w:hAnsi="Cambria Math"/>
                </w:rPr>
                <m:t>q</m:t>
              </m:r>
              <m:sSub>
                <m:sSubPr>
                  <m:ctrlPr>
                    <w:rPr>
                      <w:rFonts w:ascii="Cambria Math" w:hAnsi="Cambria Math"/>
                    </w:rPr>
                  </m:ctrlPr>
                </m:sSubPr>
                <m:e>
                  <m:r>
                    <w:rPr>
                      <w:rFonts w:ascii="Cambria Math" w:hAnsi="Cambria Math"/>
                    </w:rPr>
                    <m:t>V</m:t>
                  </m:r>
                  <m:ctrlPr>
                    <w:rPr>
                      <w:rFonts w:ascii="Cambria Math" w:hAnsi="Cambria Math"/>
                      <w:i/>
                    </w:rPr>
                  </m:ctrlPr>
                </m:e>
                <m:sub>
                  <m:r>
                    <w:rPr>
                      <w:rFonts w:ascii="Cambria Math" w:hAnsi="Cambria Math"/>
                    </w:rPr>
                    <m:t>H</m:t>
                  </m:r>
                </m:sub>
              </m:sSub>
            </m:num>
            <m:den>
              <m:r>
                <w:rPr>
                  <w:rFonts w:ascii="Cambria Math" w:hAnsi="Cambria Math"/>
                </w:rPr>
                <m:t>qd</m:t>
              </m:r>
            </m:den>
          </m:f>
          <m:r>
            <w:rPr>
              <w:rFonts w:ascii="Cambria Math" w:hAnsi="Cambria Math"/>
            </w:rPr>
            <m:t>         </m:t>
          </m:r>
          <m:r>
            <m:rPr>
              <m:sty m:val="p"/>
            </m:rPr>
            <w:rPr>
              <w:rFonts w:ascii="Cambria Math" w:hAnsi="Cambria Math"/>
            </w:rPr>
            <m:t>(</m:t>
          </m:r>
          <m:r>
            <w:rPr>
              <w:rFonts w:ascii="Cambria Math" w:hAnsi="Cambria Math"/>
            </w:rPr>
            <m:t>S3.3</m:t>
          </m:r>
          <m:r>
            <m:rPr>
              <m:sty m:val="p"/>
            </m:rPr>
            <w:rPr>
              <w:rFonts w:ascii="Cambria Math" w:hAnsi="Cambria Math"/>
            </w:rPr>
            <m:t>)</m:t>
          </m:r>
        </m:oMath>
      </m:oMathPara>
    </w:p>
    <w:p w14:paraId="4E8D366D" w14:textId="77777777" w:rsidR="00481CE4" w:rsidRDefault="00D71739">
      <w:pPr>
        <w:pStyle w:val="FirstParagraph"/>
      </w:pPr>
      <w:r>
        <w:t>At the interface between the electrolyte and the semiconductor, the continuity of the electric displacement gives:</w:t>
      </w:r>
    </w:p>
    <w:p w14:paraId="1A6DC187" w14:textId="53CA5982" w:rsidR="00481CE4" w:rsidRDefault="006E6561">
      <w:pPr>
        <w:pStyle w:val="Corpsdetexte"/>
      </w:pPr>
      <m:oMathPara>
        <m:oMathParaPr>
          <m:jc m:val="center"/>
        </m:oMathParaPr>
        <m:oMath>
          <m:r>
            <w:rPr>
              <w:rFonts w:ascii="Cambria Math" w:hAnsi="Cambria Math"/>
            </w:rPr>
            <m:t>         </m:t>
          </m:r>
          <m:sSub>
            <m:sSubPr>
              <m:ctrlPr>
                <w:rPr>
                  <w:rFonts w:ascii="Cambria Math" w:hAnsi="Cambria Math"/>
                </w:rPr>
              </m:ctrlPr>
            </m:sSubPr>
            <m:e>
              <m:r>
                <w:rPr>
                  <w:rFonts w:ascii="Cambria Math" w:hAnsi="Cambria Math"/>
                </w:rPr>
                <m:t>ϵ</m:t>
              </m:r>
              <m:ctrlPr>
                <w:rPr>
                  <w:rFonts w:ascii="Cambria Math" w:hAnsi="Cambria Math"/>
                  <w:i/>
                </w:rPr>
              </m:ctrlPr>
            </m:e>
            <m:sub>
              <m:r>
                <w:rPr>
                  <w:rFonts w:ascii="Cambria Math" w:hAnsi="Cambria Math"/>
                </w:rPr>
                <m:t>0</m:t>
              </m:r>
            </m:sub>
          </m:sSub>
          <m:r>
            <m:rPr>
              <m:sty m:val="p"/>
            </m:rPr>
            <w:rPr>
              <w:rFonts w:ascii="Cambria Math" w:hAnsi="Cambria Math"/>
            </w:rPr>
            <m:t xml:space="preserve"> </m:t>
          </m:r>
          <m:sSubSup>
            <m:sSubSupPr>
              <m:ctrlPr>
                <w:rPr>
                  <w:rFonts w:ascii="Cambria Math" w:hAnsi="Cambria Math"/>
                </w:rPr>
              </m:ctrlPr>
            </m:sSubSupPr>
            <m:e>
              <m:r>
                <w:rPr>
                  <w:rFonts w:ascii="Cambria Math" w:hAnsi="Cambria Math"/>
                </w:rPr>
                <m:t>ϵ</m:t>
              </m:r>
            </m:e>
            <m:sub>
              <m:r>
                <w:rPr>
                  <w:rFonts w:ascii="Cambria Math" w:hAnsi="Cambria Math"/>
                </w:rPr>
                <m:t>r</m:t>
              </m:r>
              <m:ctrlPr>
                <w:rPr>
                  <w:rFonts w:ascii="Cambria Math" w:hAnsi="Cambria Math"/>
                  <w:i/>
                </w:rPr>
              </m:ctrlPr>
            </m:sub>
            <m:sup>
              <m:r>
                <w:rPr>
                  <w:rFonts w:ascii="Cambria Math" w:hAnsi="Cambria Math"/>
                </w:rPr>
                <m:t>SC</m:t>
              </m:r>
            </m:sup>
          </m:sSubSup>
          <m:r>
            <m:rPr>
              <m:sty m:val="p"/>
            </m:rPr>
            <w:rPr>
              <w:rFonts w:ascii="Cambria Math" w:hAnsi="Cambria Math"/>
            </w:rPr>
            <m:t xml:space="preserve"> </m:t>
          </m:r>
          <m:d>
            <m:dPr>
              <m:ctrlPr>
                <w:rPr>
                  <w:rFonts w:ascii="Cambria Math" w:hAnsi="Cambria Math"/>
                </w:rPr>
              </m:ctrlPr>
            </m:dPr>
            <m:e>
              <m:r>
                <m:rPr>
                  <m:sty m:val="p"/>
                </m:rPr>
                <w:rPr>
                  <w:rFonts w:ascii="Cambria Math" w:hAnsi="Cambria Math"/>
                </w:rPr>
                <m:t>-</m:t>
              </m:r>
              <m:f>
                <m:fPr>
                  <m:ctrlPr>
                    <w:rPr>
                      <w:rFonts w:ascii="Cambria Math" w:hAnsi="Cambria Math"/>
                    </w:rPr>
                  </m:ctrlPr>
                </m:fPr>
                <m:num>
                  <m:r>
                    <w:rPr>
                      <w:rFonts w:ascii="Cambria Math" w:hAnsi="Cambria Math"/>
                    </w:rPr>
                    <m:t>q</m:t>
                  </m:r>
                  <m:sSub>
                    <m:sSubPr>
                      <m:ctrlPr>
                        <w:rPr>
                          <w:rFonts w:ascii="Cambria Math" w:hAnsi="Cambria Math"/>
                        </w:rPr>
                      </m:ctrlPr>
                    </m:sSubPr>
                    <m:e>
                      <m:r>
                        <w:rPr>
                          <w:rFonts w:ascii="Cambria Math" w:hAnsi="Cambria Math"/>
                        </w:rPr>
                        <m:t>N</m:t>
                      </m:r>
                      <m:ctrlPr>
                        <w:rPr>
                          <w:rFonts w:ascii="Cambria Math" w:hAnsi="Cambria Math"/>
                          <w:i/>
                        </w:rPr>
                      </m:ctrlPr>
                    </m:e>
                    <m:sub>
                      <m:r>
                        <w:rPr>
                          <w:rFonts w:ascii="Cambria Math" w:hAnsi="Cambria Math"/>
                        </w:rPr>
                        <m:t>D</m:t>
                      </m:r>
                    </m:sub>
                  </m:sSub>
                </m:num>
                <m:den>
                  <m:sSub>
                    <m:sSubPr>
                      <m:ctrlPr>
                        <w:rPr>
                          <w:rFonts w:ascii="Cambria Math" w:hAnsi="Cambria Math"/>
                        </w:rPr>
                      </m:ctrlPr>
                    </m:sSubPr>
                    <m:e>
                      <m:r>
                        <w:rPr>
                          <w:rFonts w:ascii="Cambria Math" w:hAnsi="Cambria Math"/>
                        </w:rPr>
                        <m:t>ϵ</m:t>
                      </m:r>
                    </m:e>
                    <m:sub>
                      <m:r>
                        <w:rPr>
                          <w:rFonts w:ascii="Cambria Math" w:hAnsi="Cambria Math"/>
                        </w:rPr>
                        <m:t>0</m:t>
                      </m:r>
                    </m:sub>
                  </m:sSub>
                  <m:r>
                    <m:rPr>
                      <m:sty m:val="p"/>
                    </m:rPr>
                    <w:rPr>
                      <w:rFonts w:ascii="Cambria Math" w:hAnsi="Cambria Math"/>
                    </w:rPr>
                    <m:t xml:space="preserve"> </m:t>
                  </m:r>
                  <m:sSubSup>
                    <m:sSubSupPr>
                      <m:ctrlPr>
                        <w:rPr>
                          <w:rFonts w:ascii="Cambria Math" w:hAnsi="Cambria Math"/>
                        </w:rPr>
                      </m:ctrlPr>
                    </m:sSubSupPr>
                    <m:e>
                      <m:r>
                        <w:rPr>
                          <w:rFonts w:ascii="Cambria Math" w:hAnsi="Cambria Math"/>
                        </w:rPr>
                        <m:t>ϵ</m:t>
                      </m:r>
                    </m:e>
                    <m:sub>
                      <m:r>
                        <w:rPr>
                          <w:rFonts w:ascii="Cambria Math" w:hAnsi="Cambria Math"/>
                        </w:rPr>
                        <m:t>r</m:t>
                      </m:r>
                      <m:ctrlPr>
                        <w:rPr>
                          <w:rFonts w:ascii="Cambria Math" w:hAnsi="Cambria Math"/>
                          <w:i/>
                        </w:rPr>
                      </m:ctrlPr>
                    </m:sub>
                    <m:sup>
                      <m:r>
                        <w:rPr>
                          <w:rFonts w:ascii="Cambria Math" w:hAnsi="Cambria Math"/>
                        </w:rPr>
                        <m:t>SC</m:t>
                      </m:r>
                    </m:sup>
                  </m:sSubSup>
                  <m:r>
                    <m:rPr>
                      <m:sty m:val="p"/>
                    </m:rPr>
                    <w:rPr>
                      <w:rFonts w:ascii="Cambria Math" w:hAnsi="Cambria Math"/>
                    </w:rPr>
                    <m:t xml:space="preserve"> </m:t>
                  </m:r>
                </m:den>
              </m:f>
              <m:r>
                <w:rPr>
                  <w:rFonts w:ascii="Cambria Math" w:hAnsi="Cambria Math"/>
                </w:rPr>
                <m:t xml:space="preserve"> d</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1</m:t>
                  </m:r>
                </m:sub>
              </m:sSub>
              <m:r>
                <m:rPr>
                  <m:sty m:val="p"/>
                </m:rPr>
                <w:rPr>
                  <w:rFonts w:ascii="Cambria Math" w:hAnsi="Cambria Math"/>
                </w:rPr>
                <m:t xml:space="preserve"> </m:t>
              </m:r>
            </m:e>
          </m:d>
          <m:r>
            <m:rPr>
              <m:sty m:val="p"/>
            </m:rPr>
            <w:rPr>
              <w:rFonts w:ascii="Cambria Math" w:hAnsi="Cambria Math"/>
            </w:rPr>
            <m:t>=</m:t>
          </m:r>
          <m:sSub>
            <m:sSubPr>
              <m:ctrlPr>
                <w:rPr>
                  <w:rFonts w:ascii="Cambria Math" w:hAnsi="Cambria Math"/>
                </w:rPr>
              </m:ctrlPr>
            </m:sSubPr>
            <m:e>
              <m:r>
                <w:rPr>
                  <w:rFonts w:ascii="Cambria Math" w:hAnsi="Cambria Math"/>
                </w:rPr>
                <m:t>ϵ</m:t>
              </m:r>
              <m:ctrlPr>
                <w:rPr>
                  <w:rFonts w:ascii="Cambria Math" w:hAnsi="Cambria Math"/>
                  <w:i/>
                </w:rPr>
              </m:ctrlPr>
            </m:e>
            <m:sub>
              <m:r>
                <w:rPr>
                  <w:rFonts w:ascii="Cambria Math" w:hAnsi="Cambria Math"/>
                </w:rPr>
                <m:t>0</m:t>
              </m:r>
            </m:sub>
          </m:sSub>
          <m:r>
            <m:rPr>
              <m:sty m:val="p"/>
            </m:rPr>
            <w:rPr>
              <w:rFonts w:ascii="Cambria Math" w:hAnsi="Cambria Math"/>
            </w:rPr>
            <m:t xml:space="preserve"> </m:t>
          </m:r>
          <m:sSubSup>
            <m:sSubSupPr>
              <m:ctrlPr>
                <w:rPr>
                  <w:rFonts w:ascii="Cambria Math" w:hAnsi="Cambria Math"/>
                </w:rPr>
              </m:ctrlPr>
            </m:sSubSupPr>
            <m:e>
              <m:r>
                <w:rPr>
                  <w:rFonts w:ascii="Cambria Math" w:hAnsi="Cambria Math"/>
                </w:rPr>
                <m:t>ϵ</m:t>
              </m:r>
            </m:e>
            <m:sub>
              <m:r>
                <w:rPr>
                  <w:rFonts w:ascii="Cambria Math" w:hAnsi="Cambria Math"/>
                </w:rPr>
                <m:t>r</m:t>
              </m:r>
              <m:ctrlPr>
                <w:rPr>
                  <w:rFonts w:ascii="Cambria Math" w:hAnsi="Cambria Math"/>
                  <w:i/>
                </w:rPr>
              </m:ctrlPr>
            </m:sub>
            <m:sup>
              <m:r>
                <w:rPr>
                  <w:rFonts w:ascii="Cambria Math" w:hAnsi="Cambria Math"/>
                </w:rPr>
                <m:t>HL</m:t>
              </m:r>
            </m:sup>
          </m:sSubSup>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H</m:t>
                  </m:r>
                </m:sub>
              </m:sSub>
            </m:num>
            <m:den>
              <m:sSub>
                <m:sSubPr>
                  <m:ctrlPr>
                    <w:rPr>
                      <w:rFonts w:ascii="Cambria Math" w:hAnsi="Cambria Math"/>
                    </w:rPr>
                  </m:ctrlPr>
                </m:sSubPr>
                <m:e>
                  <m:r>
                    <w:rPr>
                      <w:rFonts w:ascii="Cambria Math" w:hAnsi="Cambria Math"/>
                    </w:rPr>
                    <m:t>W</m:t>
                  </m:r>
                </m:e>
                <m:sub>
                  <m:r>
                    <w:rPr>
                      <w:rFonts w:ascii="Cambria Math" w:hAnsi="Cambria Math"/>
                    </w:rPr>
                    <m:t>HL</m:t>
                  </m:r>
                </m:sub>
              </m:sSub>
            </m:den>
          </m:f>
          <m:r>
            <m:rPr>
              <m:sty m:val="p"/>
            </m:rPr>
            <w:rPr>
              <w:rFonts w:ascii="Cambria Math" w:hAnsi="Cambria Math"/>
            </w:rPr>
            <m:t xml:space="preserve">. </m:t>
          </m:r>
          <m:r>
            <w:rPr>
              <w:rFonts w:ascii="Cambria Math" w:hAnsi="Cambria Math"/>
            </w:rPr>
            <m:t>         </m:t>
          </m:r>
          <m:r>
            <m:rPr>
              <m:sty m:val="p"/>
            </m:rPr>
            <w:rPr>
              <w:rFonts w:ascii="Cambria Math" w:hAnsi="Cambria Math"/>
            </w:rPr>
            <m:t>(</m:t>
          </m:r>
          <m:r>
            <w:rPr>
              <w:rFonts w:ascii="Cambria Math" w:hAnsi="Cambria Math"/>
            </w:rPr>
            <m:t>S3.4</m:t>
          </m:r>
          <m:r>
            <m:rPr>
              <m:sty m:val="p"/>
            </m:rPr>
            <w:rPr>
              <w:rFonts w:ascii="Cambria Math" w:hAnsi="Cambria Math"/>
            </w:rPr>
            <m:t>)</m:t>
          </m:r>
        </m:oMath>
      </m:oMathPara>
    </w:p>
    <w:p w14:paraId="7FA607EB" w14:textId="77777777" w:rsidR="00481CE4" w:rsidRDefault="00D71739">
      <w:pPr>
        <w:pStyle w:val="FirstParagraph"/>
      </w:pPr>
      <w:r>
        <w:t>Combining both equation leads to an expression of the Helmholtz potential:</w:t>
      </w:r>
    </w:p>
    <w:p w14:paraId="1F8AC533" w14:textId="7B3CC5C0" w:rsidR="00481CE4" w:rsidRDefault="006E6561">
      <w:pPr>
        <w:pStyle w:val="Corpsdetexte"/>
      </w:pPr>
      <m:oMathPara>
        <m:oMathParaPr>
          <m:jc m:val="center"/>
        </m:oMathParaPr>
        <m:oMath>
          <m:r>
            <w:rPr>
              <w:rFonts w:ascii="Cambria Math" w:hAnsi="Cambria Math"/>
            </w:rPr>
            <m:t>         q</m:t>
          </m:r>
          <m:sSub>
            <m:sSubPr>
              <m:ctrlPr>
                <w:rPr>
                  <w:rFonts w:ascii="Cambria Math" w:hAnsi="Cambria Math"/>
                </w:rPr>
              </m:ctrlPr>
            </m:sSubPr>
            <m:e>
              <m:r>
                <w:rPr>
                  <w:rFonts w:ascii="Cambria Math" w:hAnsi="Cambria Math"/>
                </w:rPr>
                <m:t>V</m:t>
              </m:r>
              <m:ctrlPr>
                <w:rPr>
                  <w:rFonts w:ascii="Cambria Math" w:hAnsi="Cambria Math"/>
                  <w:i/>
                </w:rPr>
              </m:ctrlPr>
            </m:e>
            <m:sub>
              <m:r>
                <w:rPr>
                  <w:rFonts w:ascii="Cambria Math" w:hAnsi="Cambria Math"/>
                </w:rPr>
                <m:t>H</m:t>
              </m:r>
            </m:sub>
          </m:sSub>
          <m:r>
            <m:rPr>
              <m:sty m:val="p"/>
            </m:rPr>
            <w:rPr>
              <w:rFonts w:ascii="Cambria Math" w:hAnsi="Cambria Math"/>
            </w:rPr>
            <m:t>=</m:t>
          </m:r>
          <m:f>
            <m:fPr>
              <m:ctrlPr>
                <w:rPr>
                  <w:rFonts w:ascii="Cambria Math" w:hAnsi="Cambria Math"/>
                </w:rPr>
              </m:ctrlPr>
            </m:fPr>
            <m:num>
              <m:r>
                <w:rPr>
                  <w:rFonts w:ascii="Cambria Math" w:hAnsi="Cambria Math"/>
                </w:rPr>
                <m:t>1</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d</m:t>
                          </m:r>
                        </m:num>
                        <m:den>
                          <m:sSub>
                            <m:sSubPr>
                              <m:ctrlPr>
                                <w:rPr>
                                  <w:rFonts w:ascii="Cambria Math" w:hAnsi="Cambria Math"/>
                                </w:rPr>
                              </m:ctrlPr>
                            </m:sSubPr>
                            <m:e>
                              <m:r>
                                <w:rPr>
                                  <w:rFonts w:ascii="Cambria Math" w:hAnsi="Cambria Math"/>
                                </w:rPr>
                                <m:t>W</m:t>
                              </m:r>
                            </m:e>
                            <m:sub>
                              <m:r>
                                <w:rPr>
                                  <w:rFonts w:ascii="Cambria Math" w:hAnsi="Cambria Math"/>
                                </w:rPr>
                                <m:t>SC</m:t>
                              </m:r>
                            </m:sub>
                          </m:sSub>
                        </m:den>
                      </m:f>
                    </m:e>
                  </m:d>
                </m:e>
                <m:sup>
                  <m:r>
                    <w:rPr>
                      <w:rFonts w:ascii="Cambria Math" w:hAnsi="Cambria Math"/>
                    </w:rPr>
                    <m:t>2</m:t>
                  </m:r>
                </m:sup>
              </m:sSup>
              <m:ctrlPr>
                <w:rPr>
                  <w:rFonts w:ascii="Cambria Math" w:hAnsi="Cambria Math"/>
                  <w:i/>
                </w:rPr>
              </m:ctrlPr>
            </m:num>
            <m:den>
              <m:r>
                <w:rPr>
                  <w:rFonts w:ascii="Cambria Math" w:hAnsi="Cambria Math"/>
                </w:rPr>
                <m:t>1</m:t>
              </m:r>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ϵ</m:t>
                      </m:r>
                    </m:e>
                    <m:sub>
                      <m:r>
                        <w:rPr>
                          <w:rFonts w:ascii="Cambria Math" w:hAnsi="Cambria Math"/>
                        </w:rPr>
                        <m:t>r</m:t>
                      </m:r>
                      <m:ctrlPr>
                        <w:rPr>
                          <w:rFonts w:ascii="Cambria Math" w:hAnsi="Cambria Math"/>
                          <w:i/>
                        </w:rPr>
                      </m:ctrlPr>
                    </m:sub>
                    <m:sup>
                      <m:r>
                        <w:rPr>
                          <w:rFonts w:ascii="Cambria Math" w:hAnsi="Cambria Math"/>
                        </w:rPr>
                        <m:t>HL</m:t>
                      </m:r>
                    </m:sup>
                  </m:sSubSup>
                </m:num>
                <m:den>
                  <m:sSubSup>
                    <m:sSubSupPr>
                      <m:ctrlPr>
                        <w:rPr>
                          <w:rFonts w:ascii="Cambria Math" w:hAnsi="Cambria Math"/>
                        </w:rPr>
                      </m:ctrlPr>
                    </m:sSubSupPr>
                    <m:e>
                      <m:r>
                        <w:rPr>
                          <w:rFonts w:ascii="Cambria Math" w:hAnsi="Cambria Math"/>
                        </w:rPr>
                        <m:t>ϵ</m:t>
                      </m:r>
                    </m:e>
                    <m:sub>
                      <m:r>
                        <w:rPr>
                          <w:rFonts w:ascii="Cambria Math" w:hAnsi="Cambria Math"/>
                        </w:rPr>
                        <m:t>r</m:t>
                      </m:r>
                      <m:ctrlPr>
                        <w:rPr>
                          <w:rFonts w:ascii="Cambria Math" w:hAnsi="Cambria Math"/>
                          <w:i/>
                        </w:rPr>
                      </m:ctrlPr>
                    </m:sub>
                    <m:sup>
                      <m:r>
                        <w:rPr>
                          <w:rFonts w:ascii="Cambria Math" w:hAnsi="Cambria Math"/>
                        </w:rPr>
                        <m:t>SC</m:t>
                      </m:r>
                    </m:sup>
                  </m:sSubSup>
                  <m:r>
                    <m:rPr>
                      <m:sty m:val="p"/>
                    </m:rPr>
                    <w:rPr>
                      <w:rFonts w:ascii="Cambria Math" w:hAnsi="Cambria Math"/>
                    </w:rPr>
                    <m:t xml:space="preserve"> </m:t>
                  </m:r>
                </m:den>
              </m:f>
              <m:r>
                <m:rPr>
                  <m:sty m:val="p"/>
                </m:rPr>
                <w:rPr>
                  <w:rFonts w:ascii="Cambria Math" w:hAnsi="Cambria Math"/>
                </w:rPr>
                <m:t xml:space="preserve"> </m:t>
              </m:r>
              <m:f>
                <m:fPr>
                  <m:ctrlPr>
                    <w:rPr>
                      <w:rFonts w:ascii="Cambria Math" w:hAnsi="Cambria Math"/>
                    </w:rPr>
                  </m:ctrlPr>
                </m:fPr>
                <m:num>
                  <m:r>
                    <w:rPr>
                      <w:rFonts w:ascii="Cambria Math" w:hAnsi="Cambria Math"/>
                    </w:rPr>
                    <m:t>d</m:t>
                  </m:r>
                  <m:ctrlPr>
                    <w:rPr>
                      <w:rFonts w:ascii="Cambria Math" w:hAnsi="Cambria Math"/>
                      <w:i/>
                    </w:rPr>
                  </m:ctrlPr>
                </m:num>
                <m:den>
                  <m:sSub>
                    <m:sSubPr>
                      <m:ctrlPr>
                        <w:rPr>
                          <w:rFonts w:ascii="Cambria Math" w:hAnsi="Cambria Math"/>
                        </w:rPr>
                      </m:ctrlPr>
                    </m:sSubPr>
                    <m:e>
                      <m:r>
                        <w:rPr>
                          <w:rFonts w:ascii="Cambria Math" w:hAnsi="Cambria Math"/>
                        </w:rPr>
                        <m:t>W</m:t>
                      </m:r>
                    </m:e>
                    <m:sub>
                      <m:r>
                        <w:rPr>
                          <w:rFonts w:ascii="Cambria Math" w:hAnsi="Cambria Math"/>
                        </w:rPr>
                        <m:t>HL</m:t>
                      </m:r>
                    </m:sub>
                  </m:sSub>
                </m:den>
              </m:f>
              <m:r>
                <m:rPr>
                  <m:sty m:val="p"/>
                </m:rPr>
                <w:rPr>
                  <w:rFonts w:ascii="Cambria Math" w:hAnsi="Cambria Math"/>
                </w:rPr>
                <m:t xml:space="preserve"> </m:t>
              </m:r>
            </m:den>
          </m:f>
          <m:r>
            <m:rPr>
              <m:sty m:val="p"/>
            </m:rPr>
            <w:rPr>
              <w:rFonts w:ascii="Cambria Math" w:hAnsi="Cambria Math"/>
            </w:rPr>
            <m:t xml:space="preserve"> </m:t>
          </m:r>
          <m:d>
            <m:dPr>
              <m:begChr m:val="["/>
              <m:endChr m:val="]"/>
              <m:ctrlPr>
                <w:rPr>
                  <w:rFonts w:ascii="Cambria Math" w:hAnsi="Cambria Math"/>
                </w:rPr>
              </m:ctrlPr>
            </m:dPr>
            <m:e>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WF</m:t>
              </m:r>
            </m:e>
          </m:d>
          <m:r>
            <m:rPr>
              <m:sty m:val="p"/>
            </m:rPr>
            <w:rPr>
              <w:rFonts w:ascii="Cambria Math" w:hAnsi="Cambria Math"/>
            </w:rPr>
            <m:t>,</m:t>
          </m:r>
          <m:r>
            <w:rPr>
              <w:rFonts w:ascii="Cambria Math" w:hAnsi="Cambria Math"/>
            </w:rPr>
            <m:t>         </m:t>
          </m:r>
          <m:r>
            <m:rPr>
              <m:sty m:val="p"/>
            </m:rPr>
            <w:rPr>
              <w:rFonts w:ascii="Cambria Math" w:hAnsi="Cambria Math"/>
            </w:rPr>
            <m:t>(</m:t>
          </m:r>
          <m:r>
            <w:rPr>
              <w:rFonts w:ascii="Cambria Math" w:hAnsi="Cambria Math"/>
            </w:rPr>
            <m:t>S3.5</m:t>
          </m:r>
          <m:r>
            <m:rPr>
              <m:sty m:val="p"/>
            </m:rPr>
            <w:rPr>
              <w:rFonts w:ascii="Cambria Math" w:hAnsi="Cambria Math"/>
            </w:rPr>
            <m:t>)</m:t>
          </m:r>
        </m:oMath>
      </m:oMathPara>
    </w:p>
    <w:p w14:paraId="29BBEEB3" w14:textId="77777777" w:rsidR="00481CE4" w:rsidRDefault="00D71739">
      <w:pPr>
        <w:pStyle w:val="FirstParagraph"/>
      </w:pPr>
      <w:proofErr w:type="gramStart"/>
      <w:r>
        <w:t>where</w:t>
      </w:r>
      <w:proofErr w:type="gramEnd"/>
    </w:p>
    <w:p w14:paraId="29C11335" w14:textId="660478DD" w:rsidR="00481CE4" w:rsidRDefault="00F83C00">
      <w:pPr>
        <w:pStyle w:val="Corpsdetexte"/>
      </w:pPr>
      <m:oMathPara>
        <m:oMathParaPr>
          <m:jc m:val="center"/>
        </m:oMathParaPr>
        <m:oMath>
          <m:sSub>
            <m:sSubPr>
              <m:ctrlPr>
                <w:rPr>
                  <w:rFonts w:ascii="Cambria Math" w:hAnsi="Cambria Math"/>
                </w:rPr>
              </m:ctrlPr>
            </m:sSubPr>
            <m:e>
              <m:r>
                <w:rPr>
                  <w:rFonts w:ascii="Cambria Math" w:hAnsi="Cambria Math"/>
                </w:rPr>
                <m:t>W</m:t>
              </m:r>
              <m:ctrlPr>
                <w:rPr>
                  <w:rFonts w:ascii="Cambria Math" w:hAnsi="Cambria Math"/>
                  <w:i/>
                </w:rPr>
              </m:ctrlPr>
            </m:e>
            <m:sub>
              <m:r>
                <w:rPr>
                  <w:rFonts w:ascii="Cambria Math" w:hAnsi="Cambria Math"/>
                </w:rPr>
                <m:t>SC</m:t>
              </m:r>
            </m:sub>
          </m:sSub>
          <m:r>
            <m:rPr>
              <m:sty m:val="p"/>
            </m:rPr>
            <w:rPr>
              <w:rFonts w:ascii="Cambria Math" w:hAnsi="Cambria Math"/>
            </w:rPr>
            <m:t>=</m:t>
          </m:r>
          <m:rad>
            <m:radPr>
              <m:degHide m:val="1"/>
              <m:ctrlPr>
                <w:rPr>
                  <w:rFonts w:ascii="Cambria Math" w:hAnsi="Cambria Math"/>
                </w:rPr>
              </m:ctrlPr>
            </m:radPr>
            <m:deg>
              <m:ctrlPr>
                <w:rPr>
                  <w:rFonts w:ascii="Cambria Math" w:hAnsi="Cambria Math"/>
                  <w:i/>
                </w:rPr>
              </m:ctrlPr>
            </m:deg>
            <m:e>
              <m:f>
                <m:fPr>
                  <m:ctrlPr>
                    <w:rPr>
                      <w:rFonts w:ascii="Cambria Math" w:hAnsi="Cambria Math"/>
                    </w:rPr>
                  </m:ctrlPr>
                </m:fPr>
                <m:num>
                  <m:r>
                    <w:rPr>
                      <w:rFonts w:ascii="Cambria Math" w:hAnsi="Cambria Math"/>
                    </w:rPr>
                    <m:t>2</m:t>
                  </m:r>
                  <m:sSub>
                    <m:sSubPr>
                      <m:ctrlPr>
                        <w:rPr>
                          <w:rFonts w:ascii="Cambria Math" w:hAnsi="Cambria Math"/>
                        </w:rPr>
                      </m:ctrlPr>
                    </m:sSubPr>
                    <m:e>
                      <m:r>
                        <w:rPr>
                          <w:rFonts w:ascii="Cambria Math" w:hAnsi="Cambria Math"/>
                        </w:rPr>
                        <m:t>ϵ</m:t>
                      </m:r>
                      <m:ctrlPr>
                        <w:rPr>
                          <w:rFonts w:ascii="Cambria Math" w:hAnsi="Cambria Math"/>
                          <w:i/>
                        </w:rPr>
                      </m:ctrlPr>
                    </m:e>
                    <m:sub>
                      <m:r>
                        <w:rPr>
                          <w:rFonts w:ascii="Cambria Math" w:hAnsi="Cambria Math"/>
                        </w:rPr>
                        <m:t>0</m:t>
                      </m:r>
                    </m:sub>
                  </m:sSub>
                  <m:r>
                    <m:rPr>
                      <m:sty m:val="p"/>
                    </m:rPr>
                    <w:rPr>
                      <w:rFonts w:ascii="Cambria Math" w:hAnsi="Cambria Math"/>
                    </w:rPr>
                    <m:t xml:space="preserve"> </m:t>
                  </m:r>
                  <m:sSubSup>
                    <m:sSubSupPr>
                      <m:ctrlPr>
                        <w:rPr>
                          <w:rFonts w:ascii="Cambria Math" w:hAnsi="Cambria Math"/>
                        </w:rPr>
                      </m:ctrlPr>
                    </m:sSubSupPr>
                    <m:e>
                      <m:r>
                        <w:rPr>
                          <w:rFonts w:ascii="Cambria Math" w:hAnsi="Cambria Math"/>
                        </w:rPr>
                        <m:t>ϵ</m:t>
                      </m:r>
                    </m:e>
                    <m:sub>
                      <m:r>
                        <w:rPr>
                          <w:rFonts w:ascii="Cambria Math" w:hAnsi="Cambria Math"/>
                        </w:rPr>
                        <m:t>r</m:t>
                      </m:r>
                      <m:ctrlPr>
                        <w:rPr>
                          <w:rFonts w:ascii="Cambria Math" w:hAnsi="Cambria Math"/>
                          <w:i/>
                        </w:rPr>
                      </m:ctrlPr>
                    </m:sub>
                    <m:sup>
                      <m:r>
                        <w:rPr>
                          <w:rFonts w:ascii="Cambria Math" w:hAnsi="Cambria Math"/>
                        </w:rPr>
                        <m:t>SC</m:t>
                      </m:r>
                    </m:sup>
                  </m:sSubSup>
                </m:num>
                <m:den>
                  <m:sSup>
                    <m:sSupPr>
                      <m:ctrlPr>
                        <w:rPr>
                          <w:rFonts w:ascii="Cambria Math" w:hAnsi="Cambria Math"/>
                        </w:rPr>
                      </m:ctrlPr>
                    </m:sSupPr>
                    <m:e>
                      <m:r>
                        <w:rPr>
                          <w:rFonts w:ascii="Cambria Math" w:hAnsi="Cambria Math"/>
                        </w:rPr>
                        <m:t>q</m:t>
                      </m:r>
                    </m:e>
                    <m:sup>
                      <m:r>
                        <w:rPr>
                          <w:rFonts w:ascii="Cambria Math" w:hAnsi="Cambria Math"/>
                        </w:rPr>
                        <m:t>2</m:t>
                      </m:r>
                    </m:sup>
                  </m:sSup>
                  <m:r>
                    <m:rPr>
                      <m:sty m:val="p"/>
                    </m:rP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D</m:t>
                      </m:r>
                    </m:sub>
                  </m:sSub>
                  <m:r>
                    <m:rPr>
                      <m:sty m:val="p"/>
                    </m:rPr>
                    <w:rPr>
                      <w:rFonts w:ascii="Cambria Math" w:hAnsi="Cambria Math"/>
                    </w:rPr>
                    <m:t xml:space="preserve"> </m:t>
                  </m:r>
                </m:den>
              </m:f>
              <m:r>
                <m:rPr>
                  <m:sty m:val="p"/>
                </m:rPr>
                <w:rPr>
                  <w:rFonts w:ascii="Cambria Math" w:hAnsi="Cambria Math"/>
                </w:rPr>
                <m:t xml:space="preserve"> </m:t>
              </m:r>
              <m:d>
                <m:dPr>
                  <m:begChr m:val="["/>
                  <m:endChr m:val="]"/>
                  <m:ctrlPr>
                    <w:rPr>
                      <w:rFonts w:ascii="Cambria Math" w:hAnsi="Cambria Math"/>
                    </w:rPr>
                  </m:ctrlPr>
                </m:dPr>
                <m:e>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WF</m:t>
                  </m:r>
                </m:e>
              </m:d>
            </m:e>
          </m:rad>
          <m:r>
            <w:rPr>
              <w:rFonts w:ascii="Cambria Math" w:hAnsi="Cambria Math"/>
            </w:rPr>
            <m:t>        </m:t>
          </m:r>
          <m:r>
            <m:rPr>
              <m:sty m:val="p"/>
            </m:rPr>
            <w:rPr>
              <w:rFonts w:ascii="Cambria Math" w:hAnsi="Cambria Math"/>
            </w:rPr>
            <m:t>(</m:t>
          </m:r>
          <m:r>
            <w:rPr>
              <w:rFonts w:ascii="Cambria Math" w:hAnsi="Cambria Math"/>
            </w:rPr>
            <m:t>S3.6</m:t>
          </m:r>
          <m:r>
            <m:rPr>
              <m:sty m:val="p"/>
            </m:rPr>
            <w:rPr>
              <w:rFonts w:ascii="Cambria Math" w:hAnsi="Cambria Math"/>
            </w:rPr>
            <m:t>)</m:t>
          </m:r>
        </m:oMath>
      </m:oMathPara>
    </w:p>
    <w:p w14:paraId="6F0AAB59" w14:textId="12097903" w:rsidR="00481CE4" w:rsidRDefault="00D71739">
      <w:pPr>
        <w:pStyle w:val="FirstParagraph"/>
      </w:pPr>
      <w:r>
        <w:t xml:space="preserve">would be the width of the SCR for the potential difference </w:t>
      </w:r>
      <m:oMath>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WF</m:t>
        </m:r>
        <m:r>
          <m:rPr>
            <m:sty m:val="p"/>
          </m:rPr>
          <w:rPr>
            <w:rFonts w:ascii="Cambria Math" w:hAnsi="Cambria Math"/>
          </w:rPr>
          <m:t>)/</m:t>
        </m:r>
        <m:r>
          <w:rPr>
            <w:rFonts w:ascii="Cambria Math" w:hAnsi="Cambria Math"/>
          </w:rPr>
          <m:t>q</m:t>
        </m:r>
      </m:oMath>
      <w:r>
        <w:t xml:space="preserve"> defined when</w:t>
      </w:r>
      <w:r w:rsidR="007B2D08">
        <w:t xml:space="preserve"> </w:t>
      </w:r>
      <m:oMath>
        <m:sSub>
          <m:sSubPr>
            <m:ctrlPr>
              <w:rPr>
                <w:rFonts w:ascii="Cambria Math" w:hAnsi="Cambria Math"/>
              </w:rPr>
            </m:ctrlPr>
          </m:sSubPr>
          <m:e>
            <m:r>
              <w:rPr>
                <w:rFonts w:ascii="Cambria Math" w:hAnsi="Cambria Math"/>
              </w:rPr>
              <m:t>V</m:t>
            </m:r>
            <m:ctrlPr>
              <w:rPr>
                <w:rFonts w:ascii="Cambria Math" w:hAnsi="Cambria Math"/>
                <w:i/>
              </w:rPr>
            </m:ctrlPr>
          </m:e>
          <m:sub>
            <m:r>
              <w:rPr>
                <w:rFonts w:ascii="Cambria Math" w:hAnsi="Cambria Math"/>
              </w:rPr>
              <m:t>H</m:t>
            </m:r>
          </m:sub>
        </m:sSub>
        <m:r>
          <m:rPr>
            <m:sty m:val="p"/>
          </m:rPr>
          <w:rPr>
            <w:rFonts w:ascii="Cambria Math" w:hAnsi="Cambria Math"/>
          </w:rPr>
          <m:t>=</m:t>
        </m:r>
        <m:r>
          <w:rPr>
            <w:rFonts w:ascii="Cambria Math" w:hAnsi="Cambria Math"/>
          </w:rPr>
          <m:t>0</m:t>
        </m:r>
      </m:oMath>
      <w:r>
        <w:t xml:space="preserve">. </w:t>
      </w:r>
      <w:r w:rsidR="0048198F">
        <w:t xml:space="preserve">Note that </w:t>
      </w:r>
      <m:oMath>
        <m:d>
          <m:dPr>
            <m:begChr m:val="["/>
            <m:endChr m:val="]"/>
            <m:ctrlPr>
              <w:rPr>
                <w:rFonts w:ascii="Cambria Math" w:hAnsi="Cambria Math"/>
              </w:rPr>
            </m:ctrlPr>
          </m:dPr>
          <m:e>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WF</m:t>
            </m:r>
          </m:e>
        </m:d>
      </m:oMath>
      <w:r w:rsidR="0048198F">
        <w:t xml:space="preserve"> is </w:t>
      </w:r>
      <w:r w:rsidR="00794837">
        <w:t xml:space="preserve">only </w:t>
      </w:r>
      <w:r w:rsidR="0048198F">
        <w:t>positive in the</w:t>
      </w:r>
      <w:r w:rsidR="000F0930">
        <w:t xml:space="preserve"> limit of the model  </w:t>
      </w:r>
      <m:oMath>
        <m:r>
          <w:rPr>
            <w:rFonts w:ascii="Cambria Math" w:hAnsi="Cambria Math"/>
          </w:rPr>
          <m:t>WF&lt; -μ</m:t>
        </m:r>
      </m:oMath>
      <w:r w:rsidR="000F0930">
        <w:t xml:space="preserve">  </w:t>
      </w:r>
      <w:r w:rsidR="0048198F">
        <w:t>.</w:t>
      </w:r>
    </w:p>
    <w:p w14:paraId="075C6009" w14:textId="3817149D" w:rsidR="00481CE4" w:rsidRDefault="00D71739">
      <w:pPr>
        <w:pStyle w:val="Corpsdetexte"/>
      </w:pPr>
      <w:r>
        <w:t xml:space="preserve">Compared to </w:t>
      </w:r>
      <w:r>
        <w:rPr>
          <w:b/>
          <w:bCs/>
        </w:rPr>
        <w:t>eq. 3</w:t>
      </w:r>
      <w:r w:rsidR="00794837">
        <w:t xml:space="preserve">, </w:t>
      </w:r>
      <w:r>
        <w:t xml:space="preserve">a dependence of the Helmholtz potential linear with the difference </w:t>
      </w:r>
      <m:oMath>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WF</m:t>
        </m:r>
      </m:oMath>
      <w:r>
        <w:t xml:space="preserve"> similar to the one derived for metal is observed, except that the coefficient </w:t>
      </w:r>
      <m:oMath>
        <m:r>
          <w:rPr>
            <w:rFonts w:ascii="Cambria Math" w:hAnsi="Cambria Math"/>
          </w:rPr>
          <m:t>κ</m:t>
        </m:r>
      </m:oMath>
      <w:r>
        <w:t xml:space="preserve"> tends to zero as </w:t>
      </w:r>
      <w:r>
        <w:rPr>
          <w:i/>
          <w:iCs/>
        </w:rPr>
        <w:t>d</w:t>
      </w:r>
      <w:r>
        <w:t xml:space="preserve"> approaches the value </w:t>
      </w:r>
      <m:oMath>
        <m:sSub>
          <m:sSubPr>
            <m:ctrlPr>
              <w:rPr>
                <w:rFonts w:ascii="Cambria Math" w:hAnsi="Cambria Math"/>
              </w:rPr>
            </m:ctrlPr>
          </m:sSubPr>
          <m:e>
            <m:r>
              <w:rPr>
                <w:rFonts w:ascii="Cambria Math" w:hAnsi="Cambria Math"/>
              </w:rPr>
              <m:t>W</m:t>
            </m:r>
            <m:ctrlPr>
              <w:rPr>
                <w:rFonts w:ascii="Cambria Math" w:hAnsi="Cambria Math"/>
                <w:i/>
              </w:rPr>
            </m:ctrlPr>
          </m:e>
          <m:sub>
            <m:r>
              <w:rPr>
                <w:rFonts w:ascii="Cambria Math" w:hAnsi="Cambria Math"/>
              </w:rPr>
              <m:t>SC</m:t>
            </m:r>
          </m:sub>
        </m:sSub>
      </m:oMath>
      <w:r>
        <w:t>.</w:t>
      </w:r>
    </w:p>
    <w:p w14:paraId="7DDCDF8E" w14:textId="6AF10CEB" w:rsidR="00481CE4" w:rsidRDefault="00D71739">
      <w:pPr>
        <w:pStyle w:val="Titre2"/>
      </w:pPr>
      <w:bookmarkStart w:id="5" w:name="sec:pra43u29dr9"/>
      <w:bookmarkEnd w:id="4"/>
      <w:r>
        <w:rPr>
          <w:bCs/>
        </w:rPr>
        <w:t xml:space="preserve">Supplementary Note </w:t>
      </w:r>
      <w:r w:rsidR="001473FE">
        <w:rPr>
          <w:bCs/>
        </w:rPr>
        <w:t>4</w:t>
      </w:r>
      <w:r>
        <w:rPr>
          <w:bCs/>
        </w:rPr>
        <w:t>: Consideration on the resistivity of the semiconducting thin film</w:t>
      </w:r>
      <w:r>
        <w:t xml:space="preserve"> </w:t>
      </w:r>
    </w:p>
    <w:p w14:paraId="1D7943D3" w14:textId="77777777" w:rsidR="00481CE4" w:rsidRDefault="00D71739" w:rsidP="004B422D">
      <w:pPr>
        <w:pStyle w:val="FirstParagraph"/>
        <w:jc w:val="both"/>
      </w:pPr>
      <w:r>
        <w:t xml:space="preserve">The presence of the thin hydroxyl layer can introduce an additional resistive component to the system, effectively behaving as a series resistor and contributing to the observed increase of </w:t>
      </w:r>
      <m:oMath>
        <m:r>
          <w:rPr>
            <w:rFonts w:ascii="Cambria Math" w:hAnsi="Cambria Math"/>
          </w:rPr>
          <m:t>η</m:t>
        </m:r>
      </m:oMath>
      <w:r>
        <w:t xml:space="preserve"> by:</w:t>
      </w:r>
    </w:p>
    <w:p w14:paraId="502BA53B" w14:textId="18AB8399" w:rsidR="00481CE4" w:rsidRDefault="006E6561">
      <w:pPr>
        <w:pStyle w:val="Corpsdetexte"/>
      </w:pPr>
      <m:oMathPara>
        <m:oMathParaPr>
          <m:jc m:val="center"/>
        </m:oMathParaPr>
        <m:oMath>
          <m:r>
            <w:rPr>
              <w:rFonts w:ascii="Cambria Math" w:hAnsi="Cambria Math"/>
            </w:rPr>
            <m:t>        </m:t>
          </m:r>
          <m:sSub>
            <m:sSubPr>
              <m:ctrlPr>
                <w:rPr>
                  <w:rFonts w:ascii="Cambria Math" w:hAnsi="Cambria Math"/>
                </w:rPr>
              </m:ctrlPr>
            </m:sSubPr>
            <m:e>
              <m:r>
                <w:rPr>
                  <w:rFonts w:ascii="Cambria Math" w:hAnsi="Cambria Math"/>
                </w:rPr>
                <m:t>η</m:t>
              </m:r>
              <m:ctrlPr>
                <w:rPr>
                  <w:rFonts w:ascii="Cambria Math" w:hAnsi="Cambria Math"/>
                  <w:i/>
                </w:rPr>
              </m:ctrlPr>
            </m:e>
            <m:sub>
              <m:r>
                <w:rPr>
                  <w:rFonts w:ascii="Cambria Math" w:hAnsi="Cambria Math"/>
                </w:rPr>
                <m:t>R</m:t>
              </m:r>
            </m:sub>
          </m:sSub>
          <m:r>
            <m:rPr>
              <m:sty m:val="p"/>
            </m:rPr>
            <w:rPr>
              <w:rFonts w:ascii="Cambria Math" w:hAnsi="Cambria Math"/>
            </w:rPr>
            <m:t>=</m:t>
          </m:r>
          <m:f>
            <m:fPr>
              <m:ctrlPr>
                <w:rPr>
                  <w:rFonts w:ascii="Cambria Math" w:hAnsi="Cambria Math"/>
                </w:rPr>
              </m:ctrlPr>
            </m:fPr>
            <m:num>
              <m:r>
                <w:rPr>
                  <w:rFonts w:ascii="Cambria Math" w:hAnsi="Cambria Math"/>
                </w:rPr>
                <m:t>j</m:t>
              </m:r>
            </m:num>
            <m:den>
              <m:r>
                <w:rPr>
                  <w:rFonts w:ascii="Cambria Math" w:hAnsi="Cambria Math"/>
                </w:rPr>
                <m:t>q</m:t>
              </m:r>
              <m:sSub>
                <m:sSubPr>
                  <m:ctrlPr>
                    <w:rPr>
                      <w:rFonts w:ascii="Cambria Math" w:hAnsi="Cambria Math"/>
                    </w:rPr>
                  </m:ctrlPr>
                </m:sSubPr>
                <m:e>
                  <m:r>
                    <w:rPr>
                      <w:rFonts w:ascii="Cambria Math" w:hAnsi="Cambria Math"/>
                    </w:rPr>
                    <m:t>μ</m:t>
                  </m:r>
                  <m:ctrlPr>
                    <w:rPr>
                      <w:rFonts w:ascii="Cambria Math" w:hAnsi="Cambria Math"/>
                      <w:i/>
                    </w:rPr>
                  </m:ctrlPr>
                </m:e>
                <m:sub>
                  <m:r>
                    <w:rPr>
                      <w:rFonts w:ascii="Cambria Math" w:hAnsi="Cambria Math"/>
                    </w:rPr>
                    <m:t>n</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D</m:t>
                  </m:r>
                </m:sub>
              </m:sSub>
              <m:r>
                <m:rPr>
                  <m:sty m:val="p"/>
                </m:rPr>
                <w:rPr>
                  <w:rFonts w:ascii="Cambria Math" w:hAnsi="Cambria Math"/>
                </w:rPr>
                <m:t xml:space="preserve"> </m:t>
              </m:r>
            </m:den>
          </m:f>
          <m:r>
            <w:rPr>
              <w:rFonts w:ascii="Cambria Math" w:hAnsi="Cambria Math"/>
            </w:rPr>
            <m:t xml:space="preserve"> d.        </m:t>
          </m:r>
          <m:r>
            <m:rPr>
              <m:sty m:val="p"/>
            </m:rPr>
            <w:rPr>
              <w:rFonts w:ascii="Cambria Math" w:hAnsi="Cambria Math"/>
            </w:rPr>
            <m:t>(</m:t>
          </m:r>
          <m:r>
            <w:rPr>
              <w:rFonts w:ascii="Cambria Math" w:hAnsi="Cambria Math"/>
            </w:rPr>
            <m:t>S4</m:t>
          </m:r>
          <m:r>
            <m:rPr>
              <m:sty m:val="p"/>
            </m:rPr>
            <w:rPr>
              <w:rFonts w:ascii="Cambria Math" w:hAnsi="Cambria Math"/>
            </w:rPr>
            <m:t>)</m:t>
          </m:r>
        </m:oMath>
      </m:oMathPara>
    </w:p>
    <w:p w14:paraId="0E8C3A23" w14:textId="0D4078B5" w:rsidR="00DF6B24" w:rsidRDefault="00D71739" w:rsidP="00DF6B24">
      <w:pPr>
        <w:pStyle w:val="FirstParagraph"/>
        <w:jc w:val="both"/>
      </w:pPr>
      <w:r>
        <w:t xml:space="preserve">with </w:t>
      </w:r>
      <m:oMath>
        <m:r>
          <w:rPr>
            <w:rFonts w:ascii="Cambria Math" w:hAnsi="Cambria Math"/>
          </w:rPr>
          <m:t>j</m:t>
        </m:r>
      </m:oMath>
      <w:r>
        <w:t xml:space="preserve"> the current density and </w:t>
      </w:r>
      <m:oMath>
        <m:sSub>
          <m:sSubPr>
            <m:ctrlPr>
              <w:rPr>
                <w:rFonts w:ascii="Cambria Math" w:hAnsi="Cambria Math"/>
              </w:rPr>
            </m:ctrlPr>
          </m:sSubPr>
          <m:e>
            <m:r>
              <w:rPr>
                <w:rFonts w:ascii="Cambria Math" w:hAnsi="Cambria Math"/>
              </w:rPr>
              <m:t>μ</m:t>
            </m:r>
            <m:ctrlPr>
              <w:rPr>
                <w:rFonts w:ascii="Cambria Math" w:hAnsi="Cambria Math"/>
                <w:i/>
              </w:rPr>
            </m:ctrlPr>
          </m:e>
          <m:sub>
            <m:r>
              <w:rPr>
                <w:rFonts w:ascii="Cambria Math" w:hAnsi="Cambria Math"/>
              </w:rPr>
              <m:t>n</m:t>
            </m:r>
          </m:sub>
        </m:sSub>
      </m:oMath>
      <w:r>
        <w:t xml:space="preserve"> the charge mobility. As discussed previously, increasing the density of charge carrier and decreasing the thickness can help to mitigate this potential drop. But this overpotential remains negligible even for low amount of charge carriers and large current densities relevant for industrial application, and thickness of hundreds of nanometers.</w:t>
      </w:r>
    </w:p>
    <w:p w14:paraId="309CDFBF" w14:textId="5E719865" w:rsidR="00DF6B24" w:rsidRDefault="00DF6B24" w:rsidP="00DF6B24">
      <w:pPr>
        <w:pStyle w:val="Titre2"/>
      </w:pPr>
      <w:r>
        <w:rPr>
          <w:bCs/>
        </w:rPr>
        <w:t xml:space="preserve">Supplementary Note 5: </w:t>
      </w:r>
      <w:r>
        <w:t xml:space="preserve">Modulation of the HER overpotential on </w:t>
      </w:r>
      <w:proofErr w:type="gramStart"/>
      <w:r>
        <w:t>Pt(</w:t>
      </w:r>
      <w:proofErr w:type="gramEnd"/>
      <w:r>
        <w:t>111) surface by a thin metal hydroxide layer</w:t>
      </w:r>
    </w:p>
    <w:p w14:paraId="60D45C68" w14:textId="17383690" w:rsidR="00DF6B24" w:rsidRDefault="00DF6B24" w:rsidP="00DF6B24">
      <w:pPr>
        <w:pStyle w:val="Corpsdetexte"/>
        <w:jc w:val="both"/>
      </w:pPr>
      <w:r>
        <w:t xml:space="preserve">The high WF of </w:t>
      </w:r>
      <w:proofErr w:type="gramStart"/>
      <w:r>
        <w:t>Pt(</w:t>
      </w:r>
      <w:proofErr w:type="gramEnd"/>
      <w:r>
        <w:t>111) results in a negative Helmholtz potential when in contact with an aqueous electrolyte (</w:t>
      </w:r>
      <w:r>
        <w:rPr>
          <w:b/>
          <w:bCs/>
        </w:rPr>
        <w:t>Fig.</w:t>
      </w:r>
      <w:r>
        <w:t xml:space="preserve"> </w:t>
      </w:r>
      <w:r w:rsidR="00B31348">
        <w:rPr>
          <w:b/>
          <w:bCs/>
        </w:rPr>
        <w:t>S2</w:t>
      </w:r>
      <w:r>
        <w:rPr>
          <w:b/>
          <w:bCs/>
        </w:rPr>
        <w:t>a</w:t>
      </w:r>
      <w:r>
        <w:t>). Although this negative Helmholtz potential does not reduce the proton concentration at the electrode surface, it introduces an energetic penalty associated with charge transfer across the two-dimensional interfacial water network, as previously described by Koper and co-workers</w:t>
      </w:r>
      <w:hyperlink w:anchor="Xf3ecd55385ed5f68bd399279aa4c93e70d5daf0">
        <w:r>
          <w:rPr>
            <w:rStyle w:val="Lienhypertexte"/>
            <w:vertAlign w:val="superscript"/>
          </w:rPr>
          <w:t>8</w:t>
        </w:r>
      </w:hyperlink>
      <w:r>
        <w:t>, leading to an overpotential of 0.19 V</w:t>
      </w:r>
      <w:hyperlink w:anchor="ref-Subbaraman2012TrendsCatalysts">
        <w:r>
          <w:rPr>
            <w:rStyle w:val="Lienhypertexte"/>
            <w:vertAlign w:val="superscript"/>
          </w:rPr>
          <w:t>5</w:t>
        </w:r>
      </w:hyperlink>
      <w:r>
        <w:t>.</w:t>
      </w:r>
    </w:p>
    <w:p w14:paraId="4DE9F1A6" w14:textId="28ACFF4E" w:rsidR="00DF6B24" w:rsidRDefault="00DF6B24" w:rsidP="00DF6B24">
      <w:pPr>
        <w:pStyle w:val="Corpsdetexte"/>
        <w:jc w:val="both"/>
      </w:pPr>
      <w:r>
        <w:t xml:space="preserve">Depositing a thin semiconductor layer can mitigate the Helmholtz potential, provided the Fermi level of the system drops below the </w:t>
      </w:r>
      <w:r w:rsidRPr="007324E5">
        <w:rPr>
          <w:i/>
          <w:iCs/>
        </w:rPr>
        <w:t>n</w:t>
      </w:r>
      <w:r>
        <w:t xml:space="preserve">-type dopant states, enabling the accumulation of positive trapped charges. This effect is observed for </w:t>
      </w:r>
      <w:proofErr w:type="gramStart"/>
      <w:r>
        <w:t>Ni(</w:t>
      </w:r>
      <w:proofErr w:type="gramEnd"/>
      <w:r>
        <w:t>OH)</w:t>
      </w:r>
      <w:r>
        <w:rPr>
          <w:vertAlign w:val="subscript"/>
        </w:rPr>
        <w:t>2</w:t>
      </w:r>
      <w:r>
        <w:t>, Co(OH)</w:t>
      </w:r>
      <w:r>
        <w:rPr>
          <w:vertAlign w:val="subscript"/>
        </w:rPr>
        <w:t>2</w:t>
      </w:r>
      <w:r>
        <w:t xml:space="preserve">, and FeOOH (see </w:t>
      </w:r>
      <w:r>
        <w:rPr>
          <w:b/>
          <w:bCs/>
        </w:rPr>
        <w:t xml:space="preserve">Fig. </w:t>
      </w:r>
      <w:r w:rsidR="00B31348">
        <w:rPr>
          <w:b/>
          <w:bCs/>
        </w:rPr>
        <w:t>S2</w:t>
      </w:r>
      <w:r>
        <w:rPr>
          <w:b/>
          <w:bCs/>
        </w:rPr>
        <w:t>b–d</w:t>
      </w:r>
      <w:r>
        <w:t xml:space="preserve">). However, the </w:t>
      </w:r>
      <w:r>
        <w:lastRenderedPageBreak/>
        <w:t>concentration of surface charge carriers can vary depending on the ionization energy of the material, which dictates the Fermi level position relative to the valence band maximum (VBM).</w:t>
      </w:r>
    </w:p>
    <w:p w14:paraId="22E84E6A" w14:textId="24C98FEA" w:rsidR="00DF6B24" w:rsidRDefault="00DF6B24" w:rsidP="00DF6B24">
      <w:pPr>
        <w:pStyle w:val="Corpsdetexte"/>
        <w:jc w:val="both"/>
      </w:pPr>
      <w:r>
        <w:t xml:space="preserve">A high density of charge carriers is critical, as the exchange current in semiconducting materials is directly proportional to the number of available carriers at the surface. In </w:t>
      </w:r>
      <w:proofErr w:type="gramStart"/>
      <w:r>
        <w:t>Ni(</w:t>
      </w:r>
      <w:proofErr w:type="gramEnd"/>
      <w:r>
        <w:t>OH)</w:t>
      </w:r>
      <w:r>
        <w:rPr>
          <w:vertAlign w:val="subscript"/>
        </w:rPr>
        <w:t>2</w:t>
      </w:r>
      <w:r>
        <w:t xml:space="preserve"> and Co(OH)</w:t>
      </w:r>
      <w:r>
        <w:rPr>
          <w:vertAlign w:val="subscript"/>
        </w:rPr>
        <w:t>2</w:t>
      </w:r>
      <w:r>
        <w:t xml:space="preserve">, the Fermi level lies below the VBM, establishing a deep depletion layer. Deep depletion condition is achieved when its ionization energy is lower than both the metal WF and the chemical potential of the electrolyte. Under these conditions, the system behaves similarly to a metal, with both mobile charges, ensuring a good charge exchange, and immobile (trapped) charges contributing to the compensation of the Helmholtz potential. This leads to a notable reduction in overpotential, as illustrated in </w:t>
      </w:r>
      <w:r>
        <w:rPr>
          <w:b/>
          <w:bCs/>
        </w:rPr>
        <w:t xml:space="preserve">Fig. </w:t>
      </w:r>
      <w:r w:rsidR="00B31348">
        <w:rPr>
          <w:b/>
          <w:bCs/>
        </w:rPr>
        <w:t>S2</w:t>
      </w:r>
      <w:r>
        <w:rPr>
          <w:b/>
          <w:bCs/>
        </w:rPr>
        <w:t>e</w:t>
      </w:r>
      <w:r>
        <w:t>.</w:t>
      </w:r>
    </w:p>
    <w:p w14:paraId="467A75F1" w14:textId="2277FC77" w:rsidR="00DF6B24" w:rsidRDefault="00DF6B24" w:rsidP="00F0155C">
      <w:pPr>
        <w:pStyle w:val="Corpsdetexte"/>
        <w:jc w:val="both"/>
      </w:pPr>
      <w:r>
        <w:t xml:space="preserve">In contrast, for FeOOH, the Fermi level remains within the bandgap, which limits the accumulation of surface charge carriers. As a result, the overpotential is even higher than that of the bare Pt surface, likely due to both less favorable catalytic properties and a reduced carrier density. </w:t>
      </w:r>
      <w:r w:rsidRPr="007324E5">
        <w:t>As such, most of the reaction occurs on the bare Pt surface, whose active surface area is decreased by the presence of FeOOH.</w:t>
      </w:r>
    </w:p>
    <w:p w14:paraId="03608C81" w14:textId="77777777" w:rsidR="00DF6B24" w:rsidRDefault="00DF6B24" w:rsidP="00F0155C">
      <w:pPr>
        <w:pStyle w:val="Corpsdetexte"/>
        <w:jc w:val="center"/>
      </w:pPr>
      <w:r>
        <w:rPr>
          <w:noProof/>
        </w:rPr>
        <w:drawing>
          <wp:inline distT="0" distB="0" distL="0" distR="0" wp14:anchorId="1BC2D080" wp14:editId="64BC2F85">
            <wp:extent cx="5772647" cy="3755908"/>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7448" cy="3765538"/>
                    </a:xfrm>
                    <a:prstGeom prst="rect">
                      <a:avLst/>
                    </a:prstGeom>
                    <a:noFill/>
                    <a:ln>
                      <a:noFill/>
                    </a:ln>
                  </pic:spPr>
                </pic:pic>
              </a:graphicData>
            </a:graphic>
          </wp:inline>
        </w:drawing>
      </w:r>
    </w:p>
    <w:p w14:paraId="29FAF62C" w14:textId="3E01D4F1" w:rsidR="00DF6B24" w:rsidRDefault="00DF6B24" w:rsidP="00B31348">
      <w:pPr>
        <w:pStyle w:val="CaptionedFigure"/>
        <w:spacing w:line="240" w:lineRule="auto"/>
        <w:jc w:val="both"/>
      </w:pPr>
      <w:bookmarkStart w:id="6" w:name="fig:ih3y9aiueidm"/>
      <w:r w:rsidRPr="00B31348">
        <w:rPr>
          <w:b/>
          <w:bCs/>
        </w:rPr>
        <w:t xml:space="preserve">Figure </w:t>
      </w:r>
      <w:r w:rsidR="00B31348" w:rsidRPr="00B31348">
        <w:rPr>
          <w:b/>
          <w:bCs/>
        </w:rPr>
        <w:t>S2</w:t>
      </w:r>
      <w:r w:rsidRPr="00B31348">
        <w:rPr>
          <w:b/>
          <w:bCs/>
        </w:rPr>
        <w:t xml:space="preserve">: Modulation of the HER overpotential on </w:t>
      </w:r>
      <w:proofErr w:type="gramStart"/>
      <w:r w:rsidRPr="00B31348">
        <w:rPr>
          <w:b/>
          <w:bCs/>
        </w:rPr>
        <w:t>Pt(</w:t>
      </w:r>
      <w:proofErr w:type="gramEnd"/>
      <w:r w:rsidRPr="00B31348">
        <w:rPr>
          <w:b/>
          <w:bCs/>
        </w:rPr>
        <w:t>111) surface by a thin metal hydroxide layer.</w:t>
      </w:r>
      <w:r w:rsidRPr="00B31348">
        <w:t xml:space="preserve"> </w:t>
      </w:r>
      <w:r w:rsidRPr="007324E5">
        <w:t xml:space="preserve">Band alignment and interfacial equilibrium for a </w:t>
      </w:r>
      <w:proofErr w:type="gramStart"/>
      <w:r w:rsidRPr="007324E5">
        <w:t>Pt(</w:t>
      </w:r>
      <w:proofErr w:type="gramEnd"/>
      <w:r w:rsidRPr="007324E5">
        <w:t>111) surface (a) bare, covered with a thin film of (b) Ni(OH)</w:t>
      </w:r>
      <w:r w:rsidRPr="007324E5">
        <w:rPr>
          <w:vertAlign w:val="subscript"/>
        </w:rPr>
        <w:t>2</w:t>
      </w:r>
      <w:r w:rsidRPr="007324E5">
        <w:t>, (c) Co(OH)</w:t>
      </w:r>
      <w:r w:rsidRPr="007324E5">
        <w:rPr>
          <w:vertAlign w:val="subscript"/>
        </w:rPr>
        <w:t>2</w:t>
      </w:r>
      <w:r w:rsidRPr="007324E5">
        <w:t>, and (d) FeOOH.</w:t>
      </w:r>
      <w:r>
        <w:t xml:space="preserve"> Trapped charges from </w:t>
      </w:r>
      <w:r>
        <w:rPr>
          <w:i/>
          <w:iCs/>
        </w:rPr>
        <w:t>n</w:t>
      </w:r>
      <w:r>
        <w:t xml:space="preserve">-type dopants are indicated by blue “+” signs. </w:t>
      </w:r>
      <w:r w:rsidRPr="007324E5">
        <w:t xml:space="preserve"> (e) HER overpotential values of these surfaces measured at -5 mA cm</w:t>
      </w:r>
      <w:r w:rsidRPr="007324E5">
        <w:rPr>
          <w:vertAlign w:val="superscript"/>
        </w:rPr>
        <w:t>-2</w:t>
      </w:r>
      <w:r w:rsidRPr="007324E5">
        <w:t xml:space="preserve"> in 0.1 M KOH, taken from ref. </w:t>
      </w:r>
      <w:hyperlink w:anchor="ref-Subbaraman2012TrendsCatalysts">
        <w:r w:rsidRPr="007324E5">
          <w:rPr>
            <w:rStyle w:val="Lienhypertexte"/>
            <w:vertAlign w:val="superscript"/>
          </w:rPr>
          <w:t>5</w:t>
        </w:r>
      </w:hyperlink>
      <w:r w:rsidRPr="007324E5">
        <w:t xml:space="preserve">. The WF value of </w:t>
      </w:r>
      <w:proofErr w:type="gramStart"/>
      <w:r w:rsidRPr="007324E5">
        <w:t>Pt(</w:t>
      </w:r>
      <w:proofErr w:type="gramEnd"/>
      <w:r w:rsidRPr="007324E5">
        <w:t xml:space="preserve">111) was taken from ref. </w:t>
      </w:r>
      <w:hyperlink w:anchor="ref-Kawano2022EffectiveDependence">
        <w:r w:rsidRPr="007324E5">
          <w:rPr>
            <w:rStyle w:val="Lienhypertexte"/>
            <w:vertAlign w:val="superscript"/>
          </w:rPr>
          <w:t>20</w:t>
        </w:r>
      </w:hyperlink>
      <w:r w:rsidRPr="007324E5">
        <w:t xml:space="preserve">. The electronic properties of </w:t>
      </w:r>
      <w:r w:rsidRPr="007324E5">
        <w:lastRenderedPageBreak/>
        <w:t>2D Ni(OH)</w:t>
      </w:r>
      <w:r w:rsidRPr="007324E5">
        <w:rPr>
          <w:vertAlign w:val="subscript"/>
        </w:rPr>
        <w:t>2</w:t>
      </w:r>
      <w:r w:rsidRPr="007324E5">
        <w:t>, 2D Co(OH)</w:t>
      </w:r>
      <w:r w:rsidRPr="007324E5">
        <w:rPr>
          <w:vertAlign w:val="subscript"/>
        </w:rPr>
        <w:t>2</w:t>
      </w:r>
      <w:r w:rsidRPr="007324E5">
        <w:t xml:space="preserve"> and nanosized FeOOH were taken from refs. </w:t>
      </w:r>
      <w:hyperlink w:anchor="ref-Kim2014GreatDeposition">
        <w:r w:rsidRPr="007324E5">
          <w:rPr>
            <w:rStyle w:val="Lienhypertexte"/>
            <w:vertAlign w:val="superscript"/>
          </w:rPr>
          <w:t>26</w:t>
        </w:r>
      </w:hyperlink>
      <w:r w:rsidRPr="007324E5">
        <w:rPr>
          <w:vertAlign w:val="superscript"/>
        </w:rPr>
        <w:t>,</w:t>
      </w:r>
      <w:hyperlink w:anchor="ref-Ping2024SynthesisCondensation">
        <w:r w:rsidRPr="007324E5">
          <w:rPr>
            <w:rStyle w:val="Lienhypertexte"/>
            <w:vertAlign w:val="superscript"/>
          </w:rPr>
          <w:t>27</w:t>
        </w:r>
      </w:hyperlink>
      <w:r w:rsidRPr="007324E5">
        <w:t xml:space="preserve">, ref. </w:t>
      </w:r>
      <w:hyperlink w:anchor="ref-Suksomboon2021ReducingNanoparticles">
        <w:r w:rsidRPr="007324E5">
          <w:rPr>
            <w:rStyle w:val="Lienhypertexte"/>
            <w:vertAlign w:val="superscript"/>
          </w:rPr>
          <w:t>28</w:t>
        </w:r>
      </w:hyperlink>
      <w:r w:rsidRPr="007324E5">
        <w:t xml:space="preserve"> and ref. </w:t>
      </w:r>
      <w:hyperlink w:anchor="ref-Ali2016PhotocatalyticOxyhydroxides">
        <w:r w:rsidRPr="007324E5">
          <w:rPr>
            <w:rStyle w:val="Lienhypertexte"/>
            <w:vertAlign w:val="superscript"/>
          </w:rPr>
          <w:t>29</w:t>
        </w:r>
      </w:hyperlink>
      <w:r w:rsidRPr="007324E5">
        <w:t xml:space="preserve">, respectively. The bandgap energy of 2D </w:t>
      </w:r>
      <w:proofErr w:type="gramStart"/>
      <w:r w:rsidRPr="007324E5">
        <w:t>Co(</w:t>
      </w:r>
      <w:proofErr w:type="gramEnd"/>
      <w:r w:rsidRPr="007324E5">
        <w:t>OH)</w:t>
      </w:r>
      <w:r w:rsidRPr="007324E5">
        <w:rPr>
          <w:vertAlign w:val="subscript"/>
        </w:rPr>
        <w:t>2</w:t>
      </w:r>
      <w:r w:rsidRPr="007324E5">
        <w:t xml:space="preserve"> was extrapolated from the </w:t>
      </w:r>
      <w:proofErr w:type="spellStart"/>
      <w:r w:rsidRPr="007324E5">
        <w:t>Tauc</w:t>
      </w:r>
      <w:proofErr w:type="spellEnd"/>
      <w:r w:rsidRPr="007324E5">
        <w:t xml:space="preserve"> plots based on ref. </w:t>
      </w:r>
      <w:hyperlink w:anchor="ref-Ping2024SynthesisCondensation">
        <w:r w:rsidRPr="007324E5">
          <w:rPr>
            <w:rStyle w:val="Lienhypertexte"/>
            <w:vertAlign w:val="superscript"/>
          </w:rPr>
          <w:t>27</w:t>
        </w:r>
      </w:hyperlink>
      <w:r w:rsidRPr="007324E5">
        <w:t>. In the case of nanosized FeOOH, the γ/δ polymorphs were considered. All values are summarized in Supplementary Table 3.</w:t>
      </w:r>
    </w:p>
    <w:bookmarkEnd w:id="6"/>
    <w:p w14:paraId="0340B29A" w14:textId="681BCFFF" w:rsidR="00E8366E" w:rsidRDefault="00E8366E" w:rsidP="00E8366E">
      <w:pPr>
        <w:pStyle w:val="Titre2"/>
      </w:pPr>
      <w:r>
        <w:rPr>
          <w:bCs/>
        </w:rPr>
        <w:t xml:space="preserve">Supplementary Table 1: </w:t>
      </w:r>
      <w:r w:rsidR="00CE002F">
        <w:t>HER o</w:t>
      </w:r>
      <w:r w:rsidR="00CE002F" w:rsidRPr="00E8366E">
        <w:t>verpotential</w:t>
      </w:r>
      <w:r w:rsidR="00CE002F" w:rsidRPr="00CE002F">
        <w:t xml:space="preserve"> </w:t>
      </w:r>
      <w:r w:rsidR="00CE002F">
        <w:t>for metal electrodes</w:t>
      </w:r>
      <w:r w:rsidR="00CE002F" w:rsidDel="00CE002F">
        <w:rPr>
          <w:bCs/>
        </w:rPr>
        <w:t xml:space="preserve"> </w:t>
      </w:r>
    </w:p>
    <w:p w14:paraId="01DC3F7F" w14:textId="7FB8BD6A" w:rsidR="00E8366E" w:rsidRDefault="00CE002F" w:rsidP="00B31348">
      <w:pPr>
        <w:jc w:val="both"/>
      </w:pPr>
      <w:r>
        <w:t>HER o</w:t>
      </w:r>
      <w:r w:rsidRPr="00E8366E">
        <w:t xml:space="preserve">verpotential </w:t>
      </w:r>
      <w:r w:rsidR="00E8366E" w:rsidRPr="00E8366E">
        <w:t>values</w:t>
      </w:r>
      <w:r>
        <w:t>,</w:t>
      </w:r>
      <w:r w:rsidR="00E8366E" w:rsidRPr="00E8366E">
        <w:t xml:space="preserve"> measured at -5 mA cm</w:t>
      </w:r>
      <w:r w:rsidR="00E8366E" w:rsidRPr="00E8366E">
        <w:rPr>
          <w:vertAlign w:val="superscript"/>
        </w:rPr>
        <w:t>-2</w:t>
      </w:r>
      <w:r w:rsidR="00E8366E" w:rsidRPr="00E8366E">
        <w:t xml:space="preserve"> in 0.1 M HClO</w:t>
      </w:r>
      <w:r w:rsidR="00E8366E" w:rsidRPr="00E8366E">
        <w:rPr>
          <w:vertAlign w:val="subscript"/>
        </w:rPr>
        <w:t>4</w:t>
      </w:r>
      <w:r w:rsidR="00E8366E" w:rsidRPr="00E8366E">
        <w:t xml:space="preserve"> </w:t>
      </w:r>
      <w:r>
        <w:t>and</w:t>
      </w:r>
      <w:r w:rsidRPr="00E8366E">
        <w:t xml:space="preserve"> </w:t>
      </w:r>
      <w:r w:rsidR="00E8366E" w:rsidRPr="00E8366E">
        <w:t>0.1 M KOH</w:t>
      </w:r>
      <w:r>
        <w:t>,</w:t>
      </w:r>
      <w:r w:rsidR="00E8366E" w:rsidRPr="00E8366E">
        <w:t xml:space="preserve"> were taken from </w:t>
      </w:r>
      <w:r w:rsidR="009C18C6">
        <w:t>Danilovic et al</w:t>
      </w:r>
      <w:hyperlink w:anchor="ref-Danilovic2012EnhancingCatalysts">
        <w:r w:rsidR="00E8366E" w:rsidRPr="00E8366E">
          <w:rPr>
            <w:rStyle w:val="Lienhypertexte"/>
            <w:vertAlign w:val="superscript"/>
          </w:rPr>
          <w:t>3</w:t>
        </w:r>
      </w:hyperlink>
      <w:r w:rsidR="00E8366E" w:rsidRPr="00E8366E">
        <w:t xml:space="preserve"> and </w:t>
      </w:r>
      <w:proofErr w:type="spellStart"/>
      <w:r w:rsidR="009C18C6">
        <w:t>Dadallagei</w:t>
      </w:r>
      <w:proofErr w:type="spellEnd"/>
      <w:r w:rsidR="009C18C6">
        <w:t xml:space="preserve"> et al</w:t>
      </w:r>
      <w:hyperlink w:anchor="ref-Sheng2013CorrelatingSurfaces">
        <w:r w:rsidR="00E8366E" w:rsidRPr="00E8366E">
          <w:rPr>
            <w:rStyle w:val="Lienhypertexte"/>
            <w:vertAlign w:val="superscript"/>
          </w:rPr>
          <w:t>18</w:t>
        </w:r>
      </w:hyperlink>
      <w:r w:rsidR="00E8366E" w:rsidRPr="00E8366E">
        <w:t xml:space="preserve">. WF values were taken from </w:t>
      </w:r>
      <w:r w:rsidR="009C18C6">
        <w:t>Sheng et al</w:t>
      </w:r>
      <w:hyperlink w:anchor="ref-Kawano2022EffectiveDependence">
        <w:r w:rsidR="00E8366E" w:rsidRPr="00E8366E">
          <w:rPr>
            <w:rStyle w:val="Lienhypertexte"/>
            <w:vertAlign w:val="superscript"/>
          </w:rPr>
          <w:t>19</w:t>
        </w:r>
      </w:hyperlink>
      <w:r w:rsidR="00E8366E" w:rsidRPr="00E8366E">
        <w:t>.</w:t>
      </w:r>
      <w:r w:rsidR="00E8366E">
        <w:t xml:space="preserve"> </w:t>
      </w:r>
      <w:r w:rsidR="00E8366E">
        <w:rPr>
          <w:lang w:val="en-GB"/>
        </w:rPr>
        <w:t>The polycrystalline materials were considered.</w:t>
      </w:r>
    </w:p>
    <w:tbl>
      <w:tblPr>
        <w:tblStyle w:val="Grilledutableau"/>
        <w:tblW w:w="0" w:type="auto"/>
        <w:tblLook w:val="04A0" w:firstRow="1" w:lastRow="0" w:firstColumn="1" w:lastColumn="0" w:noHBand="0" w:noVBand="1"/>
      </w:tblPr>
      <w:tblGrid>
        <w:gridCol w:w="1956"/>
        <w:gridCol w:w="1923"/>
        <w:gridCol w:w="1974"/>
        <w:gridCol w:w="1946"/>
        <w:gridCol w:w="1832"/>
      </w:tblGrid>
      <w:tr w:rsidR="00BE6883" w14:paraId="076CACDC" w14:textId="54F87D5A" w:rsidTr="00292D9E">
        <w:tc>
          <w:tcPr>
            <w:tcW w:w="1956" w:type="dxa"/>
          </w:tcPr>
          <w:p w14:paraId="39188B3B" w14:textId="77777777" w:rsidR="00BE6883" w:rsidRPr="00175C19" w:rsidRDefault="00BE6883" w:rsidP="005E0973">
            <w:pPr>
              <w:rPr>
                <w:b/>
                <w:bCs/>
                <w:lang w:val="en-GB"/>
              </w:rPr>
            </w:pPr>
            <w:r w:rsidRPr="00175C19">
              <w:rPr>
                <w:b/>
                <w:bCs/>
                <w:lang w:val="en-GB"/>
              </w:rPr>
              <w:t>Metal</w:t>
            </w:r>
          </w:p>
        </w:tc>
        <w:tc>
          <w:tcPr>
            <w:tcW w:w="1923" w:type="dxa"/>
          </w:tcPr>
          <w:p w14:paraId="7DA21E96" w14:textId="70A39084" w:rsidR="00BE6883" w:rsidRPr="00175C19" w:rsidRDefault="00BE6883" w:rsidP="005E0973">
            <w:pPr>
              <w:rPr>
                <w:b/>
                <w:bCs/>
                <w:lang w:val="en-GB"/>
              </w:rPr>
            </w:pPr>
            <w:r w:rsidRPr="00175C19">
              <w:rPr>
                <w:b/>
                <w:bCs/>
                <w:lang w:val="en-GB"/>
              </w:rPr>
              <w:t xml:space="preserve">WF </w:t>
            </w:r>
            <w:r>
              <w:rPr>
                <w:b/>
                <w:bCs/>
                <w:lang w:val="en-GB"/>
              </w:rPr>
              <w:t>(</w:t>
            </w:r>
            <w:r w:rsidRPr="00175C19">
              <w:rPr>
                <w:b/>
                <w:bCs/>
                <w:lang w:val="en-GB"/>
              </w:rPr>
              <w:t>eV</w:t>
            </w:r>
            <w:r>
              <w:rPr>
                <w:b/>
                <w:bCs/>
                <w:lang w:val="en-GB"/>
              </w:rPr>
              <w:t>)</w:t>
            </w:r>
          </w:p>
        </w:tc>
        <w:tc>
          <w:tcPr>
            <w:tcW w:w="1974" w:type="dxa"/>
          </w:tcPr>
          <w:p w14:paraId="4F7C5D9F" w14:textId="32A1801F" w:rsidR="00BE6883" w:rsidRPr="00BE6883" w:rsidRDefault="00BE6883" w:rsidP="005E0973">
            <w:pPr>
              <w:rPr>
                <w:b/>
                <w:bCs/>
                <w:lang w:val="en-GB"/>
              </w:rPr>
            </w:pPr>
            <w:r>
              <w:rPr>
                <w:rFonts w:eastAsiaTheme="minorEastAsia"/>
                <w:b/>
                <w:bCs/>
                <w:lang w:val="en-GB"/>
              </w:rPr>
              <w:t>-</w:t>
            </w:r>
            <m:oMath>
              <m:sSub>
                <m:sSubPr>
                  <m:ctrlPr>
                    <w:rPr>
                      <w:rFonts w:ascii="Cambria Math" w:hAnsi="Cambria Math"/>
                      <w:b/>
                      <w:bCs/>
                      <w:i/>
                      <w:lang w:val="en-GB"/>
                    </w:rPr>
                  </m:ctrlPr>
                </m:sSubPr>
                <m:e>
                  <m:r>
                    <m:rPr>
                      <m:sty m:val="bi"/>
                    </m:rPr>
                    <w:rPr>
                      <w:rFonts w:ascii="Cambria Math" w:eastAsiaTheme="minorEastAsia" w:hAnsi="Cambria Math"/>
                      <w:lang w:val="en-GB"/>
                    </w:rPr>
                    <m:t>η</m:t>
                  </m:r>
                </m:e>
                <m:sub>
                  <m:r>
                    <m:rPr>
                      <m:sty m:val="bi"/>
                    </m:rPr>
                    <w:rPr>
                      <w:rFonts w:ascii="Cambria Math" w:hAnsi="Cambria Math"/>
                      <w:lang w:val="en-GB"/>
                    </w:rPr>
                    <m:t>HCl</m:t>
                  </m:r>
                  <m:sSub>
                    <m:sSubPr>
                      <m:ctrlPr>
                        <w:rPr>
                          <w:rFonts w:ascii="Cambria Math" w:hAnsi="Cambria Math"/>
                          <w:b/>
                          <w:bCs/>
                          <w:i/>
                          <w:lang w:val="en-GB"/>
                        </w:rPr>
                      </m:ctrlPr>
                    </m:sSubPr>
                    <m:e>
                      <m:r>
                        <m:rPr>
                          <m:sty m:val="bi"/>
                        </m:rPr>
                        <w:rPr>
                          <w:rFonts w:ascii="Cambria Math" w:hAnsi="Cambria Math"/>
                          <w:lang w:val="en-GB"/>
                        </w:rPr>
                        <m:t>O</m:t>
                      </m:r>
                    </m:e>
                    <m:sub>
                      <m:r>
                        <m:rPr>
                          <m:sty m:val="bi"/>
                        </m:rPr>
                        <w:rPr>
                          <w:rFonts w:ascii="Cambria Math" w:hAnsi="Cambria Math"/>
                          <w:lang w:val="en-GB"/>
                        </w:rPr>
                        <m:t>4</m:t>
                      </m:r>
                    </m:sub>
                  </m:sSub>
                </m:sub>
              </m:sSub>
            </m:oMath>
            <w:r w:rsidRPr="00175C19">
              <w:rPr>
                <w:rFonts w:eastAsiaTheme="minorEastAsia"/>
                <w:b/>
                <w:bCs/>
                <w:lang w:val="en-GB"/>
              </w:rPr>
              <w:t xml:space="preserve"> </w:t>
            </w:r>
            <w:r>
              <w:rPr>
                <w:rFonts w:eastAsiaTheme="minorEastAsia"/>
                <w:b/>
                <w:bCs/>
                <w:lang w:val="en-GB"/>
              </w:rPr>
              <w:t>(</w:t>
            </w:r>
            <w:r w:rsidRPr="00175C19">
              <w:rPr>
                <w:rFonts w:eastAsiaTheme="minorEastAsia"/>
                <w:b/>
                <w:bCs/>
                <w:lang w:val="en-GB"/>
              </w:rPr>
              <w:t>V</w:t>
            </w:r>
            <w:r>
              <w:rPr>
                <w:rFonts w:eastAsiaTheme="minorEastAsia"/>
                <w:b/>
                <w:bCs/>
                <w:lang w:val="en-GB"/>
              </w:rPr>
              <w:t>)</w:t>
            </w:r>
            <w:r>
              <w:rPr>
                <w:rFonts w:eastAsiaTheme="minorEastAsia"/>
                <w:b/>
                <w:bCs/>
                <w:vertAlign w:val="superscript"/>
                <w:lang w:val="en-GB"/>
              </w:rPr>
              <w:t>3</w:t>
            </w:r>
          </w:p>
        </w:tc>
        <w:tc>
          <w:tcPr>
            <w:tcW w:w="1946" w:type="dxa"/>
          </w:tcPr>
          <w:p w14:paraId="712083C9" w14:textId="2F31DD31" w:rsidR="00BE6883" w:rsidRPr="00BE6883" w:rsidRDefault="00F6356D" w:rsidP="005E0973">
            <w:pPr>
              <w:rPr>
                <w:b/>
                <w:bCs/>
                <w:lang w:val="en-GB"/>
              </w:rPr>
            </w:pPr>
            <w:r>
              <w:rPr>
                <w:rFonts w:eastAsiaTheme="minorEastAsia"/>
                <w:b/>
                <w:bCs/>
                <w:lang w:val="en-GB"/>
              </w:rPr>
              <w:t>-</w:t>
            </w:r>
            <m:oMath>
              <m:sSub>
                <m:sSubPr>
                  <m:ctrlPr>
                    <w:rPr>
                      <w:rFonts w:ascii="Cambria Math" w:hAnsi="Cambria Math"/>
                      <w:b/>
                      <w:bCs/>
                      <w:i/>
                      <w:lang w:val="en-GB"/>
                    </w:rPr>
                  </m:ctrlPr>
                </m:sSubPr>
                <m:e>
                  <m:r>
                    <m:rPr>
                      <m:sty m:val="bi"/>
                    </m:rPr>
                    <w:rPr>
                      <w:rFonts w:ascii="Cambria Math" w:hAnsi="Cambria Math"/>
                      <w:lang w:val="en-GB"/>
                    </w:rPr>
                    <m:t>η</m:t>
                  </m:r>
                </m:e>
                <m:sub>
                  <m:r>
                    <m:rPr>
                      <m:sty m:val="bi"/>
                    </m:rPr>
                    <w:rPr>
                      <w:rFonts w:ascii="Cambria Math" w:hAnsi="Cambria Math"/>
                      <w:lang w:val="en-GB"/>
                    </w:rPr>
                    <m:t>KOH</m:t>
                  </m:r>
                </m:sub>
              </m:sSub>
            </m:oMath>
            <w:r w:rsidR="00BE6883" w:rsidRPr="00175C19">
              <w:rPr>
                <w:rFonts w:eastAsiaTheme="minorEastAsia"/>
                <w:b/>
                <w:bCs/>
                <w:lang w:val="en-GB"/>
              </w:rPr>
              <w:t xml:space="preserve"> </w:t>
            </w:r>
            <w:r w:rsidR="00BE6883">
              <w:rPr>
                <w:rFonts w:eastAsiaTheme="minorEastAsia"/>
                <w:b/>
                <w:bCs/>
                <w:lang w:val="en-GB"/>
              </w:rPr>
              <w:t>(</w:t>
            </w:r>
            <w:r w:rsidR="00BE6883" w:rsidRPr="00175C19">
              <w:rPr>
                <w:rFonts w:eastAsiaTheme="minorEastAsia"/>
                <w:b/>
                <w:bCs/>
                <w:lang w:val="en-GB"/>
              </w:rPr>
              <w:t>V</w:t>
            </w:r>
            <w:r w:rsidR="00BE6883">
              <w:rPr>
                <w:rFonts w:eastAsiaTheme="minorEastAsia"/>
                <w:b/>
                <w:bCs/>
                <w:lang w:val="en-GB"/>
              </w:rPr>
              <w:t>)</w:t>
            </w:r>
            <w:r w:rsidR="00BE6883">
              <w:rPr>
                <w:rFonts w:eastAsiaTheme="minorEastAsia"/>
                <w:b/>
                <w:bCs/>
                <w:vertAlign w:val="superscript"/>
                <w:lang w:val="en-GB"/>
              </w:rPr>
              <w:t>3</w:t>
            </w:r>
          </w:p>
        </w:tc>
        <w:tc>
          <w:tcPr>
            <w:tcW w:w="1832" w:type="dxa"/>
          </w:tcPr>
          <w:p w14:paraId="5BEDBFD5" w14:textId="2AFB1BF0" w:rsidR="00BE6883" w:rsidRPr="00292D9E" w:rsidRDefault="00F6356D" w:rsidP="005E0973">
            <w:pPr>
              <w:rPr>
                <w:rFonts w:ascii="Liberation Serif" w:eastAsia="Times New Roman" w:hAnsi="Liberation Serif" w:cs="Times New Roman"/>
                <w:b/>
                <w:bCs/>
                <w:vertAlign w:val="superscript"/>
                <w:lang w:val="en-GB"/>
              </w:rPr>
            </w:pPr>
            <w:r>
              <w:rPr>
                <w:rFonts w:eastAsiaTheme="minorEastAsia"/>
                <w:b/>
                <w:bCs/>
                <w:lang w:val="en-GB"/>
              </w:rPr>
              <w:t>-</w:t>
            </w:r>
            <m:oMath>
              <m:sSub>
                <m:sSubPr>
                  <m:ctrlPr>
                    <w:rPr>
                      <w:rFonts w:ascii="Cambria Math" w:hAnsi="Cambria Math"/>
                      <w:b/>
                      <w:bCs/>
                      <w:i/>
                      <w:lang w:val="en-GB"/>
                    </w:rPr>
                  </m:ctrlPr>
                </m:sSubPr>
                <m:e>
                  <m:r>
                    <m:rPr>
                      <m:sty m:val="bi"/>
                    </m:rPr>
                    <w:rPr>
                      <w:rFonts w:ascii="Cambria Math" w:hAnsi="Cambria Math"/>
                      <w:lang w:val="en-GB"/>
                    </w:rPr>
                    <m:t>η</m:t>
                  </m:r>
                </m:e>
                <m:sub>
                  <m:r>
                    <m:rPr>
                      <m:sty m:val="bi"/>
                    </m:rPr>
                    <w:rPr>
                      <w:rFonts w:ascii="Cambria Math" w:hAnsi="Cambria Math"/>
                      <w:lang w:val="en-GB"/>
                    </w:rPr>
                    <m:t>KOH</m:t>
                  </m:r>
                </m:sub>
              </m:sSub>
            </m:oMath>
            <w:r w:rsidR="00BE6883" w:rsidRPr="00175C19">
              <w:rPr>
                <w:rFonts w:eastAsiaTheme="minorEastAsia"/>
                <w:b/>
                <w:bCs/>
                <w:lang w:val="en-GB"/>
              </w:rPr>
              <w:t xml:space="preserve"> </w:t>
            </w:r>
            <w:r w:rsidR="00BE6883">
              <w:rPr>
                <w:rFonts w:eastAsiaTheme="minorEastAsia"/>
                <w:b/>
                <w:bCs/>
                <w:lang w:val="en-GB"/>
              </w:rPr>
              <w:t>(</w:t>
            </w:r>
            <w:r w:rsidR="00BE6883" w:rsidRPr="00175C19">
              <w:rPr>
                <w:rFonts w:eastAsiaTheme="minorEastAsia"/>
                <w:b/>
                <w:bCs/>
                <w:lang w:val="en-GB"/>
              </w:rPr>
              <w:t>V</w:t>
            </w:r>
            <w:r w:rsidR="00BE6883">
              <w:rPr>
                <w:rFonts w:eastAsiaTheme="minorEastAsia"/>
                <w:b/>
                <w:bCs/>
                <w:lang w:val="en-GB"/>
              </w:rPr>
              <w:t>)</w:t>
            </w:r>
            <w:r w:rsidR="00BE6883">
              <w:rPr>
                <w:rFonts w:eastAsiaTheme="minorEastAsia"/>
                <w:b/>
                <w:bCs/>
                <w:vertAlign w:val="superscript"/>
                <w:lang w:val="en-GB"/>
              </w:rPr>
              <w:t>18</w:t>
            </w:r>
          </w:p>
        </w:tc>
      </w:tr>
      <w:tr w:rsidR="00BE6883" w14:paraId="76705AFC" w14:textId="4AE53BEC" w:rsidTr="00292D9E">
        <w:tc>
          <w:tcPr>
            <w:tcW w:w="1956" w:type="dxa"/>
          </w:tcPr>
          <w:p w14:paraId="6F302AB1" w14:textId="77777777" w:rsidR="00BE6883" w:rsidRDefault="00BE6883" w:rsidP="005E0973">
            <w:pPr>
              <w:rPr>
                <w:lang w:val="en-GB"/>
              </w:rPr>
            </w:pPr>
            <w:r>
              <w:rPr>
                <w:lang w:val="en-GB"/>
              </w:rPr>
              <w:t>Cu</w:t>
            </w:r>
          </w:p>
        </w:tc>
        <w:tc>
          <w:tcPr>
            <w:tcW w:w="1923" w:type="dxa"/>
          </w:tcPr>
          <w:p w14:paraId="25E2C00A" w14:textId="77777777" w:rsidR="00BE6883" w:rsidRDefault="00BE6883" w:rsidP="005E0973">
            <w:pPr>
              <w:rPr>
                <w:lang w:val="en-GB"/>
              </w:rPr>
            </w:pPr>
            <w:r>
              <w:rPr>
                <w:lang w:val="en-GB"/>
              </w:rPr>
              <w:t>4.51</w:t>
            </w:r>
          </w:p>
        </w:tc>
        <w:tc>
          <w:tcPr>
            <w:tcW w:w="1974" w:type="dxa"/>
          </w:tcPr>
          <w:p w14:paraId="06EDFD4D" w14:textId="4C245AFF" w:rsidR="00BE6883" w:rsidRDefault="00BE6883" w:rsidP="005E0973">
            <w:pPr>
              <w:rPr>
                <w:lang w:val="en-GB"/>
              </w:rPr>
            </w:pPr>
            <w:r>
              <w:rPr>
                <w:lang w:val="en-GB"/>
              </w:rPr>
              <w:t>0.42</w:t>
            </w:r>
          </w:p>
        </w:tc>
        <w:tc>
          <w:tcPr>
            <w:tcW w:w="1946" w:type="dxa"/>
          </w:tcPr>
          <w:p w14:paraId="731B3941" w14:textId="77777777" w:rsidR="00BE6883" w:rsidRDefault="00BE6883" w:rsidP="005E0973">
            <w:pPr>
              <w:rPr>
                <w:lang w:val="en-GB"/>
              </w:rPr>
            </w:pPr>
            <w:r>
              <w:rPr>
                <w:lang w:val="en-GB"/>
              </w:rPr>
              <w:t>0.53</w:t>
            </w:r>
          </w:p>
        </w:tc>
        <w:tc>
          <w:tcPr>
            <w:tcW w:w="1832" w:type="dxa"/>
          </w:tcPr>
          <w:p w14:paraId="5738BC00" w14:textId="54D2F476" w:rsidR="00BE6883" w:rsidRDefault="00BE6883" w:rsidP="005E0973">
            <w:pPr>
              <w:rPr>
                <w:lang w:val="en-GB"/>
              </w:rPr>
            </w:pPr>
            <w:r>
              <w:rPr>
                <w:lang w:val="en-GB"/>
              </w:rPr>
              <w:t>0.60</w:t>
            </w:r>
          </w:p>
        </w:tc>
      </w:tr>
      <w:tr w:rsidR="00BE6883" w14:paraId="4DBBC7D1" w14:textId="36914216" w:rsidTr="00292D9E">
        <w:tc>
          <w:tcPr>
            <w:tcW w:w="1956" w:type="dxa"/>
          </w:tcPr>
          <w:p w14:paraId="4F5F76CC" w14:textId="77777777" w:rsidR="00BE6883" w:rsidRDefault="00BE6883" w:rsidP="005E0973">
            <w:pPr>
              <w:rPr>
                <w:lang w:val="en-GB"/>
              </w:rPr>
            </w:pPr>
            <w:r>
              <w:rPr>
                <w:lang w:val="en-GB"/>
              </w:rPr>
              <w:t>Ag</w:t>
            </w:r>
          </w:p>
        </w:tc>
        <w:tc>
          <w:tcPr>
            <w:tcW w:w="1923" w:type="dxa"/>
          </w:tcPr>
          <w:p w14:paraId="1C5D56B0" w14:textId="77777777" w:rsidR="00BE6883" w:rsidRDefault="00BE6883" w:rsidP="005E0973">
            <w:pPr>
              <w:rPr>
                <w:lang w:val="en-GB"/>
              </w:rPr>
            </w:pPr>
            <w:r>
              <w:rPr>
                <w:lang w:val="en-GB"/>
              </w:rPr>
              <w:t>4.39</w:t>
            </w:r>
          </w:p>
        </w:tc>
        <w:tc>
          <w:tcPr>
            <w:tcW w:w="1974" w:type="dxa"/>
          </w:tcPr>
          <w:p w14:paraId="43D36AF7" w14:textId="05FA129F" w:rsidR="00BE6883" w:rsidRDefault="00BE6883" w:rsidP="005E0973">
            <w:pPr>
              <w:rPr>
                <w:lang w:val="en-GB"/>
              </w:rPr>
            </w:pPr>
            <w:r>
              <w:rPr>
                <w:lang w:val="en-GB"/>
              </w:rPr>
              <w:t>0.40</w:t>
            </w:r>
          </w:p>
        </w:tc>
        <w:tc>
          <w:tcPr>
            <w:tcW w:w="1946" w:type="dxa"/>
          </w:tcPr>
          <w:p w14:paraId="20BB5515" w14:textId="77777777" w:rsidR="00BE6883" w:rsidRDefault="00BE6883" w:rsidP="005E0973">
            <w:pPr>
              <w:rPr>
                <w:lang w:val="en-GB"/>
              </w:rPr>
            </w:pPr>
            <w:r>
              <w:rPr>
                <w:lang w:val="en-GB"/>
              </w:rPr>
              <w:t>0.60</w:t>
            </w:r>
          </w:p>
        </w:tc>
        <w:tc>
          <w:tcPr>
            <w:tcW w:w="1832" w:type="dxa"/>
          </w:tcPr>
          <w:p w14:paraId="7DA12A05" w14:textId="3A1FEA4F" w:rsidR="00BE6883" w:rsidRDefault="00BE6883" w:rsidP="005E0973">
            <w:pPr>
              <w:rPr>
                <w:lang w:val="en-GB"/>
              </w:rPr>
            </w:pPr>
            <w:r>
              <w:rPr>
                <w:lang w:val="en-GB"/>
              </w:rPr>
              <w:t>0.64</w:t>
            </w:r>
          </w:p>
        </w:tc>
      </w:tr>
      <w:tr w:rsidR="00BE6883" w14:paraId="4B46E7E1" w14:textId="2AD5EE77" w:rsidTr="00292D9E">
        <w:tc>
          <w:tcPr>
            <w:tcW w:w="1956" w:type="dxa"/>
          </w:tcPr>
          <w:p w14:paraId="37ED77D1" w14:textId="77777777" w:rsidR="00BE6883" w:rsidRDefault="00BE6883" w:rsidP="005E0973">
            <w:pPr>
              <w:rPr>
                <w:lang w:val="en-GB"/>
              </w:rPr>
            </w:pPr>
            <w:r>
              <w:rPr>
                <w:lang w:val="en-GB"/>
              </w:rPr>
              <w:t>Au</w:t>
            </w:r>
          </w:p>
        </w:tc>
        <w:tc>
          <w:tcPr>
            <w:tcW w:w="1923" w:type="dxa"/>
          </w:tcPr>
          <w:p w14:paraId="2C1A4D11" w14:textId="77777777" w:rsidR="00BE6883" w:rsidRDefault="00BE6883" w:rsidP="005E0973">
            <w:pPr>
              <w:rPr>
                <w:lang w:val="en-GB"/>
              </w:rPr>
            </w:pPr>
            <w:r>
              <w:rPr>
                <w:lang w:val="en-GB"/>
              </w:rPr>
              <w:t>5.30</w:t>
            </w:r>
          </w:p>
        </w:tc>
        <w:tc>
          <w:tcPr>
            <w:tcW w:w="1974" w:type="dxa"/>
          </w:tcPr>
          <w:p w14:paraId="080B4B3D" w14:textId="6E768AC7" w:rsidR="00BE6883" w:rsidRDefault="00BE6883" w:rsidP="005E0973">
            <w:pPr>
              <w:rPr>
                <w:lang w:val="en-GB"/>
              </w:rPr>
            </w:pPr>
            <w:r>
              <w:rPr>
                <w:lang w:val="en-GB"/>
              </w:rPr>
              <w:t>0.33</w:t>
            </w:r>
          </w:p>
        </w:tc>
        <w:tc>
          <w:tcPr>
            <w:tcW w:w="1946" w:type="dxa"/>
          </w:tcPr>
          <w:p w14:paraId="34521045" w14:textId="77777777" w:rsidR="00BE6883" w:rsidRDefault="00BE6883" w:rsidP="005E0973">
            <w:pPr>
              <w:rPr>
                <w:lang w:val="en-GB"/>
              </w:rPr>
            </w:pPr>
            <w:r>
              <w:rPr>
                <w:lang w:val="en-GB"/>
              </w:rPr>
              <w:t>0.62</w:t>
            </w:r>
          </w:p>
        </w:tc>
        <w:tc>
          <w:tcPr>
            <w:tcW w:w="1832" w:type="dxa"/>
          </w:tcPr>
          <w:p w14:paraId="6C2A0D64" w14:textId="16679927" w:rsidR="00BE6883" w:rsidRDefault="00BE6883" w:rsidP="005E0973">
            <w:pPr>
              <w:rPr>
                <w:lang w:val="en-GB"/>
              </w:rPr>
            </w:pPr>
            <w:r>
              <w:rPr>
                <w:lang w:val="en-GB"/>
              </w:rPr>
              <w:t>0.63</w:t>
            </w:r>
          </w:p>
        </w:tc>
      </w:tr>
      <w:tr w:rsidR="00BE6883" w14:paraId="314D4AED" w14:textId="24509E14" w:rsidTr="00292D9E">
        <w:tc>
          <w:tcPr>
            <w:tcW w:w="1956" w:type="dxa"/>
          </w:tcPr>
          <w:p w14:paraId="7A3A8125" w14:textId="77777777" w:rsidR="00BE6883" w:rsidRDefault="00BE6883" w:rsidP="005E0973">
            <w:pPr>
              <w:rPr>
                <w:lang w:val="en-GB"/>
              </w:rPr>
            </w:pPr>
            <w:r>
              <w:rPr>
                <w:lang w:val="en-GB"/>
              </w:rPr>
              <w:t>Ru</w:t>
            </w:r>
          </w:p>
        </w:tc>
        <w:tc>
          <w:tcPr>
            <w:tcW w:w="1923" w:type="dxa"/>
          </w:tcPr>
          <w:p w14:paraId="3179638D" w14:textId="77777777" w:rsidR="00BE6883" w:rsidRDefault="00BE6883" w:rsidP="005E0973">
            <w:pPr>
              <w:rPr>
                <w:lang w:val="en-GB"/>
              </w:rPr>
            </w:pPr>
            <w:r>
              <w:rPr>
                <w:lang w:val="en-GB"/>
              </w:rPr>
              <w:t>4.71</w:t>
            </w:r>
          </w:p>
        </w:tc>
        <w:tc>
          <w:tcPr>
            <w:tcW w:w="1974" w:type="dxa"/>
          </w:tcPr>
          <w:p w14:paraId="18ECDC7C" w14:textId="699DD5AD" w:rsidR="00BE6883" w:rsidRDefault="00BE6883" w:rsidP="005E0973">
            <w:pPr>
              <w:rPr>
                <w:lang w:val="en-GB"/>
              </w:rPr>
            </w:pPr>
            <w:r>
              <w:rPr>
                <w:lang w:val="en-GB"/>
              </w:rPr>
              <w:t>0.18</w:t>
            </w:r>
          </w:p>
        </w:tc>
        <w:tc>
          <w:tcPr>
            <w:tcW w:w="1946" w:type="dxa"/>
          </w:tcPr>
          <w:p w14:paraId="51D346BB" w14:textId="77777777" w:rsidR="00BE6883" w:rsidRDefault="00BE6883" w:rsidP="005E0973">
            <w:pPr>
              <w:rPr>
                <w:lang w:val="en-GB"/>
              </w:rPr>
            </w:pPr>
            <w:r>
              <w:rPr>
                <w:lang w:val="en-GB"/>
              </w:rPr>
              <w:t>0.24</w:t>
            </w:r>
          </w:p>
        </w:tc>
        <w:tc>
          <w:tcPr>
            <w:tcW w:w="1832" w:type="dxa"/>
          </w:tcPr>
          <w:p w14:paraId="43CD3CB5" w14:textId="7D9D75C6" w:rsidR="00BE6883" w:rsidRDefault="00BE6883" w:rsidP="005E0973">
            <w:pPr>
              <w:rPr>
                <w:lang w:val="en-GB"/>
              </w:rPr>
            </w:pPr>
            <w:r>
              <w:rPr>
                <w:lang w:val="en-GB"/>
              </w:rPr>
              <w:t>/</w:t>
            </w:r>
          </w:p>
        </w:tc>
      </w:tr>
      <w:tr w:rsidR="00BE6883" w14:paraId="18B6D8C2" w14:textId="339EC49F" w:rsidTr="00292D9E">
        <w:tc>
          <w:tcPr>
            <w:tcW w:w="1956" w:type="dxa"/>
          </w:tcPr>
          <w:p w14:paraId="7D403B83" w14:textId="77777777" w:rsidR="00BE6883" w:rsidRDefault="00BE6883" w:rsidP="005E0973">
            <w:pPr>
              <w:rPr>
                <w:lang w:val="en-GB"/>
              </w:rPr>
            </w:pPr>
            <w:proofErr w:type="spellStart"/>
            <w:r>
              <w:rPr>
                <w:lang w:val="en-GB"/>
              </w:rPr>
              <w:t>Ir</w:t>
            </w:r>
            <w:proofErr w:type="spellEnd"/>
          </w:p>
        </w:tc>
        <w:tc>
          <w:tcPr>
            <w:tcW w:w="1923" w:type="dxa"/>
          </w:tcPr>
          <w:p w14:paraId="2438137E" w14:textId="77777777" w:rsidR="00BE6883" w:rsidRDefault="00BE6883" w:rsidP="005E0973">
            <w:pPr>
              <w:rPr>
                <w:lang w:val="en-GB"/>
              </w:rPr>
            </w:pPr>
            <w:r>
              <w:rPr>
                <w:lang w:val="en-GB"/>
              </w:rPr>
              <w:t>5.28</w:t>
            </w:r>
          </w:p>
        </w:tc>
        <w:tc>
          <w:tcPr>
            <w:tcW w:w="1974" w:type="dxa"/>
          </w:tcPr>
          <w:p w14:paraId="165088D7" w14:textId="02711E71" w:rsidR="00BE6883" w:rsidRDefault="00BE6883" w:rsidP="005E0973">
            <w:pPr>
              <w:rPr>
                <w:lang w:val="en-GB"/>
              </w:rPr>
            </w:pPr>
            <w:r>
              <w:rPr>
                <w:lang w:val="en-GB"/>
              </w:rPr>
              <w:t>0.02</w:t>
            </w:r>
          </w:p>
        </w:tc>
        <w:tc>
          <w:tcPr>
            <w:tcW w:w="1946" w:type="dxa"/>
          </w:tcPr>
          <w:p w14:paraId="2A9E5F32" w14:textId="77777777" w:rsidR="00BE6883" w:rsidRDefault="00BE6883" w:rsidP="005E0973">
            <w:pPr>
              <w:rPr>
                <w:lang w:val="en-GB"/>
              </w:rPr>
            </w:pPr>
            <w:r>
              <w:rPr>
                <w:lang w:val="en-GB"/>
              </w:rPr>
              <w:t>0.04</w:t>
            </w:r>
          </w:p>
        </w:tc>
        <w:tc>
          <w:tcPr>
            <w:tcW w:w="1832" w:type="dxa"/>
          </w:tcPr>
          <w:p w14:paraId="6CE9CB92" w14:textId="3D57B8A7" w:rsidR="00BE6883" w:rsidRDefault="00BE6883" w:rsidP="005E0973">
            <w:pPr>
              <w:rPr>
                <w:lang w:val="en-GB"/>
              </w:rPr>
            </w:pPr>
            <w:r>
              <w:rPr>
                <w:lang w:val="en-GB"/>
              </w:rPr>
              <w:t>/</w:t>
            </w:r>
          </w:p>
        </w:tc>
      </w:tr>
      <w:tr w:rsidR="00BE6883" w14:paraId="272B99BD" w14:textId="603388A3" w:rsidTr="00292D9E">
        <w:tc>
          <w:tcPr>
            <w:tcW w:w="1956" w:type="dxa"/>
          </w:tcPr>
          <w:p w14:paraId="39A64AEA" w14:textId="77777777" w:rsidR="00BE6883" w:rsidRDefault="00BE6883" w:rsidP="005E0973">
            <w:pPr>
              <w:rPr>
                <w:lang w:val="en-GB"/>
              </w:rPr>
            </w:pPr>
            <w:r>
              <w:rPr>
                <w:lang w:val="en-GB"/>
              </w:rPr>
              <w:t>Pt</w:t>
            </w:r>
          </w:p>
        </w:tc>
        <w:tc>
          <w:tcPr>
            <w:tcW w:w="1923" w:type="dxa"/>
          </w:tcPr>
          <w:p w14:paraId="3B94D4F1" w14:textId="77777777" w:rsidR="00BE6883" w:rsidRDefault="00BE6883" w:rsidP="005E0973">
            <w:pPr>
              <w:rPr>
                <w:lang w:val="en-GB"/>
              </w:rPr>
            </w:pPr>
            <w:r>
              <w:rPr>
                <w:lang w:val="en-GB"/>
              </w:rPr>
              <w:t>5.30</w:t>
            </w:r>
          </w:p>
        </w:tc>
        <w:tc>
          <w:tcPr>
            <w:tcW w:w="1974" w:type="dxa"/>
          </w:tcPr>
          <w:p w14:paraId="57B9E489" w14:textId="02E74699" w:rsidR="00BE6883" w:rsidRDefault="00BE6883" w:rsidP="005E0973">
            <w:pPr>
              <w:rPr>
                <w:lang w:val="en-GB"/>
              </w:rPr>
            </w:pPr>
            <w:r>
              <w:rPr>
                <w:lang w:val="en-GB"/>
              </w:rPr>
              <w:t>0.02</w:t>
            </w:r>
          </w:p>
        </w:tc>
        <w:tc>
          <w:tcPr>
            <w:tcW w:w="1946" w:type="dxa"/>
          </w:tcPr>
          <w:p w14:paraId="11814473" w14:textId="77777777" w:rsidR="00BE6883" w:rsidRDefault="00BE6883" w:rsidP="005E0973">
            <w:pPr>
              <w:rPr>
                <w:lang w:val="en-GB"/>
              </w:rPr>
            </w:pPr>
            <w:r>
              <w:rPr>
                <w:lang w:val="en-GB"/>
              </w:rPr>
              <w:t>0.11</w:t>
            </w:r>
          </w:p>
        </w:tc>
        <w:tc>
          <w:tcPr>
            <w:tcW w:w="1832" w:type="dxa"/>
          </w:tcPr>
          <w:p w14:paraId="340DC4EF" w14:textId="36268880" w:rsidR="00BE6883" w:rsidRDefault="00BE6883" w:rsidP="005E0973">
            <w:pPr>
              <w:rPr>
                <w:lang w:val="en-GB"/>
              </w:rPr>
            </w:pPr>
            <w:r>
              <w:rPr>
                <w:lang w:val="en-GB"/>
              </w:rPr>
              <w:t>0.07</w:t>
            </w:r>
          </w:p>
        </w:tc>
      </w:tr>
      <w:tr w:rsidR="00BE6883" w14:paraId="3918A310" w14:textId="0F48D7FF" w:rsidTr="00292D9E">
        <w:tc>
          <w:tcPr>
            <w:tcW w:w="1956" w:type="dxa"/>
          </w:tcPr>
          <w:p w14:paraId="4EB5B6B5" w14:textId="77777777" w:rsidR="00BE6883" w:rsidRDefault="00BE6883" w:rsidP="005E0973">
            <w:pPr>
              <w:rPr>
                <w:lang w:val="en-GB"/>
              </w:rPr>
            </w:pPr>
            <w:r>
              <w:rPr>
                <w:lang w:val="en-GB"/>
              </w:rPr>
              <w:t>V</w:t>
            </w:r>
          </w:p>
        </w:tc>
        <w:tc>
          <w:tcPr>
            <w:tcW w:w="1923" w:type="dxa"/>
          </w:tcPr>
          <w:p w14:paraId="2C2F2FCC" w14:textId="77777777" w:rsidR="00BE6883" w:rsidRDefault="00BE6883" w:rsidP="005E0973">
            <w:pPr>
              <w:rPr>
                <w:lang w:val="en-GB"/>
              </w:rPr>
            </w:pPr>
            <w:r>
              <w:rPr>
                <w:lang w:val="en-GB"/>
              </w:rPr>
              <w:t>4.10</w:t>
            </w:r>
          </w:p>
        </w:tc>
        <w:tc>
          <w:tcPr>
            <w:tcW w:w="1974" w:type="dxa"/>
          </w:tcPr>
          <w:p w14:paraId="29496A1F" w14:textId="3DA7C605" w:rsidR="00BE6883" w:rsidRDefault="00BE6883" w:rsidP="005E0973">
            <w:pPr>
              <w:rPr>
                <w:lang w:val="en-GB"/>
              </w:rPr>
            </w:pPr>
            <w:r>
              <w:rPr>
                <w:lang w:val="en-GB"/>
              </w:rPr>
              <w:t>0.73</w:t>
            </w:r>
          </w:p>
        </w:tc>
        <w:tc>
          <w:tcPr>
            <w:tcW w:w="1946" w:type="dxa"/>
          </w:tcPr>
          <w:p w14:paraId="0078E5E8" w14:textId="77777777" w:rsidR="00BE6883" w:rsidRDefault="00BE6883" w:rsidP="005E0973">
            <w:pPr>
              <w:rPr>
                <w:lang w:val="en-GB"/>
              </w:rPr>
            </w:pPr>
            <w:r>
              <w:rPr>
                <w:lang w:val="en-GB"/>
              </w:rPr>
              <w:t>0.78</w:t>
            </w:r>
          </w:p>
        </w:tc>
        <w:tc>
          <w:tcPr>
            <w:tcW w:w="1832" w:type="dxa"/>
          </w:tcPr>
          <w:p w14:paraId="78931CF0" w14:textId="5558973F" w:rsidR="00BE6883" w:rsidRDefault="00BE6883" w:rsidP="005E0973">
            <w:pPr>
              <w:rPr>
                <w:lang w:val="en-GB"/>
              </w:rPr>
            </w:pPr>
            <w:r>
              <w:rPr>
                <w:lang w:val="en-GB"/>
              </w:rPr>
              <w:t>/</w:t>
            </w:r>
          </w:p>
        </w:tc>
      </w:tr>
      <w:tr w:rsidR="00BE6883" w14:paraId="46F28707" w14:textId="3ECA1215" w:rsidTr="00292D9E">
        <w:tc>
          <w:tcPr>
            <w:tcW w:w="1956" w:type="dxa"/>
          </w:tcPr>
          <w:p w14:paraId="013475FC" w14:textId="77777777" w:rsidR="00BE6883" w:rsidRDefault="00BE6883" w:rsidP="005E0973">
            <w:pPr>
              <w:rPr>
                <w:lang w:val="en-GB"/>
              </w:rPr>
            </w:pPr>
            <w:proofErr w:type="spellStart"/>
            <w:r>
              <w:rPr>
                <w:lang w:val="en-GB"/>
              </w:rPr>
              <w:t>Ti</w:t>
            </w:r>
            <w:proofErr w:type="spellEnd"/>
          </w:p>
        </w:tc>
        <w:tc>
          <w:tcPr>
            <w:tcW w:w="1923" w:type="dxa"/>
          </w:tcPr>
          <w:p w14:paraId="549EE2F8" w14:textId="77777777" w:rsidR="00BE6883" w:rsidRDefault="00BE6883" w:rsidP="005E0973">
            <w:pPr>
              <w:rPr>
                <w:lang w:val="en-GB"/>
              </w:rPr>
            </w:pPr>
            <w:r>
              <w:rPr>
                <w:lang w:val="en-GB"/>
              </w:rPr>
              <w:t>3.87</w:t>
            </w:r>
          </w:p>
        </w:tc>
        <w:tc>
          <w:tcPr>
            <w:tcW w:w="1974" w:type="dxa"/>
          </w:tcPr>
          <w:p w14:paraId="6E761431" w14:textId="6D49AF92" w:rsidR="00BE6883" w:rsidRDefault="00BE6883" w:rsidP="005E0973">
            <w:pPr>
              <w:rPr>
                <w:lang w:val="en-GB"/>
              </w:rPr>
            </w:pPr>
            <w:r>
              <w:rPr>
                <w:lang w:val="en-GB"/>
              </w:rPr>
              <w:t>0.87</w:t>
            </w:r>
          </w:p>
        </w:tc>
        <w:tc>
          <w:tcPr>
            <w:tcW w:w="1946" w:type="dxa"/>
          </w:tcPr>
          <w:p w14:paraId="42F187C6" w14:textId="77777777" w:rsidR="00BE6883" w:rsidRDefault="00BE6883" w:rsidP="005E0973">
            <w:pPr>
              <w:rPr>
                <w:lang w:val="en-GB"/>
              </w:rPr>
            </w:pPr>
            <w:r>
              <w:rPr>
                <w:lang w:val="en-GB"/>
              </w:rPr>
              <w:t>0.98</w:t>
            </w:r>
          </w:p>
        </w:tc>
        <w:tc>
          <w:tcPr>
            <w:tcW w:w="1832" w:type="dxa"/>
          </w:tcPr>
          <w:p w14:paraId="692482DF" w14:textId="693E88DF" w:rsidR="00BE6883" w:rsidRDefault="00BE6883" w:rsidP="005E0973">
            <w:pPr>
              <w:rPr>
                <w:lang w:val="en-GB"/>
              </w:rPr>
            </w:pPr>
            <w:r>
              <w:rPr>
                <w:lang w:val="en-GB"/>
              </w:rPr>
              <w:t>/</w:t>
            </w:r>
          </w:p>
        </w:tc>
      </w:tr>
      <w:tr w:rsidR="00BE6883" w14:paraId="553A6D49" w14:textId="38BD9DA6" w:rsidTr="00292D9E">
        <w:tc>
          <w:tcPr>
            <w:tcW w:w="1956" w:type="dxa"/>
          </w:tcPr>
          <w:p w14:paraId="6132F80D" w14:textId="77777777" w:rsidR="00BE6883" w:rsidRDefault="00BE6883" w:rsidP="005E0973">
            <w:pPr>
              <w:rPr>
                <w:lang w:val="en-GB"/>
              </w:rPr>
            </w:pPr>
            <w:r>
              <w:rPr>
                <w:lang w:val="en-GB"/>
              </w:rPr>
              <w:t>Ni</w:t>
            </w:r>
          </w:p>
        </w:tc>
        <w:tc>
          <w:tcPr>
            <w:tcW w:w="1923" w:type="dxa"/>
          </w:tcPr>
          <w:p w14:paraId="7B62E2C3" w14:textId="77777777" w:rsidR="00BE6883" w:rsidRDefault="00BE6883" w:rsidP="005E0973">
            <w:pPr>
              <w:rPr>
                <w:lang w:val="en-GB"/>
              </w:rPr>
            </w:pPr>
            <w:r>
              <w:rPr>
                <w:lang w:val="en-GB"/>
              </w:rPr>
              <w:t>5.06</w:t>
            </w:r>
          </w:p>
        </w:tc>
        <w:tc>
          <w:tcPr>
            <w:tcW w:w="1974" w:type="dxa"/>
          </w:tcPr>
          <w:p w14:paraId="1BA23D17" w14:textId="0C748138" w:rsidR="00BE6883" w:rsidRDefault="00BE6883" w:rsidP="005E0973">
            <w:pPr>
              <w:rPr>
                <w:lang w:val="en-GB"/>
              </w:rPr>
            </w:pPr>
            <w:r>
              <w:rPr>
                <w:lang w:val="en-GB"/>
              </w:rPr>
              <w:t>0.27</w:t>
            </w:r>
          </w:p>
        </w:tc>
        <w:tc>
          <w:tcPr>
            <w:tcW w:w="1946" w:type="dxa"/>
          </w:tcPr>
          <w:p w14:paraId="3A0E64B6" w14:textId="77777777" w:rsidR="00BE6883" w:rsidRDefault="00BE6883" w:rsidP="005E0973">
            <w:pPr>
              <w:rPr>
                <w:lang w:val="en-GB"/>
              </w:rPr>
            </w:pPr>
            <w:r>
              <w:rPr>
                <w:lang w:val="en-GB"/>
              </w:rPr>
              <w:t>0.31</w:t>
            </w:r>
          </w:p>
        </w:tc>
        <w:tc>
          <w:tcPr>
            <w:tcW w:w="1832" w:type="dxa"/>
          </w:tcPr>
          <w:p w14:paraId="5D55ADB6" w14:textId="6D78ABFB" w:rsidR="00BE6883" w:rsidRDefault="00BE6883" w:rsidP="005E0973">
            <w:pPr>
              <w:rPr>
                <w:lang w:val="en-GB"/>
              </w:rPr>
            </w:pPr>
            <w:r>
              <w:rPr>
                <w:lang w:val="en-GB"/>
              </w:rPr>
              <w:t>0.33</w:t>
            </w:r>
          </w:p>
        </w:tc>
      </w:tr>
      <w:tr w:rsidR="00BE6883" w14:paraId="794958A3" w14:textId="77777777" w:rsidTr="00BE6883">
        <w:tc>
          <w:tcPr>
            <w:tcW w:w="1956" w:type="dxa"/>
          </w:tcPr>
          <w:p w14:paraId="23D9FB33" w14:textId="18EB8C81" w:rsidR="00BE6883" w:rsidRDefault="00BE6883" w:rsidP="005E0973">
            <w:pPr>
              <w:rPr>
                <w:lang w:val="en-GB"/>
              </w:rPr>
            </w:pPr>
            <w:r>
              <w:rPr>
                <w:lang w:val="en-GB"/>
              </w:rPr>
              <w:t>W</w:t>
            </w:r>
          </w:p>
        </w:tc>
        <w:tc>
          <w:tcPr>
            <w:tcW w:w="1923" w:type="dxa"/>
          </w:tcPr>
          <w:p w14:paraId="7C869E9A" w14:textId="5A6C2750" w:rsidR="00BE6883" w:rsidRDefault="00BE6883" w:rsidP="005E0973">
            <w:pPr>
              <w:rPr>
                <w:lang w:val="en-GB"/>
              </w:rPr>
            </w:pPr>
            <w:r>
              <w:rPr>
                <w:lang w:val="en-GB"/>
              </w:rPr>
              <w:t>4.56</w:t>
            </w:r>
          </w:p>
        </w:tc>
        <w:tc>
          <w:tcPr>
            <w:tcW w:w="1974" w:type="dxa"/>
          </w:tcPr>
          <w:p w14:paraId="537F7A4C" w14:textId="6798CDA1" w:rsidR="00BE6883" w:rsidRDefault="00BE6883" w:rsidP="005E0973">
            <w:pPr>
              <w:rPr>
                <w:lang w:val="en-GB"/>
              </w:rPr>
            </w:pPr>
            <w:r>
              <w:rPr>
                <w:lang w:val="en-GB"/>
              </w:rPr>
              <w:t>/</w:t>
            </w:r>
          </w:p>
        </w:tc>
        <w:tc>
          <w:tcPr>
            <w:tcW w:w="1946" w:type="dxa"/>
          </w:tcPr>
          <w:p w14:paraId="5C83954B" w14:textId="00C61378" w:rsidR="00BE6883" w:rsidRDefault="00BE6883" w:rsidP="005E0973">
            <w:pPr>
              <w:rPr>
                <w:lang w:val="en-GB"/>
              </w:rPr>
            </w:pPr>
            <w:r>
              <w:rPr>
                <w:lang w:val="en-GB"/>
              </w:rPr>
              <w:t>/</w:t>
            </w:r>
          </w:p>
        </w:tc>
        <w:tc>
          <w:tcPr>
            <w:tcW w:w="1832" w:type="dxa"/>
          </w:tcPr>
          <w:p w14:paraId="3F03365D" w14:textId="440CD2E1" w:rsidR="00BE6883" w:rsidRDefault="00BE6883" w:rsidP="005E0973">
            <w:pPr>
              <w:rPr>
                <w:lang w:val="en-GB"/>
              </w:rPr>
            </w:pPr>
            <w:r>
              <w:rPr>
                <w:lang w:val="en-GB"/>
              </w:rPr>
              <w:t>0.44</w:t>
            </w:r>
          </w:p>
        </w:tc>
      </w:tr>
      <w:tr w:rsidR="00BE6883" w14:paraId="58BCE39E" w14:textId="77777777" w:rsidTr="00BE6883">
        <w:tc>
          <w:tcPr>
            <w:tcW w:w="1956" w:type="dxa"/>
          </w:tcPr>
          <w:p w14:paraId="1E060CAA" w14:textId="7EC9A83F" w:rsidR="00BE6883" w:rsidRDefault="00BE6883" w:rsidP="005E0973">
            <w:pPr>
              <w:rPr>
                <w:lang w:val="en-GB"/>
              </w:rPr>
            </w:pPr>
            <w:r>
              <w:rPr>
                <w:lang w:val="en-GB"/>
              </w:rPr>
              <w:t>Co</w:t>
            </w:r>
          </w:p>
        </w:tc>
        <w:tc>
          <w:tcPr>
            <w:tcW w:w="1923" w:type="dxa"/>
          </w:tcPr>
          <w:p w14:paraId="6920A302" w14:textId="708B117F" w:rsidR="00BE6883" w:rsidRDefault="00BE6883" w:rsidP="005E0973">
            <w:pPr>
              <w:rPr>
                <w:lang w:val="en-GB"/>
              </w:rPr>
            </w:pPr>
            <w:r>
              <w:rPr>
                <w:lang w:val="en-GB"/>
              </w:rPr>
              <w:t>4.71</w:t>
            </w:r>
          </w:p>
        </w:tc>
        <w:tc>
          <w:tcPr>
            <w:tcW w:w="1974" w:type="dxa"/>
          </w:tcPr>
          <w:p w14:paraId="241A67FC" w14:textId="316AE60A" w:rsidR="00BE6883" w:rsidRDefault="00BE6883" w:rsidP="005E0973">
            <w:pPr>
              <w:rPr>
                <w:lang w:val="en-GB"/>
              </w:rPr>
            </w:pPr>
            <w:r>
              <w:rPr>
                <w:lang w:val="en-GB"/>
              </w:rPr>
              <w:t>/</w:t>
            </w:r>
          </w:p>
        </w:tc>
        <w:tc>
          <w:tcPr>
            <w:tcW w:w="1946" w:type="dxa"/>
          </w:tcPr>
          <w:p w14:paraId="2413E360" w14:textId="077D160E" w:rsidR="00BE6883" w:rsidRDefault="00BE6883" w:rsidP="005E0973">
            <w:pPr>
              <w:rPr>
                <w:lang w:val="en-GB"/>
              </w:rPr>
            </w:pPr>
            <w:r>
              <w:rPr>
                <w:lang w:val="en-GB"/>
              </w:rPr>
              <w:t>/</w:t>
            </w:r>
          </w:p>
        </w:tc>
        <w:tc>
          <w:tcPr>
            <w:tcW w:w="1832" w:type="dxa"/>
          </w:tcPr>
          <w:p w14:paraId="2A068F86" w14:textId="72862B6C" w:rsidR="00BE6883" w:rsidRDefault="00BE6883" w:rsidP="005E0973">
            <w:pPr>
              <w:rPr>
                <w:lang w:val="en-GB"/>
              </w:rPr>
            </w:pPr>
            <w:r>
              <w:rPr>
                <w:lang w:val="en-GB"/>
              </w:rPr>
              <w:t>0.36</w:t>
            </w:r>
          </w:p>
        </w:tc>
      </w:tr>
      <w:tr w:rsidR="00BE6883" w14:paraId="2239D87B" w14:textId="77777777" w:rsidTr="00BE6883">
        <w:tc>
          <w:tcPr>
            <w:tcW w:w="1956" w:type="dxa"/>
          </w:tcPr>
          <w:p w14:paraId="346EC847" w14:textId="7D798262" w:rsidR="00BE6883" w:rsidRDefault="00BE6883" w:rsidP="005E0973">
            <w:pPr>
              <w:rPr>
                <w:lang w:val="en-GB"/>
              </w:rPr>
            </w:pPr>
            <w:r>
              <w:rPr>
                <w:lang w:val="en-GB"/>
              </w:rPr>
              <w:t>Fe</w:t>
            </w:r>
          </w:p>
        </w:tc>
        <w:tc>
          <w:tcPr>
            <w:tcW w:w="1923" w:type="dxa"/>
          </w:tcPr>
          <w:p w14:paraId="19062556" w14:textId="377EEDF0" w:rsidR="00BE6883" w:rsidRDefault="00BE6883" w:rsidP="005E0973">
            <w:pPr>
              <w:rPr>
                <w:lang w:val="en-GB"/>
              </w:rPr>
            </w:pPr>
            <w:r>
              <w:rPr>
                <w:lang w:val="en-GB"/>
              </w:rPr>
              <w:t>4.55</w:t>
            </w:r>
          </w:p>
        </w:tc>
        <w:tc>
          <w:tcPr>
            <w:tcW w:w="1974" w:type="dxa"/>
          </w:tcPr>
          <w:p w14:paraId="1BD30A0B" w14:textId="1A328DE4" w:rsidR="00BE6883" w:rsidRDefault="00BE6883" w:rsidP="005E0973">
            <w:pPr>
              <w:rPr>
                <w:lang w:val="en-GB"/>
              </w:rPr>
            </w:pPr>
            <w:r>
              <w:rPr>
                <w:lang w:val="en-GB"/>
              </w:rPr>
              <w:t>/</w:t>
            </w:r>
          </w:p>
        </w:tc>
        <w:tc>
          <w:tcPr>
            <w:tcW w:w="1946" w:type="dxa"/>
          </w:tcPr>
          <w:p w14:paraId="0A350B83" w14:textId="7E05E83C" w:rsidR="00BE6883" w:rsidRDefault="00BE6883" w:rsidP="005E0973">
            <w:pPr>
              <w:rPr>
                <w:lang w:val="en-GB"/>
              </w:rPr>
            </w:pPr>
            <w:r>
              <w:rPr>
                <w:lang w:val="en-GB"/>
              </w:rPr>
              <w:t>/</w:t>
            </w:r>
          </w:p>
        </w:tc>
        <w:tc>
          <w:tcPr>
            <w:tcW w:w="1832" w:type="dxa"/>
          </w:tcPr>
          <w:p w14:paraId="300746F4" w14:textId="342A60F1" w:rsidR="00BE6883" w:rsidRDefault="00BE6883" w:rsidP="005E0973">
            <w:pPr>
              <w:rPr>
                <w:lang w:val="en-GB"/>
              </w:rPr>
            </w:pPr>
            <w:r>
              <w:rPr>
                <w:lang w:val="en-GB"/>
              </w:rPr>
              <w:t>0.35</w:t>
            </w:r>
          </w:p>
        </w:tc>
      </w:tr>
      <w:tr w:rsidR="00BE6883" w14:paraId="7813FE65" w14:textId="77777777" w:rsidTr="00BE6883">
        <w:tc>
          <w:tcPr>
            <w:tcW w:w="1956" w:type="dxa"/>
          </w:tcPr>
          <w:p w14:paraId="407DD4DC" w14:textId="4A4B9E32" w:rsidR="00BE6883" w:rsidRDefault="00BE6883" w:rsidP="005E0973">
            <w:pPr>
              <w:rPr>
                <w:lang w:val="en-GB"/>
              </w:rPr>
            </w:pPr>
            <w:r>
              <w:rPr>
                <w:lang w:val="en-GB"/>
              </w:rPr>
              <w:t>Pd</w:t>
            </w:r>
          </w:p>
        </w:tc>
        <w:tc>
          <w:tcPr>
            <w:tcW w:w="1923" w:type="dxa"/>
          </w:tcPr>
          <w:p w14:paraId="365BC7AD" w14:textId="62BF1B60" w:rsidR="00BE6883" w:rsidRDefault="00BE6883" w:rsidP="005E0973">
            <w:pPr>
              <w:rPr>
                <w:lang w:val="en-GB"/>
              </w:rPr>
            </w:pPr>
            <w:r>
              <w:rPr>
                <w:lang w:val="en-GB"/>
              </w:rPr>
              <w:t>5.17</w:t>
            </w:r>
          </w:p>
        </w:tc>
        <w:tc>
          <w:tcPr>
            <w:tcW w:w="1974" w:type="dxa"/>
          </w:tcPr>
          <w:p w14:paraId="7A0803D2" w14:textId="67A079C3" w:rsidR="00BE6883" w:rsidRDefault="00BE6883" w:rsidP="005E0973">
            <w:pPr>
              <w:rPr>
                <w:lang w:val="en-GB"/>
              </w:rPr>
            </w:pPr>
            <w:r>
              <w:rPr>
                <w:lang w:val="en-GB"/>
              </w:rPr>
              <w:t>/</w:t>
            </w:r>
          </w:p>
        </w:tc>
        <w:tc>
          <w:tcPr>
            <w:tcW w:w="1946" w:type="dxa"/>
          </w:tcPr>
          <w:p w14:paraId="20879689" w14:textId="2322BA85" w:rsidR="00BE6883" w:rsidRDefault="00BE6883" w:rsidP="005E0973">
            <w:pPr>
              <w:rPr>
                <w:lang w:val="en-GB"/>
              </w:rPr>
            </w:pPr>
            <w:r>
              <w:rPr>
                <w:lang w:val="en-GB"/>
              </w:rPr>
              <w:t>/</w:t>
            </w:r>
          </w:p>
        </w:tc>
        <w:tc>
          <w:tcPr>
            <w:tcW w:w="1832" w:type="dxa"/>
          </w:tcPr>
          <w:p w14:paraId="0CA6DA5E" w14:textId="39E1745E" w:rsidR="00BE6883" w:rsidRDefault="00BE6883" w:rsidP="005E0973">
            <w:pPr>
              <w:rPr>
                <w:lang w:val="en-GB"/>
              </w:rPr>
            </w:pPr>
            <w:r>
              <w:rPr>
                <w:lang w:val="en-GB"/>
              </w:rPr>
              <w:t>0.31</w:t>
            </w:r>
          </w:p>
        </w:tc>
      </w:tr>
    </w:tbl>
    <w:p w14:paraId="00539870" w14:textId="77777777" w:rsidR="00E8366E" w:rsidRDefault="00E8366E" w:rsidP="00E8366E"/>
    <w:p w14:paraId="066804F5" w14:textId="109A83B1" w:rsidR="00E8366E" w:rsidRDefault="00E8366E" w:rsidP="00E8366E">
      <w:pPr>
        <w:pStyle w:val="Titre2"/>
      </w:pPr>
      <w:r>
        <w:rPr>
          <w:bCs/>
        </w:rPr>
        <w:lastRenderedPageBreak/>
        <w:t xml:space="preserve">Supplementary Table 2: </w:t>
      </w:r>
      <w:r w:rsidR="00CE002F">
        <w:t>HER o</w:t>
      </w:r>
      <w:r w:rsidR="00CE002F" w:rsidRPr="00E8366E">
        <w:t>verpotential</w:t>
      </w:r>
      <w:r w:rsidR="00CE002F" w:rsidRPr="00CE002F">
        <w:t xml:space="preserve"> </w:t>
      </w:r>
      <w:r w:rsidR="00CE002F">
        <w:t>for metal electrodes covered by a thin film of nickel hydroxide</w:t>
      </w:r>
      <w:r>
        <w:t xml:space="preserve"> </w:t>
      </w:r>
    </w:p>
    <w:p w14:paraId="5016F506" w14:textId="13FA7C0B" w:rsidR="00847113" w:rsidRPr="00E8366E" w:rsidRDefault="00CE002F" w:rsidP="00B31348">
      <w:pPr>
        <w:pStyle w:val="Corpsdetexte"/>
        <w:jc w:val="both"/>
      </w:pPr>
      <w:r>
        <w:t>HER o</w:t>
      </w:r>
      <w:r w:rsidRPr="00E8366E">
        <w:t xml:space="preserve">verpotential </w:t>
      </w:r>
      <w:r w:rsidR="00847113" w:rsidRPr="00E8366E">
        <w:t>values</w:t>
      </w:r>
      <w:r>
        <w:t>,</w:t>
      </w:r>
      <w:r w:rsidR="00EF2CD8">
        <w:t xml:space="preserve"> </w:t>
      </w:r>
      <w:r w:rsidR="00847113" w:rsidRPr="00E8366E">
        <w:t>measured at -5 mA cm</w:t>
      </w:r>
      <w:r w:rsidR="00847113" w:rsidRPr="00E8366E">
        <w:rPr>
          <w:vertAlign w:val="superscript"/>
        </w:rPr>
        <w:t>-2</w:t>
      </w:r>
      <w:r w:rsidR="00847113" w:rsidRPr="00E8366E">
        <w:t xml:space="preserve"> in 0.1 M KOH</w:t>
      </w:r>
      <w:r>
        <w:t>,</w:t>
      </w:r>
      <w:r w:rsidR="00847113" w:rsidRPr="00E8366E">
        <w:t xml:space="preserve"> were taken from </w:t>
      </w:r>
      <w:r w:rsidR="009C18C6">
        <w:t>Danilovic et al</w:t>
      </w:r>
      <w:hyperlink w:anchor="ref-Danilovic2012EnhancingCatalysts">
        <w:r w:rsidR="00847113" w:rsidRPr="00E8366E">
          <w:rPr>
            <w:rStyle w:val="Lienhypertexte"/>
            <w:vertAlign w:val="superscript"/>
          </w:rPr>
          <w:t>3</w:t>
        </w:r>
      </w:hyperlink>
      <w:r w:rsidR="00847113" w:rsidRPr="00E8366E">
        <w:t xml:space="preserve">. WF values were taken from </w:t>
      </w:r>
      <w:r w:rsidR="009C18C6">
        <w:t>Sheng et al</w:t>
      </w:r>
      <w:hyperlink w:anchor="ref-Kawano2022EffectiveDependence">
        <w:r w:rsidR="00847113" w:rsidRPr="00E8366E">
          <w:rPr>
            <w:rStyle w:val="Lienhypertexte"/>
            <w:vertAlign w:val="superscript"/>
          </w:rPr>
          <w:t>19</w:t>
        </w:r>
      </w:hyperlink>
      <w:r w:rsidR="00847113" w:rsidRPr="00E8366E">
        <w:t>.</w:t>
      </w:r>
      <w:r w:rsidR="00847113">
        <w:t xml:space="preserve"> </w:t>
      </w:r>
      <w:r w:rsidR="00847113">
        <w:rPr>
          <w:lang w:val="en-GB"/>
        </w:rPr>
        <w:t>The polycrystalline materials were considered.</w:t>
      </w:r>
    </w:p>
    <w:tbl>
      <w:tblPr>
        <w:tblStyle w:val="Grilledutableau"/>
        <w:tblW w:w="9062" w:type="dxa"/>
        <w:tblLook w:val="04A0" w:firstRow="1" w:lastRow="0" w:firstColumn="1" w:lastColumn="0" w:noHBand="0" w:noVBand="1"/>
      </w:tblPr>
      <w:tblGrid>
        <w:gridCol w:w="2265"/>
        <w:gridCol w:w="2265"/>
        <w:gridCol w:w="2266"/>
        <w:gridCol w:w="2266"/>
      </w:tblGrid>
      <w:tr w:rsidR="00847113" w14:paraId="4EEA7E66" w14:textId="77777777" w:rsidTr="00292D9E">
        <w:tc>
          <w:tcPr>
            <w:tcW w:w="2265" w:type="dxa"/>
          </w:tcPr>
          <w:p w14:paraId="5887B5D5" w14:textId="77777777" w:rsidR="00847113" w:rsidRPr="00175C19" w:rsidRDefault="00847113" w:rsidP="00847113">
            <w:pPr>
              <w:rPr>
                <w:b/>
                <w:bCs/>
                <w:lang w:val="en-GB"/>
              </w:rPr>
            </w:pPr>
            <w:bookmarkStart w:id="7" w:name="_Hlk205365527"/>
            <w:r w:rsidRPr="00175C19">
              <w:rPr>
                <w:b/>
                <w:bCs/>
                <w:lang w:val="en-GB"/>
              </w:rPr>
              <w:t>Metal</w:t>
            </w:r>
          </w:p>
        </w:tc>
        <w:tc>
          <w:tcPr>
            <w:tcW w:w="2265" w:type="dxa"/>
          </w:tcPr>
          <w:p w14:paraId="69579953" w14:textId="5CA0060C" w:rsidR="00847113" w:rsidRPr="00175C19" w:rsidRDefault="00847113" w:rsidP="00847113">
            <w:pPr>
              <w:rPr>
                <w:b/>
                <w:bCs/>
                <w:lang w:val="en-GB"/>
              </w:rPr>
            </w:pPr>
            <w:r w:rsidRPr="00175C19">
              <w:rPr>
                <w:b/>
                <w:bCs/>
                <w:lang w:val="en-GB"/>
              </w:rPr>
              <w:t xml:space="preserve">WF </w:t>
            </w:r>
            <w:r>
              <w:rPr>
                <w:b/>
                <w:bCs/>
                <w:lang w:val="en-GB"/>
              </w:rPr>
              <w:t>(</w:t>
            </w:r>
            <w:r w:rsidRPr="00175C19">
              <w:rPr>
                <w:b/>
                <w:bCs/>
                <w:lang w:val="en-GB"/>
              </w:rPr>
              <w:t>eV</w:t>
            </w:r>
            <w:r>
              <w:rPr>
                <w:b/>
                <w:bCs/>
                <w:lang w:val="en-GB"/>
              </w:rPr>
              <w:t>)</w:t>
            </w:r>
          </w:p>
        </w:tc>
        <w:tc>
          <w:tcPr>
            <w:tcW w:w="2266" w:type="dxa"/>
          </w:tcPr>
          <w:p w14:paraId="106E5E08" w14:textId="01EA0527" w:rsidR="00847113" w:rsidRDefault="00F6356D" w:rsidP="00847113">
            <w:pPr>
              <w:rPr>
                <w:rFonts w:ascii="Liberation Serif" w:eastAsia="Times New Roman" w:hAnsi="Liberation Serif" w:cs="Times New Roman"/>
                <w:b/>
                <w:lang w:val="en-GB"/>
              </w:rPr>
            </w:pPr>
            <w:r>
              <w:rPr>
                <w:rFonts w:eastAsiaTheme="minorEastAsia"/>
                <w:b/>
                <w:bCs/>
                <w:lang w:val="en-GB"/>
              </w:rPr>
              <w:t>-</w:t>
            </w:r>
            <m:oMath>
              <m:sSub>
                <m:sSubPr>
                  <m:ctrlPr>
                    <w:rPr>
                      <w:rFonts w:ascii="Cambria Math" w:hAnsi="Cambria Math"/>
                      <w:b/>
                      <w:bCs/>
                      <w:i/>
                      <w:lang w:val="en-GB"/>
                    </w:rPr>
                  </m:ctrlPr>
                </m:sSubPr>
                <m:e>
                  <m:r>
                    <m:rPr>
                      <m:sty m:val="bi"/>
                    </m:rPr>
                    <w:rPr>
                      <w:rFonts w:ascii="Cambria Math" w:hAnsi="Cambria Math"/>
                      <w:lang w:val="en-GB"/>
                    </w:rPr>
                    <m:t>η</m:t>
                  </m:r>
                </m:e>
                <m:sub>
                  <m:r>
                    <m:rPr>
                      <m:sty m:val="bi"/>
                    </m:rPr>
                    <w:rPr>
                      <w:rFonts w:ascii="Cambria Math" w:hAnsi="Cambria Math"/>
                      <w:lang w:val="en-GB"/>
                    </w:rPr>
                    <m:t>bare</m:t>
                  </m:r>
                </m:sub>
              </m:sSub>
            </m:oMath>
            <w:r w:rsidR="00847113" w:rsidRPr="00175C19">
              <w:rPr>
                <w:rFonts w:eastAsiaTheme="minorEastAsia"/>
                <w:b/>
                <w:bCs/>
                <w:lang w:val="en-GB"/>
              </w:rPr>
              <w:t xml:space="preserve"> </w:t>
            </w:r>
            <w:r w:rsidR="00847113">
              <w:rPr>
                <w:rFonts w:eastAsiaTheme="minorEastAsia"/>
                <w:b/>
                <w:bCs/>
                <w:lang w:val="en-GB"/>
              </w:rPr>
              <w:t>(</w:t>
            </w:r>
            <w:r w:rsidR="00847113" w:rsidRPr="00175C19">
              <w:rPr>
                <w:rFonts w:eastAsiaTheme="minorEastAsia"/>
                <w:b/>
                <w:bCs/>
                <w:lang w:val="en-GB"/>
              </w:rPr>
              <w:t>V</w:t>
            </w:r>
            <w:r w:rsidR="00847113">
              <w:rPr>
                <w:rFonts w:eastAsiaTheme="minorEastAsia"/>
                <w:b/>
                <w:bCs/>
                <w:lang w:val="en-GB"/>
              </w:rPr>
              <w:t>)</w:t>
            </w:r>
          </w:p>
        </w:tc>
        <w:tc>
          <w:tcPr>
            <w:tcW w:w="2266" w:type="dxa"/>
          </w:tcPr>
          <w:p w14:paraId="60A1E309" w14:textId="6C3B2FE8" w:rsidR="00847113" w:rsidRPr="00175C19" w:rsidRDefault="00F6356D" w:rsidP="00847113">
            <w:pPr>
              <w:rPr>
                <w:b/>
                <w:bCs/>
                <w:lang w:val="en-GB"/>
              </w:rPr>
            </w:pPr>
            <w:r>
              <w:rPr>
                <w:rFonts w:ascii="Liberation Serif" w:eastAsia="Times New Roman" w:hAnsi="Liberation Serif" w:cs="Times New Roman"/>
                <w:b/>
                <w:bCs/>
                <w:lang w:val="en-GB"/>
              </w:rPr>
              <w:t>-</w:t>
            </w:r>
            <m:oMath>
              <m:sSub>
                <m:sSubPr>
                  <m:ctrlPr>
                    <w:rPr>
                      <w:rFonts w:ascii="Cambria Math" w:hAnsi="Cambria Math"/>
                      <w:b/>
                      <w:bCs/>
                      <w:i/>
                      <w:lang w:val="en-GB"/>
                    </w:rPr>
                  </m:ctrlPr>
                </m:sSubPr>
                <m:e>
                  <m:r>
                    <m:rPr>
                      <m:sty m:val="bi"/>
                    </m:rPr>
                    <w:rPr>
                      <w:rFonts w:ascii="Cambria Math" w:hAnsi="Cambria Math"/>
                      <w:lang w:val="en-GB"/>
                    </w:rPr>
                    <m:t>η</m:t>
                  </m:r>
                </m:e>
                <m:sub>
                  <m:r>
                    <m:rPr>
                      <m:sty m:val="p"/>
                    </m:rPr>
                    <w:rPr>
                      <w:rFonts w:ascii="Cambria Math" w:hAnsi="Cambria Math"/>
                      <w:lang w:val="fr-FR"/>
                    </w:rPr>
                    <m:t xml:space="preserve">Ni(OH)2 </m:t>
                  </m:r>
                </m:sub>
              </m:sSub>
            </m:oMath>
            <w:r w:rsidR="00847113" w:rsidRPr="00175C19">
              <w:rPr>
                <w:rFonts w:eastAsiaTheme="minorEastAsia"/>
                <w:b/>
                <w:bCs/>
                <w:lang w:val="en-GB"/>
              </w:rPr>
              <w:t xml:space="preserve"> </w:t>
            </w:r>
            <w:r w:rsidR="00847113">
              <w:rPr>
                <w:rFonts w:eastAsiaTheme="minorEastAsia"/>
                <w:b/>
                <w:bCs/>
                <w:lang w:val="en-GB"/>
              </w:rPr>
              <w:t>(</w:t>
            </w:r>
            <w:r w:rsidR="00847113" w:rsidRPr="00175C19">
              <w:rPr>
                <w:rFonts w:eastAsiaTheme="minorEastAsia"/>
                <w:b/>
                <w:bCs/>
                <w:lang w:val="en-GB"/>
              </w:rPr>
              <w:t>V</w:t>
            </w:r>
            <w:r w:rsidR="00847113">
              <w:rPr>
                <w:rFonts w:eastAsiaTheme="minorEastAsia"/>
                <w:b/>
                <w:bCs/>
                <w:lang w:val="en-GB"/>
              </w:rPr>
              <w:t>)</w:t>
            </w:r>
          </w:p>
        </w:tc>
      </w:tr>
      <w:tr w:rsidR="00847113" w14:paraId="3D565417" w14:textId="77777777" w:rsidTr="00292D9E">
        <w:tc>
          <w:tcPr>
            <w:tcW w:w="2265" w:type="dxa"/>
          </w:tcPr>
          <w:p w14:paraId="14FFF183" w14:textId="77777777" w:rsidR="00847113" w:rsidRDefault="00847113" w:rsidP="00847113">
            <w:pPr>
              <w:rPr>
                <w:lang w:val="en-GB"/>
              </w:rPr>
            </w:pPr>
            <w:r>
              <w:rPr>
                <w:lang w:val="en-GB"/>
              </w:rPr>
              <w:t>Cu</w:t>
            </w:r>
          </w:p>
        </w:tc>
        <w:tc>
          <w:tcPr>
            <w:tcW w:w="2265" w:type="dxa"/>
          </w:tcPr>
          <w:p w14:paraId="39E0FBFE" w14:textId="77777777" w:rsidR="00847113" w:rsidRDefault="00847113" w:rsidP="00847113">
            <w:pPr>
              <w:rPr>
                <w:lang w:val="en-GB"/>
              </w:rPr>
            </w:pPr>
            <w:r>
              <w:rPr>
                <w:lang w:val="en-GB"/>
              </w:rPr>
              <w:t>4.51</w:t>
            </w:r>
          </w:p>
        </w:tc>
        <w:tc>
          <w:tcPr>
            <w:tcW w:w="2266" w:type="dxa"/>
          </w:tcPr>
          <w:p w14:paraId="03261F9B" w14:textId="01F5063D" w:rsidR="00847113" w:rsidRDefault="00847113" w:rsidP="00847113">
            <w:pPr>
              <w:rPr>
                <w:lang w:val="en-GB"/>
              </w:rPr>
            </w:pPr>
            <w:r>
              <w:rPr>
                <w:lang w:val="en-GB"/>
              </w:rPr>
              <w:t>0.53</w:t>
            </w:r>
          </w:p>
        </w:tc>
        <w:tc>
          <w:tcPr>
            <w:tcW w:w="2266" w:type="dxa"/>
          </w:tcPr>
          <w:p w14:paraId="07300B1B" w14:textId="73FDE6A9" w:rsidR="00847113" w:rsidRDefault="00847113" w:rsidP="00847113">
            <w:pPr>
              <w:rPr>
                <w:lang w:val="en-GB"/>
              </w:rPr>
            </w:pPr>
            <w:r>
              <w:rPr>
                <w:lang w:val="en-GB"/>
              </w:rPr>
              <w:t>0.44</w:t>
            </w:r>
          </w:p>
        </w:tc>
      </w:tr>
      <w:tr w:rsidR="00847113" w14:paraId="27B1BF09" w14:textId="77777777" w:rsidTr="00292D9E">
        <w:tc>
          <w:tcPr>
            <w:tcW w:w="2265" w:type="dxa"/>
          </w:tcPr>
          <w:p w14:paraId="33E4CB40" w14:textId="77777777" w:rsidR="00847113" w:rsidRDefault="00847113" w:rsidP="00847113">
            <w:pPr>
              <w:rPr>
                <w:lang w:val="en-GB"/>
              </w:rPr>
            </w:pPr>
            <w:r>
              <w:rPr>
                <w:lang w:val="en-GB"/>
              </w:rPr>
              <w:t>Ag</w:t>
            </w:r>
          </w:p>
        </w:tc>
        <w:tc>
          <w:tcPr>
            <w:tcW w:w="2265" w:type="dxa"/>
          </w:tcPr>
          <w:p w14:paraId="6B56285E" w14:textId="77777777" w:rsidR="00847113" w:rsidRDefault="00847113" w:rsidP="00847113">
            <w:pPr>
              <w:rPr>
                <w:lang w:val="en-GB"/>
              </w:rPr>
            </w:pPr>
            <w:r>
              <w:rPr>
                <w:lang w:val="en-GB"/>
              </w:rPr>
              <w:t>4.39</w:t>
            </w:r>
          </w:p>
        </w:tc>
        <w:tc>
          <w:tcPr>
            <w:tcW w:w="2266" w:type="dxa"/>
          </w:tcPr>
          <w:p w14:paraId="0AC465DF" w14:textId="2FFD003E" w:rsidR="00847113" w:rsidRDefault="00847113" w:rsidP="00847113">
            <w:pPr>
              <w:rPr>
                <w:lang w:val="en-GB"/>
              </w:rPr>
            </w:pPr>
            <w:r>
              <w:rPr>
                <w:lang w:val="en-GB"/>
              </w:rPr>
              <w:t>0.60</w:t>
            </w:r>
          </w:p>
        </w:tc>
        <w:tc>
          <w:tcPr>
            <w:tcW w:w="2266" w:type="dxa"/>
          </w:tcPr>
          <w:p w14:paraId="6357A159" w14:textId="794FF6AD" w:rsidR="00847113" w:rsidRDefault="00847113" w:rsidP="00847113">
            <w:pPr>
              <w:rPr>
                <w:lang w:val="en-GB"/>
              </w:rPr>
            </w:pPr>
            <w:r>
              <w:rPr>
                <w:lang w:val="en-GB"/>
              </w:rPr>
              <w:t>0.42</w:t>
            </w:r>
          </w:p>
        </w:tc>
      </w:tr>
      <w:tr w:rsidR="00847113" w14:paraId="568895D0" w14:textId="77777777" w:rsidTr="00292D9E">
        <w:tc>
          <w:tcPr>
            <w:tcW w:w="2265" w:type="dxa"/>
          </w:tcPr>
          <w:p w14:paraId="68FA955B" w14:textId="77777777" w:rsidR="00847113" w:rsidRDefault="00847113" w:rsidP="00847113">
            <w:pPr>
              <w:rPr>
                <w:lang w:val="en-GB"/>
              </w:rPr>
            </w:pPr>
            <w:r>
              <w:rPr>
                <w:lang w:val="en-GB"/>
              </w:rPr>
              <w:t>Au</w:t>
            </w:r>
          </w:p>
        </w:tc>
        <w:tc>
          <w:tcPr>
            <w:tcW w:w="2265" w:type="dxa"/>
          </w:tcPr>
          <w:p w14:paraId="7040C322" w14:textId="77777777" w:rsidR="00847113" w:rsidRDefault="00847113" w:rsidP="00847113">
            <w:pPr>
              <w:rPr>
                <w:lang w:val="en-GB"/>
              </w:rPr>
            </w:pPr>
            <w:r>
              <w:rPr>
                <w:lang w:val="en-GB"/>
              </w:rPr>
              <w:t>5.30</w:t>
            </w:r>
          </w:p>
        </w:tc>
        <w:tc>
          <w:tcPr>
            <w:tcW w:w="2266" w:type="dxa"/>
          </w:tcPr>
          <w:p w14:paraId="206F27B7" w14:textId="17FF1934" w:rsidR="00847113" w:rsidRDefault="00847113" w:rsidP="00847113">
            <w:pPr>
              <w:rPr>
                <w:lang w:val="en-GB"/>
              </w:rPr>
            </w:pPr>
            <w:r>
              <w:rPr>
                <w:lang w:val="en-GB"/>
              </w:rPr>
              <w:t>0.62</w:t>
            </w:r>
          </w:p>
        </w:tc>
        <w:tc>
          <w:tcPr>
            <w:tcW w:w="2266" w:type="dxa"/>
          </w:tcPr>
          <w:p w14:paraId="7F8AF1F3" w14:textId="0364AECC" w:rsidR="00847113" w:rsidRDefault="00847113" w:rsidP="00847113">
            <w:pPr>
              <w:rPr>
                <w:lang w:val="en-GB"/>
              </w:rPr>
            </w:pPr>
            <w:r>
              <w:rPr>
                <w:lang w:val="en-GB"/>
              </w:rPr>
              <w:t>0.38</w:t>
            </w:r>
          </w:p>
        </w:tc>
      </w:tr>
      <w:tr w:rsidR="00847113" w14:paraId="5AB346BA" w14:textId="77777777" w:rsidTr="00292D9E">
        <w:tc>
          <w:tcPr>
            <w:tcW w:w="2265" w:type="dxa"/>
          </w:tcPr>
          <w:p w14:paraId="50E8299F" w14:textId="77777777" w:rsidR="00847113" w:rsidRDefault="00847113" w:rsidP="00847113">
            <w:pPr>
              <w:rPr>
                <w:lang w:val="en-GB"/>
              </w:rPr>
            </w:pPr>
            <w:r>
              <w:rPr>
                <w:lang w:val="en-GB"/>
              </w:rPr>
              <w:t>Ru</w:t>
            </w:r>
          </w:p>
        </w:tc>
        <w:tc>
          <w:tcPr>
            <w:tcW w:w="2265" w:type="dxa"/>
          </w:tcPr>
          <w:p w14:paraId="7591A987" w14:textId="77777777" w:rsidR="00847113" w:rsidRDefault="00847113" w:rsidP="00847113">
            <w:pPr>
              <w:rPr>
                <w:lang w:val="en-GB"/>
              </w:rPr>
            </w:pPr>
            <w:r>
              <w:rPr>
                <w:lang w:val="en-GB"/>
              </w:rPr>
              <w:t>4.71</w:t>
            </w:r>
          </w:p>
        </w:tc>
        <w:tc>
          <w:tcPr>
            <w:tcW w:w="2266" w:type="dxa"/>
          </w:tcPr>
          <w:p w14:paraId="0F4F7515" w14:textId="30769FBB" w:rsidR="00847113" w:rsidRDefault="00847113" w:rsidP="00847113">
            <w:pPr>
              <w:rPr>
                <w:lang w:val="en-GB"/>
              </w:rPr>
            </w:pPr>
            <w:r>
              <w:rPr>
                <w:lang w:val="en-GB"/>
              </w:rPr>
              <w:t>0.24</w:t>
            </w:r>
          </w:p>
        </w:tc>
        <w:tc>
          <w:tcPr>
            <w:tcW w:w="2266" w:type="dxa"/>
          </w:tcPr>
          <w:p w14:paraId="7021880A" w14:textId="356259B9" w:rsidR="00847113" w:rsidRDefault="00847113" w:rsidP="00847113">
            <w:pPr>
              <w:rPr>
                <w:lang w:val="en-GB"/>
              </w:rPr>
            </w:pPr>
            <w:r>
              <w:rPr>
                <w:lang w:val="en-GB"/>
              </w:rPr>
              <w:t>0.22</w:t>
            </w:r>
          </w:p>
        </w:tc>
      </w:tr>
      <w:tr w:rsidR="00847113" w14:paraId="3744D865" w14:textId="77777777" w:rsidTr="00292D9E">
        <w:tc>
          <w:tcPr>
            <w:tcW w:w="2265" w:type="dxa"/>
          </w:tcPr>
          <w:p w14:paraId="2AAD4336" w14:textId="77777777" w:rsidR="00847113" w:rsidRDefault="00847113" w:rsidP="00847113">
            <w:pPr>
              <w:rPr>
                <w:lang w:val="en-GB"/>
              </w:rPr>
            </w:pPr>
            <w:proofErr w:type="spellStart"/>
            <w:r>
              <w:rPr>
                <w:lang w:val="en-GB"/>
              </w:rPr>
              <w:t>Ir</w:t>
            </w:r>
            <w:proofErr w:type="spellEnd"/>
          </w:p>
        </w:tc>
        <w:tc>
          <w:tcPr>
            <w:tcW w:w="2265" w:type="dxa"/>
          </w:tcPr>
          <w:p w14:paraId="53F828D6" w14:textId="77777777" w:rsidR="00847113" w:rsidRDefault="00847113" w:rsidP="00847113">
            <w:pPr>
              <w:rPr>
                <w:lang w:val="en-GB"/>
              </w:rPr>
            </w:pPr>
            <w:r>
              <w:rPr>
                <w:lang w:val="en-GB"/>
              </w:rPr>
              <w:t>5.28</w:t>
            </w:r>
          </w:p>
        </w:tc>
        <w:tc>
          <w:tcPr>
            <w:tcW w:w="2266" w:type="dxa"/>
          </w:tcPr>
          <w:p w14:paraId="44146C3F" w14:textId="51DA997B" w:rsidR="00847113" w:rsidRDefault="00847113" w:rsidP="00847113">
            <w:pPr>
              <w:rPr>
                <w:lang w:val="en-GB"/>
              </w:rPr>
            </w:pPr>
            <w:r>
              <w:rPr>
                <w:lang w:val="en-GB"/>
              </w:rPr>
              <w:t>0.04</w:t>
            </w:r>
          </w:p>
        </w:tc>
        <w:tc>
          <w:tcPr>
            <w:tcW w:w="2266" w:type="dxa"/>
          </w:tcPr>
          <w:p w14:paraId="724378C0" w14:textId="34B5B9EB" w:rsidR="00847113" w:rsidRDefault="00847113" w:rsidP="00847113">
            <w:pPr>
              <w:rPr>
                <w:lang w:val="en-GB"/>
              </w:rPr>
            </w:pPr>
            <w:r>
              <w:rPr>
                <w:lang w:val="en-GB"/>
              </w:rPr>
              <w:t>0.02</w:t>
            </w:r>
          </w:p>
        </w:tc>
      </w:tr>
      <w:tr w:rsidR="00847113" w14:paraId="3543823B" w14:textId="77777777" w:rsidTr="00292D9E">
        <w:tc>
          <w:tcPr>
            <w:tcW w:w="2265" w:type="dxa"/>
          </w:tcPr>
          <w:p w14:paraId="672E635F" w14:textId="77777777" w:rsidR="00847113" w:rsidRDefault="00847113" w:rsidP="00847113">
            <w:pPr>
              <w:rPr>
                <w:lang w:val="en-GB"/>
              </w:rPr>
            </w:pPr>
            <w:r>
              <w:rPr>
                <w:lang w:val="en-GB"/>
              </w:rPr>
              <w:t>Pt</w:t>
            </w:r>
          </w:p>
        </w:tc>
        <w:tc>
          <w:tcPr>
            <w:tcW w:w="2265" w:type="dxa"/>
          </w:tcPr>
          <w:p w14:paraId="79A714B1" w14:textId="77777777" w:rsidR="00847113" w:rsidRDefault="00847113" w:rsidP="00847113">
            <w:pPr>
              <w:rPr>
                <w:lang w:val="en-GB"/>
              </w:rPr>
            </w:pPr>
            <w:r>
              <w:rPr>
                <w:lang w:val="en-GB"/>
              </w:rPr>
              <w:t>5.30</w:t>
            </w:r>
          </w:p>
        </w:tc>
        <w:tc>
          <w:tcPr>
            <w:tcW w:w="2266" w:type="dxa"/>
          </w:tcPr>
          <w:p w14:paraId="5EC2CB11" w14:textId="4A3EE7A3" w:rsidR="00847113" w:rsidRDefault="00847113" w:rsidP="00847113">
            <w:pPr>
              <w:rPr>
                <w:lang w:val="en-GB"/>
              </w:rPr>
            </w:pPr>
            <w:r>
              <w:rPr>
                <w:lang w:val="en-GB"/>
              </w:rPr>
              <w:t>0.11</w:t>
            </w:r>
          </w:p>
        </w:tc>
        <w:tc>
          <w:tcPr>
            <w:tcW w:w="2266" w:type="dxa"/>
          </w:tcPr>
          <w:p w14:paraId="19D1BAB2" w14:textId="7CC228DC" w:rsidR="00847113" w:rsidRDefault="00847113" w:rsidP="00847113">
            <w:pPr>
              <w:rPr>
                <w:lang w:val="en-GB"/>
              </w:rPr>
            </w:pPr>
            <w:r>
              <w:rPr>
                <w:lang w:val="en-GB"/>
              </w:rPr>
              <w:t>0.04</w:t>
            </w:r>
          </w:p>
        </w:tc>
      </w:tr>
      <w:tr w:rsidR="00847113" w14:paraId="41381237" w14:textId="77777777" w:rsidTr="00292D9E">
        <w:tc>
          <w:tcPr>
            <w:tcW w:w="2265" w:type="dxa"/>
          </w:tcPr>
          <w:p w14:paraId="79E7DD55" w14:textId="77777777" w:rsidR="00847113" w:rsidRDefault="00847113" w:rsidP="00847113">
            <w:pPr>
              <w:rPr>
                <w:lang w:val="en-GB"/>
              </w:rPr>
            </w:pPr>
            <w:r>
              <w:rPr>
                <w:lang w:val="en-GB"/>
              </w:rPr>
              <w:t>V</w:t>
            </w:r>
          </w:p>
        </w:tc>
        <w:tc>
          <w:tcPr>
            <w:tcW w:w="2265" w:type="dxa"/>
          </w:tcPr>
          <w:p w14:paraId="4F230628" w14:textId="77777777" w:rsidR="00847113" w:rsidRDefault="00847113" w:rsidP="00847113">
            <w:pPr>
              <w:rPr>
                <w:lang w:val="en-GB"/>
              </w:rPr>
            </w:pPr>
            <w:r>
              <w:rPr>
                <w:lang w:val="en-GB"/>
              </w:rPr>
              <w:t>4.10</w:t>
            </w:r>
          </w:p>
        </w:tc>
        <w:tc>
          <w:tcPr>
            <w:tcW w:w="2266" w:type="dxa"/>
          </w:tcPr>
          <w:p w14:paraId="65ED0CDD" w14:textId="6A493DE4" w:rsidR="00847113" w:rsidRDefault="00847113" w:rsidP="00847113">
            <w:pPr>
              <w:rPr>
                <w:lang w:val="en-GB"/>
              </w:rPr>
            </w:pPr>
            <w:r>
              <w:rPr>
                <w:lang w:val="en-GB"/>
              </w:rPr>
              <w:t>0.78</w:t>
            </w:r>
          </w:p>
        </w:tc>
        <w:tc>
          <w:tcPr>
            <w:tcW w:w="2266" w:type="dxa"/>
          </w:tcPr>
          <w:p w14:paraId="0DB0052D" w14:textId="033F1D85" w:rsidR="00847113" w:rsidRDefault="00847113" w:rsidP="00847113">
            <w:pPr>
              <w:rPr>
                <w:lang w:val="en-GB"/>
              </w:rPr>
            </w:pPr>
            <w:r>
              <w:rPr>
                <w:lang w:val="en-GB"/>
              </w:rPr>
              <w:t>0.56</w:t>
            </w:r>
          </w:p>
        </w:tc>
      </w:tr>
      <w:tr w:rsidR="00847113" w14:paraId="00DD356F" w14:textId="77777777" w:rsidTr="00292D9E">
        <w:tc>
          <w:tcPr>
            <w:tcW w:w="2265" w:type="dxa"/>
          </w:tcPr>
          <w:p w14:paraId="1F1F9037" w14:textId="77777777" w:rsidR="00847113" w:rsidRDefault="00847113" w:rsidP="00847113">
            <w:pPr>
              <w:rPr>
                <w:lang w:val="en-GB"/>
              </w:rPr>
            </w:pPr>
            <w:proofErr w:type="spellStart"/>
            <w:r>
              <w:rPr>
                <w:lang w:val="en-GB"/>
              </w:rPr>
              <w:t>Ti</w:t>
            </w:r>
            <w:proofErr w:type="spellEnd"/>
          </w:p>
        </w:tc>
        <w:tc>
          <w:tcPr>
            <w:tcW w:w="2265" w:type="dxa"/>
          </w:tcPr>
          <w:p w14:paraId="18EC455B" w14:textId="77777777" w:rsidR="00847113" w:rsidRDefault="00847113" w:rsidP="00847113">
            <w:pPr>
              <w:rPr>
                <w:lang w:val="en-GB"/>
              </w:rPr>
            </w:pPr>
            <w:r>
              <w:rPr>
                <w:lang w:val="en-GB"/>
              </w:rPr>
              <w:t>3.87</w:t>
            </w:r>
          </w:p>
        </w:tc>
        <w:tc>
          <w:tcPr>
            <w:tcW w:w="2266" w:type="dxa"/>
          </w:tcPr>
          <w:p w14:paraId="4C5B0C9B" w14:textId="16D84054" w:rsidR="00847113" w:rsidRDefault="00847113" w:rsidP="00847113">
            <w:pPr>
              <w:rPr>
                <w:lang w:val="en-GB"/>
              </w:rPr>
            </w:pPr>
            <w:r>
              <w:rPr>
                <w:lang w:val="en-GB"/>
              </w:rPr>
              <w:t>0.98</w:t>
            </w:r>
          </w:p>
        </w:tc>
        <w:tc>
          <w:tcPr>
            <w:tcW w:w="2266" w:type="dxa"/>
          </w:tcPr>
          <w:p w14:paraId="3B2D7074" w14:textId="5921F515" w:rsidR="00847113" w:rsidRDefault="00847113" w:rsidP="00847113">
            <w:pPr>
              <w:rPr>
                <w:lang w:val="en-GB"/>
              </w:rPr>
            </w:pPr>
            <w:r>
              <w:rPr>
                <w:lang w:val="en-GB"/>
              </w:rPr>
              <w:t>0.60</w:t>
            </w:r>
          </w:p>
        </w:tc>
      </w:tr>
      <w:tr w:rsidR="00847113" w14:paraId="397B9DC4" w14:textId="77777777" w:rsidTr="00292D9E">
        <w:tc>
          <w:tcPr>
            <w:tcW w:w="2265" w:type="dxa"/>
          </w:tcPr>
          <w:p w14:paraId="41579168" w14:textId="77777777" w:rsidR="00847113" w:rsidRDefault="00847113" w:rsidP="00847113">
            <w:pPr>
              <w:rPr>
                <w:lang w:val="en-GB"/>
              </w:rPr>
            </w:pPr>
            <w:r>
              <w:rPr>
                <w:lang w:val="en-GB"/>
              </w:rPr>
              <w:t>Ni</w:t>
            </w:r>
          </w:p>
        </w:tc>
        <w:tc>
          <w:tcPr>
            <w:tcW w:w="2265" w:type="dxa"/>
          </w:tcPr>
          <w:p w14:paraId="57721175" w14:textId="77777777" w:rsidR="00847113" w:rsidRDefault="00847113" w:rsidP="00847113">
            <w:pPr>
              <w:rPr>
                <w:lang w:val="en-GB"/>
              </w:rPr>
            </w:pPr>
            <w:r>
              <w:rPr>
                <w:lang w:val="en-GB"/>
              </w:rPr>
              <w:t>5.06</w:t>
            </w:r>
          </w:p>
        </w:tc>
        <w:tc>
          <w:tcPr>
            <w:tcW w:w="2266" w:type="dxa"/>
          </w:tcPr>
          <w:p w14:paraId="705900AA" w14:textId="01288A98" w:rsidR="00847113" w:rsidRDefault="00847113" w:rsidP="00847113">
            <w:pPr>
              <w:rPr>
                <w:lang w:val="en-GB"/>
              </w:rPr>
            </w:pPr>
            <w:r>
              <w:rPr>
                <w:lang w:val="en-GB"/>
              </w:rPr>
              <w:t>0.31</w:t>
            </w:r>
          </w:p>
        </w:tc>
        <w:tc>
          <w:tcPr>
            <w:tcW w:w="2266" w:type="dxa"/>
          </w:tcPr>
          <w:p w14:paraId="4E14902B" w14:textId="4020AD08" w:rsidR="00847113" w:rsidRDefault="00847113" w:rsidP="00847113">
            <w:pPr>
              <w:rPr>
                <w:lang w:val="en-GB"/>
              </w:rPr>
            </w:pPr>
            <w:r>
              <w:rPr>
                <w:lang w:val="en-GB"/>
              </w:rPr>
              <w:t>0.24</w:t>
            </w:r>
          </w:p>
        </w:tc>
      </w:tr>
    </w:tbl>
    <w:bookmarkEnd w:id="7"/>
    <w:p w14:paraId="5B7FC299" w14:textId="3D95CCBD" w:rsidR="00B31348" w:rsidRPr="00B31348" w:rsidRDefault="00E8366E" w:rsidP="00B31348">
      <w:pPr>
        <w:pStyle w:val="Titre2"/>
      </w:pPr>
      <w:r>
        <w:rPr>
          <w:bCs/>
        </w:rPr>
        <w:t xml:space="preserve">Supplementary Table 3: </w:t>
      </w:r>
      <w:r w:rsidR="00B31348">
        <w:t>HER o</w:t>
      </w:r>
      <w:r w:rsidR="00B31348" w:rsidRPr="00E8366E">
        <w:t>verpotential</w:t>
      </w:r>
      <w:r w:rsidR="00B31348" w:rsidRPr="00CE002F">
        <w:t xml:space="preserve"> </w:t>
      </w:r>
      <w:r w:rsidR="00B31348">
        <w:t xml:space="preserve">for </w:t>
      </w:r>
      <w:proofErr w:type="gramStart"/>
      <w:r w:rsidR="00B31348">
        <w:t>Pt(</w:t>
      </w:r>
      <w:proofErr w:type="gramEnd"/>
      <w:r w:rsidR="00B31348">
        <w:t>111) electrodes covered by a thin film of hydroxide</w:t>
      </w:r>
    </w:p>
    <w:p w14:paraId="77396A3C" w14:textId="011BA074" w:rsidR="002D667D" w:rsidRPr="002D667D" w:rsidRDefault="00636FFB" w:rsidP="00B31348">
      <w:pPr>
        <w:jc w:val="both"/>
      </w:pPr>
      <w:r>
        <w:t>HER o</w:t>
      </w:r>
      <w:r w:rsidR="002D667D" w:rsidRPr="00E8366E">
        <w:t>verpotential values</w:t>
      </w:r>
      <w:r>
        <w:t>,</w:t>
      </w:r>
      <w:r w:rsidR="002D667D" w:rsidRPr="00E8366E">
        <w:t xml:space="preserve"> measured at -5 mA cm</w:t>
      </w:r>
      <w:r w:rsidR="002D667D" w:rsidRPr="00E8366E">
        <w:rPr>
          <w:vertAlign w:val="superscript"/>
        </w:rPr>
        <w:t>-2</w:t>
      </w:r>
      <w:r w:rsidR="002D667D" w:rsidRPr="00E8366E">
        <w:t xml:space="preserve"> in 0.1 M KOH</w:t>
      </w:r>
      <w:r>
        <w:t>,</w:t>
      </w:r>
      <w:r w:rsidR="002D667D" w:rsidRPr="00E8366E">
        <w:t xml:space="preserve"> were taken from </w:t>
      </w:r>
      <w:proofErr w:type="spellStart"/>
      <w:r w:rsidR="002D667D">
        <w:t>Subbaraman</w:t>
      </w:r>
      <w:proofErr w:type="spellEnd"/>
      <w:r w:rsidR="002D667D">
        <w:t xml:space="preserve"> et al.</w:t>
      </w:r>
      <w:hyperlink w:anchor="ref-Subbaraman2012TrendsCatalysts">
        <w:r w:rsidR="002D667D">
          <w:rPr>
            <w:rStyle w:val="Lienhypertexte"/>
            <w:vertAlign w:val="superscript"/>
          </w:rPr>
          <w:t>5</w:t>
        </w:r>
      </w:hyperlink>
      <w:r w:rsidR="002D667D">
        <w:t xml:space="preserve">. The WF value of </w:t>
      </w:r>
      <w:proofErr w:type="gramStart"/>
      <w:r w:rsidR="002D667D">
        <w:t>Pt(</w:t>
      </w:r>
      <w:proofErr w:type="gramEnd"/>
      <w:r w:rsidR="002D667D">
        <w:t>111), 5.84 eV, was taken from Sheng et al.</w:t>
      </w:r>
      <w:hyperlink w:anchor="ref-Kawano2022EffectiveDependence">
        <w:r w:rsidR="002D667D">
          <w:rPr>
            <w:rStyle w:val="Lienhypertexte"/>
            <w:vertAlign w:val="superscript"/>
          </w:rPr>
          <w:t>19</w:t>
        </w:r>
      </w:hyperlink>
      <w:r w:rsidR="002D667D">
        <w:t>. The electronic properties of 2D Ni(OH)</w:t>
      </w:r>
      <w:r w:rsidR="002D667D">
        <w:rPr>
          <w:vertAlign w:val="subscript"/>
        </w:rPr>
        <w:t>2</w:t>
      </w:r>
      <w:r w:rsidR="002D667D">
        <w:t>, 2D Co(OH)</w:t>
      </w:r>
      <w:r w:rsidR="002D667D">
        <w:rPr>
          <w:vertAlign w:val="subscript"/>
        </w:rPr>
        <w:t>2</w:t>
      </w:r>
      <w:r w:rsidR="002D667D">
        <w:t xml:space="preserve"> and nanosized FeOOH were taken from refs. </w:t>
      </w:r>
      <w:hyperlink w:anchor="ref-Kim2014GreatDeposition">
        <w:r w:rsidR="002D667D">
          <w:rPr>
            <w:rStyle w:val="Lienhypertexte"/>
            <w:vertAlign w:val="superscript"/>
          </w:rPr>
          <w:t>26</w:t>
        </w:r>
      </w:hyperlink>
      <w:r w:rsidR="002D667D">
        <w:rPr>
          <w:vertAlign w:val="superscript"/>
        </w:rPr>
        <w:t>,</w:t>
      </w:r>
      <w:hyperlink w:anchor="ref-Ping2024SynthesisCondensation">
        <w:r w:rsidR="002D667D">
          <w:rPr>
            <w:rStyle w:val="Lienhypertexte"/>
            <w:vertAlign w:val="superscript"/>
          </w:rPr>
          <w:t>27</w:t>
        </w:r>
      </w:hyperlink>
      <w:r w:rsidR="002D667D">
        <w:t xml:space="preserve">, ref. </w:t>
      </w:r>
      <w:hyperlink w:anchor="ref-Suksomboon2021ReducingNanoparticles">
        <w:r w:rsidR="002D667D">
          <w:rPr>
            <w:rStyle w:val="Lienhypertexte"/>
            <w:vertAlign w:val="superscript"/>
          </w:rPr>
          <w:t>28</w:t>
        </w:r>
      </w:hyperlink>
      <w:r w:rsidR="002D667D">
        <w:t xml:space="preserve"> and ref. </w:t>
      </w:r>
      <w:hyperlink w:anchor="ref-Ali2016PhotocatalyticOxyhydroxides">
        <w:r w:rsidR="002D667D">
          <w:rPr>
            <w:rStyle w:val="Lienhypertexte"/>
            <w:vertAlign w:val="superscript"/>
          </w:rPr>
          <w:t>29</w:t>
        </w:r>
      </w:hyperlink>
      <w:r w:rsidR="002D667D">
        <w:t xml:space="preserve">, respectively. The bandgap energy of 2D </w:t>
      </w:r>
      <w:proofErr w:type="gramStart"/>
      <w:r w:rsidR="002D667D">
        <w:t>Co(</w:t>
      </w:r>
      <w:proofErr w:type="gramEnd"/>
      <w:r w:rsidR="002D667D">
        <w:t>OH)</w:t>
      </w:r>
      <w:r w:rsidR="002D667D">
        <w:rPr>
          <w:vertAlign w:val="subscript"/>
        </w:rPr>
        <w:t>2</w:t>
      </w:r>
      <w:r w:rsidR="002D667D">
        <w:t xml:space="preserve"> was extrapolated from the </w:t>
      </w:r>
      <w:proofErr w:type="spellStart"/>
      <w:r w:rsidR="002D667D">
        <w:t>Tauc</w:t>
      </w:r>
      <w:proofErr w:type="spellEnd"/>
      <w:r w:rsidR="002D667D">
        <w:t xml:space="preserve"> plots based on Ping et al. </w:t>
      </w:r>
      <w:hyperlink w:anchor="ref-Ping2024SynthesisCondensation">
        <w:r w:rsidR="002D667D">
          <w:rPr>
            <w:rStyle w:val="Lienhypertexte"/>
            <w:vertAlign w:val="superscript"/>
          </w:rPr>
          <w:t>27</w:t>
        </w:r>
      </w:hyperlink>
      <w:r w:rsidR="002D667D">
        <w:t>. In the case of nanosized FeOOH, the γ/δ polymorphs were considered.</w:t>
      </w:r>
    </w:p>
    <w:tbl>
      <w:tblPr>
        <w:tblStyle w:val="Grilledutableau"/>
        <w:tblW w:w="0" w:type="auto"/>
        <w:tblLook w:val="04A0" w:firstRow="1" w:lastRow="0" w:firstColumn="1" w:lastColumn="0" w:noHBand="0" w:noVBand="1"/>
      </w:tblPr>
      <w:tblGrid>
        <w:gridCol w:w="1926"/>
        <w:gridCol w:w="1926"/>
        <w:gridCol w:w="1926"/>
        <w:gridCol w:w="1926"/>
        <w:gridCol w:w="1927"/>
      </w:tblGrid>
      <w:tr w:rsidR="00F6356D" w:rsidRPr="00755400" w14:paraId="15FA6BD6" w14:textId="77777777" w:rsidTr="002D667D">
        <w:tc>
          <w:tcPr>
            <w:tcW w:w="1926" w:type="dxa"/>
          </w:tcPr>
          <w:p w14:paraId="2E3DB463" w14:textId="5C9C6D43" w:rsidR="00F6356D" w:rsidRPr="002D667D" w:rsidRDefault="00F6356D" w:rsidP="005E0973">
            <w:pPr>
              <w:jc w:val="both"/>
              <w:rPr>
                <w:b/>
                <w:bCs/>
                <w:lang w:val="en-GB"/>
              </w:rPr>
            </w:pPr>
            <w:r w:rsidRPr="002D667D">
              <w:rPr>
                <w:b/>
                <w:bCs/>
                <w:lang w:val="en-GB"/>
              </w:rPr>
              <w:t>Hydroxide</w:t>
            </w:r>
          </w:p>
        </w:tc>
        <w:tc>
          <w:tcPr>
            <w:tcW w:w="1926" w:type="dxa"/>
          </w:tcPr>
          <w:p w14:paraId="103E0E1D" w14:textId="1BE726B5" w:rsidR="00F6356D" w:rsidRPr="002D667D" w:rsidRDefault="00636FFB" w:rsidP="005E0973">
            <w:pPr>
              <w:jc w:val="both"/>
              <w:rPr>
                <w:b/>
                <w:bCs/>
                <w:lang w:val="en-GB"/>
              </w:rPr>
            </w:pPr>
            <w:r w:rsidRPr="002D667D">
              <w:rPr>
                <w:b/>
                <w:bCs/>
                <w:lang w:val="en-GB"/>
              </w:rPr>
              <w:t>B</w:t>
            </w:r>
            <w:r>
              <w:rPr>
                <w:b/>
                <w:bCs/>
                <w:lang w:val="en-GB"/>
              </w:rPr>
              <w:t>andgap</w:t>
            </w:r>
            <w:r w:rsidRPr="002D667D">
              <w:rPr>
                <w:b/>
                <w:bCs/>
                <w:lang w:val="en-GB"/>
              </w:rPr>
              <w:t xml:space="preserve"> </w:t>
            </w:r>
            <w:r w:rsidR="00F6356D" w:rsidRPr="002D667D">
              <w:rPr>
                <w:b/>
                <w:bCs/>
                <w:lang w:val="en-GB"/>
              </w:rPr>
              <w:t>(eV)</w:t>
            </w:r>
          </w:p>
        </w:tc>
        <w:tc>
          <w:tcPr>
            <w:tcW w:w="1926" w:type="dxa"/>
          </w:tcPr>
          <w:p w14:paraId="37B02156" w14:textId="3BC974CA" w:rsidR="00F6356D" w:rsidRPr="002D667D" w:rsidRDefault="00F6356D" w:rsidP="005E0973">
            <w:pPr>
              <w:jc w:val="both"/>
              <w:rPr>
                <w:b/>
                <w:bCs/>
                <w:lang w:val="en-GB"/>
              </w:rPr>
            </w:pPr>
            <w:r w:rsidRPr="002D667D">
              <w:rPr>
                <w:b/>
                <w:bCs/>
                <w:lang w:val="en-GB"/>
              </w:rPr>
              <w:t>EA (eV)</w:t>
            </w:r>
          </w:p>
        </w:tc>
        <w:tc>
          <w:tcPr>
            <w:tcW w:w="1926" w:type="dxa"/>
          </w:tcPr>
          <w:p w14:paraId="7AFBBFEC" w14:textId="596315CD" w:rsidR="00F6356D" w:rsidRPr="002D667D" w:rsidRDefault="00F83C00" w:rsidP="005E0973">
            <w:pPr>
              <w:jc w:val="both"/>
              <w:rPr>
                <w:lang w:val="en-GB"/>
              </w:rPr>
            </w:pPr>
            <m:oMath>
              <m:sSub>
                <m:sSubPr>
                  <m:ctrlPr>
                    <w:rPr>
                      <w:rFonts w:ascii="Cambria Math" w:hAnsi="Cambria Math"/>
                      <w:b/>
                      <w:bCs/>
                      <w:i/>
                      <w:lang w:val="en-GB"/>
                    </w:rPr>
                  </m:ctrlPr>
                </m:sSubPr>
                <m:e>
                  <m:r>
                    <m:rPr>
                      <m:sty m:val="bi"/>
                    </m:rPr>
                    <w:rPr>
                      <w:rFonts w:ascii="Cambria Math" w:hAnsi="Cambria Math"/>
                      <w:lang w:val="en-GB"/>
                    </w:rPr>
                    <m:t>E</m:t>
                  </m:r>
                </m:e>
                <m:sub>
                  <m:r>
                    <m:rPr>
                      <m:sty m:val="bi"/>
                    </m:rPr>
                    <w:rPr>
                      <w:rFonts w:ascii="Cambria Math" w:hAnsi="Cambria Math"/>
                      <w:lang w:val="en-GB"/>
                    </w:rPr>
                    <m:t>i</m:t>
                  </m:r>
                </m:sub>
              </m:sSub>
            </m:oMath>
            <w:r w:rsidR="00F6356D" w:rsidRPr="002D667D">
              <w:rPr>
                <w:rFonts w:eastAsiaTheme="minorEastAsia"/>
                <w:b/>
                <w:bCs/>
                <w:lang w:val="en-GB"/>
              </w:rPr>
              <w:t xml:space="preserve"> (eV)</w:t>
            </w:r>
          </w:p>
        </w:tc>
        <w:tc>
          <w:tcPr>
            <w:tcW w:w="1927" w:type="dxa"/>
          </w:tcPr>
          <w:p w14:paraId="26FEBF37" w14:textId="24ACD8E2" w:rsidR="00F6356D" w:rsidRPr="002D667D" w:rsidRDefault="00F6356D" w:rsidP="005E0973">
            <w:pPr>
              <w:jc w:val="both"/>
              <w:rPr>
                <w:lang w:val="en-GB"/>
              </w:rPr>
            </w:pPr>
            <w:r w:rsidRPr="002D667D">
              <w:rPr>
                <w:rFonts w:eastAsiaTheme="minorEastAsia"/>
                <w:b/>
                <w:bCs/>
                <w:lang w:val="en-GB"/>
              </w:rPr>
              <w:t>-</w:t>
            </w:r>
            <m:oMath>
              <m:r>
                <m:rPr>
                  <m:sty m:val="bi"/>
                </m:rPr>
                <w:rPr>
                  <w:rFonts w:ascii="Cambria Math" w:hAnsi="Cambria Math"/>
                  <w:lang w:val="en-GB"/>
                </w:rPr>
                <m:t>η</m:t>
              </m:r>
            </m:oMath>
            <w:r w:rsidRPr="002D667D">
              <w:rPr>
                <w:rFonts w:eastAsiaTheme="minorEastAsia"/>
                <w:b/>
                <w:bCs/>
                <w:lang w:val="en-GB"/>
              </w:rPr>
              <w:t xml:space="preserve"> (V)</w:t>
            </w:r>
          </w:p>
        </w:tc>
      </w:tr>
      <w:tr w:rsidR="00F6356D" w:rsidRPr="0058307F" w14:paraId="53FA67BB" w14:textId="77777777" w:rsidTr="002D667D">
        <w:trPr>
          <w:trHeight w:val="350"/>
        </w:trPr>
        <w:tc>
          <w:tcPr>
            <w:tcW w:w="1926" w:type="dxa"/>
          </w:tcPr>
          <w:p w14:paraId="4307B5D4" w14:textId="77777777" w:rsidR="00F6356D" w:rsidRPr="002D667D" w:rsidRDefault="00F6356D" w:rsidP="005E0973">
            <w:pPr>
              <w:jc w:val="both"/>
              <w:rPr>
                <w:vertAlign w:val="subscript"/>
                <w:lang w:val="en-GB"/>
              </w:rPr>
            </w:pPr>
            <w:proofErr w:type="gramStart"/>
            <w:r w:rsidRPr="002D667D">
              <w:rPr>
                <w:lang w:val="en-GB"/>
              </w:rPr>
              <w:t>Ni(</w:t>
            </w:r>
            <w:proofErr w:type="gramEnd"/>
            <w:r w:rsidRPr="002D667D">
              <w:rPr>
                <w:lang w:val="en-GB"/>
              </w:rPr>
              <w:t>OH)</w:t>
            </w:r>
            <w:r w:rsidRPr="002D667D">
              <w:rPr>
                <w:vertAlign w:val="subscript"/>
                <w:lang w:val="en-GB"/>
              </w:rPr>
              <w:t>2</w:t>
            </w:r>
          </w:p>
        </w:tc>
        <w:tc>
          <w:tcPr>
            <w:tcW w:w="1926" w:type="dxa"/>
          </w:tcPr>
          <w:p w14:paraId="19D74BA0" w14:textId="77777777" w:rsidR="00F6356D" w:rsidRPr="002D667D" w:rsidRDefault="00F6356D" w:rsidP="005E0973">
            <w:pPr>
              <w:jc w:val="both"/>
              <w:rPr>
                <w:lang w:val="en-GB"/>
              </w:rPr>
            </w:pPr>
            <w:r w:rsidRPr="002D667D">
              <w:rPr>
                <w:lang w:val="en-GB"/>
              </w:rPr>
              <w:t>2.54</w:t>
            </w:r>
          </w:p>
        </w:tc>
        <w:tc>
          <w:tcPr>
            <w:tcW w:w="1926" w:type="dxa"/>
          </w:tcPr>
          <w:p w14:paraId="737D0925" w14:textId="77777777" w:rsidR="00F6356D" w:rsidRPr="002D667D" w:rsidRDefault="00F6356D" w:rsidP="005E0973">
            <w:pPr>
              <w:jc w:val="both"/>
              <w:rPr>
                <w:lang w:val="en-GB"/>
              </w:rPr>
            </w:pPr>
            <w:r w:rsidRPr="002D667D">
              <w:rPr>
                <w:lang w:val="en-GB"/>
              </w:rPr>
              <w:t>1.47</w:t>
            </w:r>
          </w:p>
        </w:tc>
        <w:tc>
          <w:tcPr>
            <w:tcW w:w="1926" w:type="dxa"/>
          </w:tcPr>
          <w:p w14:paraId="1ED4D059" w14:textId="11F850F8" w:rsidR="00F6356D" w:rsidRPr="002D667D" w:rsidRDefault="00F6356D" w:rsidP="005E0973">
            <w:pPr>
              <w:jc w:val="both"/>
              <w:rPr>
                <w:rFonts w:ascii="Calibri" w:eastAsia="Calibri" w:hAnsi="Calibri" w:cs="Times New Roman"/>
                <w:lang w:val="en-GB"/>
              </w:rPr>
            </w:pPr>
            <w:r w:rsidRPr="002D667D">
              <w:rPr>
                <w:rFonts w:ascii="Calibri" w:eastAsia="Calibri" w:hAnsi="Calibri" w:cs="Times New Roman"/>
                <w:lang w:val="en-GB"/>
              </w:rPr>
              <w:t>4.01</w:t>
            </w:r>
          </w:p>
        </w:tc>
        <w:tc>
          <w:tcPr>
            <w:tcW w:w="1927" w:type="dxa"/>
          </w:tcPr>
          <w:p w14:paraId="65499C34" w14:textId="77777777" w:rsidR="00F6356D" w:rsidRPr="002D667D" w:rsidRDefault="00F6356D" w:rsidP="005E0973">
            <w:pPr>
              <w:jc w:val="both"/>
              <w:rPr>
                <w:rFonts w:ascii="Calibri" w:eastAsia="Calibri" w:hAnsi="Calibri" w:cs="Times New Roman"/>
                <w:lang w:val="en-GB"/>
              </w:rPr>
            </w:pPr>
            <w:r w:rsidRPr="002D667D">
              <w:rPr>
                <w:rFonts w:ascii="Calibri" w:eastAsia="Calibri" w:hAnsi="Calibri" w:cs="Times New Roman"/>
                <w:lang w:val="en-GB"/>
              </w:rPr>
              <w:t>0.03</w:t>
            </w:r>
          </w:p>
        </w:tc>
      </w:tr>
      <w:tr w:rsidR="00F6356D" w:rsidRPr="0058307F" w14:paraId="4FE649ED" w14:textId="77777777" w:rsidTr="002D667D">
        <w:trPr>
          <w:trHeight w:val="377"/>
        </w:trPr>
        <w:tc>
          <w:tcPr>
            <w:tcW w:w="1926" w:type="dxa"/>
          </w:tcPr>
          <w:p w14:paraId="486A5FE7" w14:textId="77777777" w:rsidR="00F6356D" w:rsidRPr="002D667D" w:rsidRDefault="00F6356D" w:rsidP="005E0973">
            <w:pPr>
              <w:jc w:val="both"/>
              <w:rPr>
                <w:vertAlign w:val="subscript"/>
                <w:lang w:val="en-GB"/>
              </w:rPr>
            </w:pPr>
            <w:proofErr w:type="gramStart"/>
            <w:r w:rsidRPr="002D667D">
              <w:rPr>
                <w:lang w:val="en-GB"/>
              </w:rPr>
              <w:lastRenderedPageBreak/>
              <w:t>Co(</w:t>
            </w:r>
            <w:proofErr w:type="gramEnd"/>
            <w:r w:rsidRPr="002D667D">
              <w:rPr>
                <w:lang w:val="en-GB"/>
              </w:rPr>
              <w:t>OH)</w:t>
            </w:r>
            <w:r w:rsidRPr="002D667D">
              <w:rPr>
                <w:vertAlign w:val="subscript"/>
                <w:lang w:val="en-GB"/>
              </w:rPr>
              <w:t>2</w:t>
            </w:r>
          </w:p>
        </w:tc>
        <w:tc>
          <w:tcPr>
            <w:tcW w:w="1926" w:type="dxa"/>
          </w:tcPr>
          <w:p w14:paraId="33EDFB22" w14:textId="77777777" w:rsidR="00F6356D" w:rsidRPr="002D667D" w:rsidRDefault="00F6356D" w:rsidP="005E0973">
            <w:pPr>
              <w:jc w:val="both"/>
              <w:rPr>
                <w:lang w:val="en-GB"/>
              </w:rPr>
            </w:pPr>
            <w:r w:rsidRPr="002D667D">
              <w:rPr>
                <w:lang w:val="en-GB"/>
              </w:rPr>
              <w:t>2.20</w:t>
            </w:r>
          </w:p>
        </w:tc>
        <w:tc>
          <w:tcPr>
            <w:tcW w:w="1926" w:type="dxa"/>
          </w:tcPr>
          <w:p w14:paraId="4BC81580" w14:textId="77777777" w:rsidR="00F6356D" w:rsidRPr="002D667D" w:rsidRDefault="00F6356D" w:rsidP="005E0973">
            <w:pPr>
              <w:jc w:val="both"/>
              <w:rPr>
                <w:lang w:val="en-GB"/>
              </w:rPr>
            </w:pPr>
            <w:r w:rsidRPr="002D667D">
              <w:rPr>
                <w:lang w:val="en-GB"/>
              </w:rPr>
              <w:t>2.93</w:t>
            </w:r>
          </w:p>
        </w:tc>
        <w:tc>
          <w:tcPr>
            <w:tcW w:w="1926" w:type="dxa"/>
          </w:tcPr>
          <w:p w14:paraId="55EDBAA5" w14:textId="08A486BF" w:rsidR="00F6356D" w:rsidRPr="002D667D" w:rsidRDefault="00F6356D" w:rsidP="005E0973">
            <w:pPr>
              <w:jc w:val="both"/>
              <w:rPr>
                <w:rFonts w:ascii="Calibri" w:eastAsia="Calibri" w:hAnsi="Calibri" w:cs="Times New Roman"/>
                <w:lang w:val="en-GB"/>
              </w:rPr>
            </w:pPr>
            <w:r w:rsidRPr="002D667D">
              <w:rPr>
                <w:rFonts w:ascii="Calibri" w:eastAsia="Calibri" w:hAnsi="Calibri" w:cs="Times New Roman"/>
                <w:lang w:val="en-GB"/>
              </w:rPr>
              <w:t>5.13</w:t>
            </w:r>
          </w:p>
        </w:tc>
        <w:tc>
          <w:tcPr>
            <w:tcW w:w="1927" w:type="dxa"/>
          </w:tcPr>
          <w:p w14:paraId="1C1E4268" w14:textId="77777777" w:rsidR="00F6356D" w:rsidRPr="002D667D" w:rsidRDefault="00F6356D" w:rsidP="005E0973">
            <w:pPr>
              <w:jc w:val="both"/>
              <w:rPr>
                <w:rFonts w:ascii="Calibri" w:eastAsia="Calibri" w:hAnsi="Calibri" w:cs="Times New Roman"/>
                <w:lang w:val="en-GB"/>
              </w:rPr>
            </w:pPr>
            <w:r w:rsidRPr="002D667D">
              <w:rPr>
                <w:rFonts w:ascii="Calibri" w:eastAsia="Calibri" w:hAnsi="Calibri" w:cs="Times New Roman"/>
                <w:lang w:val="en-GB"/>
              </w:rPr>
              <w:t>0.12</w:t>
            </w:r>
          </w:p>
        </w:tc>
      </w:tr>
      <w:tr w:rsidR="00F6356D" w:rsidRPr="0058307F" w14:paraId="63760770" w14:textId="77777777" w:rsidTr="002D667D">
        <w:tc>
          <w:tcPr>
            <w:tcW w:w="1926" w:type="dxa"/>
          </w:tcPr>
          <w:p w14:paraId="50AEE123" w14:textId="77777777" w:rsidR="00F6356D" w:rsidRPr="002D667D" w:rsidRDefault="00F6356D" w:rsidP="005E0973">
            <w:pPr>
              <w:jc w:val="both"/>
              <w:rPr>
                <w:lang w:val="en-GB"/>
              </w:rPr>
            </w:pPr>
            <w:r w:rsidRPr="002D667D">
              <w:rPr>
                <w:lang w:val="en-GB"/>
              </w:rPr>
              <w:t>FeOOH</w:t>
            </w:r>
          </w:p>
        </w:tc>
        <w:tc>
          <w:tcPr>
            <w:tcW w:w="1926" w:type="dxa"/>
          </w:tcPr>
          <w:p w14:paraId="5FFFE5F6" w14:textId="77777777" w:rsidR="00F6356D" w:rsidRPr="002D667D" w:rsidRDefault="00F6356D" w:rsidP="005E0973">
            <w:pPr>
              <w:jc w:val="both"/>
              <w:rPr>
                <w:lang w:val="en-GB"/>
              </w:rPr>
            </w:pPr>
            <w:r w:rsidRPr="002D667D">
              <w:rPr>
                <w:lang w:val="en-GB"/>
              </w:rPr>
              <w:t>/</w:t>
            </w:r>
          </w:p>
        </w:tc>
        <w:tc>
          <w:tcPr>
            <w:tcW w:w="1926" w:type="dxa"/>
          </w:tcPr>
          <w:p w14:paraId="7725FDEF" w14:textId="77777777" w:rsidR="00F6356D" w:rsidRPr="002D667D" w:rsidRDefault="00F6356D" w:rsidP="005E0973">
            <w:pPr>
              <w:jc w:val="both"/>
              <w:rPr>
                <w:lang w:val="en-GB"/>
              </w:rPr>
            </w:pPr>
            <w:r w:rsidRPr="002D667D">
              <w:rPr>
                <w:lang w:val="en-GB"/>
              </w:rPr>
              <w:t>/</w:t>
            </w:r>
          </w:p>
        </w:tc>
        <w:tc>
          <w:tcPr>
            <w:tcW w:w="1926" w:type="dxa"/>
          </w:tcPr>
          <w:p w14:paraId="078BA56D" w14:textId="17342018" w:rsidR="00F6356D" w:rsidRPr="002D667D" w:rsidRDefault="00F6356D" w:rsidP="005E0973">
            <w:pPr>
              <w:jc w:val="both"/>
              <w:rPr>
                <w:rFonts w:ascii="Calibri" w:eastAsia="Calibri" w:hAnsi="Calibri" w:cs="Times New Roman"/>
                <w:lang w:val="en-GB"/>
              </w:rPr>
            </w:pPr>
            <w:r w:rsidRPr="002D667D">
              <w:rPr>
                <w:rFonts w:ascii="Calibri" w:eastAsia="Calibri" w:hAnsi="Calibri" w:cs="Times New Roman"/>
                <w:lang w:val="en-GB"/>
              </w:rPr>
              <w:t>6</w:t>
            </w:r>
            <w:r w:rsidR="005504BB" w:rsidRPr="002D667D">
              <w:rPr>
                <w:rFonts w:ascii="Calibri" w:eastAsia="Calibri" w:hAnsi="Calibri" w:cs="Times New Roman"/>
                <w:lang w:val="en-GB"/>
              </w:rPr>
              <w:t>.00</w:t>
            </w:r>
          </w:p>
        </w:tc>
        <w:tc>
          <w:tcPr>
            <w:tcW w:w="1927" w:type="dxa"/>
          </w:tcPr>
          <w:p w14:paraId="1355F3C8" w14:textId="77777777" w:rsidR="00F6356D" w:rsidRPr="002D667D" w:rsidRDefault="00F6356D" w:rsidP="005E0973">
            <w:pPr>
              <w:jc w:val="both"/>
              <w:rPr>
                <w:rFonts w:ascii="Calibri" w:eastAsia="Calibri" w:hAnsi="Calibri" w:cs="Times New Roman"/>
                <w:lang w:val="en-GB"/>
              </w:rPr>
            </w:pPr>
            <w:r w:rsidRPr="002D667D">
              <w:rPr>
                <w:rFonts w:ascii="Calibri" w:eastAsia="Calibri" w:hAnsi="Calibri" w:cs="Times New Roman"/>
                <w:lang w:val="en-GB"/>
              </w:rPr>
              <w:t>0.27</w:t>
            </w:r>
          </w:p>
        </w:tc>
      </w:tr>
      <w:bookmarkEnd w:id="0"/>
      <w:bookmarkEnd w:id="1"/>
      <w:bookmarkEnd w:id="5"/>
    </w:tbl>
    <w:p w14:paraId="701C8575" w14:textId="1138DD3B" w:rsidR="00F0155C" w:rsidRDefault="00F0155C" w:rsidP="00F0155C">
      <w:pPr>
        <w:pStyle w:val="Corpsdetexte"/>
        <w:rPr>
          <w:lang w:val="fr-FR"/>
        </w:rPr>
      </w:pPr>
    </w:p>
    <w:p w14:paraId="0A304D98" w14:textId="77777777" w:rsidR="00F0155C" w:rsidRPr="004B422D" w:rsidRDefault="00F0155C" w:rsidP="00F0155C">
      <w:pPr>
        <w:pStyle w:val="Titre1"/>
        <w:rPr>
          <w:sz w:val="32"/>
          <w:szCs w:val="22"/>
        </w:rPr>
      </w:pPr>
      <w:bookmarkStart w:id="8" w:name="sec:hn48frqywl6"/>
      <w:bookmarkStart w:id="9" w:name="Xf29e980909f6d1785a29cc98c665629a831732f"/>
      <w:r w:rsidRPr="004B422D">
        <w:rPr>
          <w:sz w:val="32"/>
          <w:szCs w:val="22"/>
        </w:rPr>
        <w:t>References</w:t>
      </w:r>
    </w:p>
    <w:p w14:paraId="7A1D7172" w14:textId="77777777" w:rsidR="00F0155C" w:rsidRDefault="00F0155C" w:rsidP="00F0155C">
      <w:pPr>
        <w:pStyle w:val="Bibliographie"/>
      </w:pPr>
      <w:bookmarkStart w:id="10" w:name="ref-Roger2017Earth-abundantSplitting"/>
      <w:bookmarkStart w:id="11" w:name="refs"/>
      <w:r>
        <w:t xml:space="preserve">1. </w:t>
      </w:r>
      <w:r>
        <w:tab/>
        <w:t xml:space="preserve">Roger, I., Shipman, M. A. &amp; Symes, M. D. </w:t>
      </w:r>
      <w:hyperlink r:id="rId13">
        <w:r>
          <w:rPr>
            <w:rStyle w:val="Lienhypertexte"/>
          </w:rPr>
          <w:t>Earth-abundant catalysts for electrochemical and photoelectrochemical water splitting</w:t>
        </w:r>
      </w:hyperlink>
      <w:r>
        <w:t xml:space="preserve">. </w:t>
      </w:r>
      <w:r>
        <w:rPr>
          <w:i/>
          <w:iCs/>
        </w:rPr>
        <w:t>Nature Reviews Chemistry</w:t>
      </w:r>
      <w:r>
        <w:t xml:space="preserve"> </w:t>
      </w:r>
      <w:r>
        <w:rPr>
          <w:b/>
          <w:bCs/>
        </w:rPr>
        <w:t>1</w:t>
      </w:r>
      <w:r>
        <w:t>, 1–13 (2017).</w:t>
      </w:r>
    </w:p>
    <w:p w14:paraId="56960937" w14:textId="77777777" w:rsidR="00F0155C" w:rsidRDefault="00F0155C" w:rsidP="00F0155C">
      <w:pPr>
        <w:pStyle w:val="Bibliographie"/>
      </w:pPr>
      <w:bookmarkStart w:id="12" w:name="ref-Subbaraman2011EnhancingInterfaces"/>
      <w:bookmarkEnd w:id="10"/>
      <w:r>
        <w:t xml:space="preserve">2. </w:t>
      </w:r>
      <w:r>
        <w:tab/>
      </w:r>
      <w:proofErr w:type="spellStart"/>
      <w:r>
        <w:t>Subbaraman</w:t>
      </w:r>
      <w:proofErr w:type="spellEnd"/>
      <w:r>
        <w:t xml:space="preserve">, R. </w:t>
      </w:r>
      <w:r>
        <w:rPr>
          <w:i/>
          <w:iCs/>
        </w:rPr>
        <w:t>et al.</w:t>
      </w:r>
      <w:r>
        <w:t xml:space="preserve"> </w:t>
      </w:r>
      <w:hyperlink r:id="rId14">
        <w:r>
          <w:rPr>
            <w:rStyle w:val="Lienhypertexte"/>
          </w:rPr>
          <w:t>Enhancing hydrogen evolution activity in water splitting by tailoring Li+-</w:t>
        </w:r>
        <w:proofErr w:type="gramStart"/>
        <w:r>
          <w:rPr>
            <w:rStyle w:val="Lienhypertexte"/>
          </w:rPr>
          <w:t>Ni(</w:t>
        </w:r>
        <w:proofErr w:type="gramEnd"/>
        <w:r>
          <w:rPr>
            <w:rStyle w:val="Lienhypertexte"/>
          </w:rPr>
          <w:t>OH)2-Pt interfaces</w:t>
        </w:r>
      </w:hyperlink>
      <w:r>
        <w:t xml:space="preserve">. </w:t>
      </w:r>
      <w:r>
        <w:rPr>
          <w:i/>
          <w:iCs/>
        </w:rPr>
        <w:t>Science</w:t>
      </w:r>
      <w:r>
        <w:t xml:space="preserve"> </w:t>
      </w:r>
      <w:r>
        <w:rPr>
          <w:b/>
          <w:bCs/>
        </w:rPr>
        <w:t>334</w:t>
      </w:r>
      <w:r>
        <w:t>, 1256–1260 (2011).</w:t>
      </w:r>
    </w:p>
    <w:p w14:paraId="54EC64E9" w14:textId="77777777" w:rsidR="00F0155C" w:rsidRDefault="00F0155C" w:rsidP="00F0155C">
      <w:pPr>
        <w:pStyle w:val="Bibliographie"/>
      </w:pPr>
      <w:bookmarkStart w:id="13" w:name="ref-Danilovic2012EnhancingCatalysts"/>
      <w:bookmarkEnd w:id="12"/>
      <w:r>
        <w:t xml:space="preserve">3. </w:t>
      </w:r>
      <w:r>
        <w:tab/>
        <w:t xml:space="preserve">Danilovic, N. </w:t>
      </w:r>
      <w:r>
        <w:rPr>
          <w:i/>
          <w:iCs/>
        </w:rPr>
        <w:t>et al.</w:t>
      </w:r>
      <w:r>
        <w:t xml:space="preserve"> </w:t>
      </w:r>
      <w:hyperlink r:id="rId15">
        <w:r>
          <w:rPr>
            <w:rStyle w:val="Lienhypertexte"/>
          </w:rPr>
          <w:t xml:space="preserve">Enhancing the alkaline hydrogen evolution reaction activity through the bifunctionality of </w:t>
        </w:r>
        <w:proofErr w:type="gramStart"/>
        <w:r>
          <w:rPr>
            <w:rStyle w:val="Lienhypertexte"/>
          </w:rPr>
          <w:t>Ni(</w:t>
        </w:r>
        <w:proofErr w:type="gramEnd"/>
        <w:r>
          <w:rPr>
            <w:rStyle w:val="Lienhypertexte"/>
          </w:rPr>
          <w:t>OH)</w:t>
        </w:r>
        <w:r w:rsidRPr="004B422D">
          <w:rPr>
            <w:rStyle w:val="Lienhypertexte"/>
            <w:vertAlign w:val="subscript"/>
          </w:rPr>
          <w:t>2</w:t>
        </w:r>
        <w:r>
          <w:rPr>
            <w:rStyle w:val="Lienhypertexte"/>
          </w:rPr>
          <w:t>/metal catalysts</w:t>
        </w:r>
      </w:hyperlink>
      <w:r>
        <w:t xml:space="preserve">. </w:t>
      </w:r>
      <w:proofErr w:type="spellStart"/>
      <w:r>
        <w:rPr>
          <w:i/>
          <w:iCs/>
        </w:rPr>
        <w:t>Angewandte</w:t>
      </w:r>
      <w:proofErr w:type="spellEnd"/>
      <w:r>
        <w:rPr>
          <w:i/>
          <w:iCs/>
        </w:rPr>
        <w:t xml:space="preserve"> </w:t>
      </w:r>
      <w:proofErr w:type="spellStart"/>
      <w:r>
        <w:rPr>
          <w:i/>
          <w:iCs/>
        </w:rPr>
        <w:t>Chemie</w:t>
      </w:r>
      <w:proofErr w:type="spellEnd"/>
      <w:r>
        <w:rPr>
          <w:i/>
          <w:iCs/>
        </w:rPr>
        <w:t xml:space="preserve"> - International Edition</w:t>
      </w:r>
      <w:r>
        <w:t xml:space="preserve"> </w:t>
      </w:r>
      <w:r>
        <w:rPr>
          <w:b/>
          <w:bCs/>
        </w:rPr>
        <w:t>51</w:t>
      </w:r>
      <w:r>
        <w:t>, 12495–12498 (2012).</w:t>
      </w:r>
    </w:p>
    <w:p w14:paraId="0BE827FF" w14:textId="77777777" w:rsidR="00F0155C" w:rsidRDefault="00F0155C" w:rsidP="00F0155C">
      <w:pPr>
        <w:pStyle w:val="Bibliographie"/>
      </w:pPr>
      <w:bookmarkStart w:id="14" w:name="ref-Strmcnik2013ImprovingAdsorption"/>
      <w:bookmarkEnd w:id="13"/>
      <w:r>
        <w:t xml:space="preserve">4. </w:t>
      </w:r>
      <w:r>
        <w:tab/>
      </w:r>
      <w:proofErr w:type="spellStart"/>
      <w:r>
        <w:t>Strmcnik</w:t>
      </w:r>
      <w:proofErr w:type="spellEnd"/>
      <w:r>
        <w:t xml:space="preserve">, D. </w:t>
      </w:r>
      <w:r>
        <w:rPr>
          <w:i/>
          <w:iCs/>
        </w:rPr>
        <w:t>et al.</w:t>
      </w:r>
      <w:r>
        <w:t xml:space="preserve"> </w:t>
      </w:r>
      <w:hyperlink r:id="rId16">
        <w:r>
          <w:rPr>
            <w:rStyle w:val="Lienhypertexte"/>
          </w:rPr>
          <w:t>Improving the hydrogen oxidation reaction rate by promotion of hydroxyl adsorption</w:t>
        </w:r>
      </w:hyperlink>
      <w:r>
        <w:t xml:space="preserve">. </w:t>
      </w:r>
      <w:r>
        <w:rPr>
          <w:i/>
          <w:iCs/>
        </w:rPr>
        <w:t>Nature Chemistry</w:t>
      </w:r>
      <w:r>
        <w:t xml:space="preserve"> </w:t>
      </w:r>
      <w:r>
        <w:rPr>
          <w:b/>
          <w:bCs/>
        </w:rPr>
        <w:t>5</w:t>
      </w:r>
      <w:r>
        <w:t>, 300–306 (2013).</w:t>
      </w:r>
    </w:p>
    <w:p w14:paraId="645323F2" w14:textId="77777777" w:rsidR="00F0155C" w:rsidRDefault="00F0155C" w:rsidP="00F0155C">
      <w:pPr>
        <w:pStyle w:val="Bibliographie"/>
      </w:pPr>
      <w:bookmarkStart w:id="15" w:name="ref-Subbaraman2012TrendsCatalysts"/>
      <w:bookmarkEnd w:id="14"/>
      <w:r>
        <w:t xml:space="preserve">5. </w:t>
      </w:r>
      <w:r>
        <w:tab/>
      </w:r>
      <w:proofErr w:type="spellStart"/>
      <w:r>
        <w:t>Subbaraman</w:t>
      </w:r>
      <w:proofErr w:type="spellEnd"/>
      <w:r>
        <w:t xml:space="preserve">, R. </w:t>
      </w:r>
      <w:r>
        <w:rPr>
          <w:i/>
          <w:iCs/>
        </w:rPr>
        <w:t>et al.</w:t>
      </w:r>
      <w:r>
        <w:t xml:space="preserve"> </w:t>
      </w:r>
      <w:hyperlink r:id="rId17">
        <w:r>
          <w:rPr>
            <w:rStyle w:val="Lienhypertexte"/>
          </w:rPr>
          <w:t xml:space="preserve">Trends in activity for the water </w:t>
        </w:r>
        <w:proofErr w:type="spellStart"/>
        <w:r>
          <w:rPr>
            <w:rStyle w:val="Lienhypertexte"/>
          </w:rPr>
          <w:t>electrolyser</w:t>
        </w:r>
        <w:proofErr w:type="spellEnd"/>
        <w:r>
          <w:rPr>
            <w:rStyle w:val="Lienhypertexte"/>
          </w:rPr>
          <w:t xml:space="preserve"> reactions on 3d M(</w:t>
        </w:r>
        <w:proofErr w:type="spellStart"/>
        <w:proofErr w:type="gramStart"/>
        <w:r>
          <w:rPr>
            <w:rStyle w:val="Lienhypertexte"/>
          </w:rPr>
          <w:t>Ni,Co</w:t>
        </w:r>
        <w:proofErr w:type="gramEnd"/>
        <w:r>
          <w:rPr>
            <w:rStyle w:val="Lienhypertexte"/>
          </w:rPr>
          <w:t>,Fe,Mn</w:t>
        </w:r>
        <w:proofErr w:type="spellEnd"/>
        <w:r>
          <w:rPr>
            <w:rStyle w:val="Lienhypertexte"/>
          </w:rPr>
          <w:t xml:space="preserve">) </w:t>
        </w:r>
        <w:proofErr w:type="spellStart"/>
        <w:r>
          <w:rPr>
            <w:rStyle w:val="Lienhypertexte"/>
          </w:rPr>
          <w:t>hydr</w:t>
        </w:r>
        <w:proofErr w:type="spellEnd"/>
        <w:r>
          <w:rPr>
            <w:rStyle w:val="Lienhypertexte"/>
          </w:rPr>
          <w:t>(oxy)oxide catalysts</w:t>
        </w:r>
      </w:hyperlink>
      <w:r>
        <w:t xml:space="preserve">. </w:t>
      </w:r>
      <w:r>
        <w:rPr>
          <w:i/>
          <w:iCs/>
        </w:rPr>
        <w:t>Nature Materials</w:t>
      </w:r>
      <w:r>
        <w:t xml:space="preserve"> </w:t>
      </w:r>
      <w:r>
        <w:rPr>
          <w:b/>
          <w:bCs/>
        </w:rPr>
        <w:t>11</w:t>
      </w:r>
      <w:r>
        <w:t>, 550–557 (2012).</w:t>
      </w:r>
    </w:p>
    <w:p w14:paraId="6496F199" w14:textId="77777777" w:rsidR="00F0155C" w:rsidRDefault="00F0155C" w:rsidP="00F0155C">
      <w:pPr>
        <w:pStyle w:val="Bibliographie"/>
      </w:pPr>
      <w:bookmarkStart w:id="16" w:name="ref-Liu2025DynamicReaction"/>
      <w:bookmarkEnd w:id="15"/>
      <w:r>
        <w:t xml:space="preserve">6. </w:t>
      </w:r>
      <w:r>
        <w:tab/>
        <w:t xml:space="preserve">Liu, M. </w:t>
      </w:r>
      <w:r>
        <w:rPr>
          <w:i/>
          <w:iCs/>
        </w:rPr>
        <w:t>et al.</w:t>
      </w:r>
      <w:r>
        <w:t xml:space="preserve"> </w:t>
      </w:r>
      <w:hyperlink r:id="rId18">
        <w:r>
          <w:rPr>
            <w:rStyle w:val="Lienhypertexte"/>
          </w:rPr>
          <w:t>Dynamic modulation of electron redistribution at the heterogeneous interface nickel hydroxides/platinum boosts acidic oxygen reduction reaction</w:t>
        </w:r>
      </w:hyperlink>
      <w:r>
        <w:t xml:space="preserve">. </w:t>
      </w:r>
      <w:r>
        <w:rPr>
          <w:i/>
          <w:iCs/>
        </w:rPr>
        <w:t>Nature Communications</w:t>
      </w:r>
      <w:r>
        <w:t xml:space="preserve"> </w:t>
      </w:r>
      <w:r>
        <w:rPr>
          <w:b/>
          <w:bCs/>
        </w:rPr>
        <w:t>16</w:t>
      </w:r>
      <w:r>
        <w:t>, 1–10 (2025).</w:t>
      </w:r>
    </w:p>
    <w:p w14:paraId="0DBF7000" w14:textId="77777777" w:rsidR="00F0155C" w:rsidRDefault="00F0155C" w:rsidP="00F0155C">
      <w:pPr>
        <w:pStyle w:val="Bibliographie"/>
      </w:pPr>
      <w:bookmarkStart w:id="17" w:name="ref-Zeng2017StabilizationConversion"/>
      <w:bookmarkEnd w:id="16"/>
      <w:r>
        <w:t xml:space="preserve">7. </w:t>
      </w:r>
      <w:r>
        <w:tab/>
        <w:t xml:space="preserve">Zeng, Z., Chang, K. C., </w:t>
      </w:r>
      <w:proofErr w:type="spellStart"/>
      <w:r>
        <w:t>Kubal</w:t>
      </w:r>
      <w:proofErr w:type="spellEnd"/>
      <w:r>
        <w:t xml:space="preserve">, J., Markovic, N. M. &amp; Greeley, J. </w:t>
      </w:r>
      <w:hyperlink r:id="rId19">
        <w:r>
          <w:rPr>
            <w:rStyle w:val="Lienhypertexte"/>
          </w:rPr>
          <w:t>Stabilization of ultrathin (hydroxy)oxide films on transition metal substrates for electrochemical energy conversion</w:t>
        </w:r>
      </w:hyperlink>
      <w:r>
        <w:t xml:space="preserve">. </w:t>
      </w:r>
      <w:r>
        <w:rPr>
          <w:i/>
          <w:iCs/>
        </w:rPr>
        <w:t>Nature Energy</w:t>
      </w:r>
      <w:r>
        <w:t xml:space="preserve"> </w:t>
      </w:r>
      <w:r>
        <w:rPr>
          <w:b/>
          <w:bCs/>
        </w:rPr>
        <w:t>2</w:t>
      </w:r>
      <w:r>
        <w:t>, 1–9 (2017).</w:t>
      </w:r>
    </w:p>
    <w:p w14:paraId="04385551" w14:textId="77777777" w:rsidR="00F0155C" w:rsidRDefault="00F0155C" w:rsidP="00F0155C">
      <w:pPr>
        <w:pStyle w:val="Bibliographie"/>
      </w:pPr>
      <w:bookmarkStart w:id="18" w:name="Xf3ecd55385ed5f68bd399279aa4c93e70d5daf0"/>
      <w:bookmarkEnd w:id="17"/>
      <w:r>
        <w:t xml:space="preserve">8. </w:t>
      </w:r>
      <w:r>
        <w:tab/>
      </w:r>
      <w:proofErr w:type="spellStart"/>
      <w:r w:rsidRPr="00CF66C7">
        <w:t>Ledezma</w:t>
      </w:r>
      <w:proofErr w:type="spellEnd"/>
      <w:r w:rsidRPr="00CF66C7">
        <w:t xml:space="preserve">-Yanez, I. </w:t>
      </w:r>
      <w:r w:rsidRPr="00CF66C7">
        <w:rPr>
          <w:i/>
          <w:iCs/>
        </w:rPr>
        <w:t>et al.</w:t>
      </w:r>
      <w:r w:rsidRPr="00FA6731">
        <w:t xml:space="preserve"> </w:t>
      </w:r>
      <w:hyperlink r:id="rId20">
        <w:r>
          <w:rPr>
            <w:rStyle w:val="Lienhypertexte"/>
          </w:rPr>
          <w:t>Interfacial water reorganization as a pH-dependent descriptor of the hydrogen evolution rate on platinum electrodes</w:t>
        </w:r>
      </w:hyperlink>
      <w:r>
        <w:t xml:space="preserve">. </w:t>
      </w:r>
      <w:r>
        <w:rPr>
          <w:i/>
          <w:iCs/>
        </w:rPr>
        <w:t>Nature Energy</w:t>
      </w:r>
      <w:r>
        <w:t xml:space="preserve"> </w:t>
      </w:r>
      <w:r>
        <w:rPr>
          <w:b/>
          <w:bCs/>
        </w:rPr>
        <w:t>2</w:t>
      </w:r>
      <w:r>
        <w:t>, 1–7 (2017).</w:t>
      </w:r>
    </w:p>
    <w:p w14:paraId="002DC970" w14:textId="77777777" w:rsidR="00F0155C" w:rsidRDefault="00F0155C" w:rsidP="00F0155C">
      <w:pPr>
        <w:pStyle w:val="Bibliographie"/>
      </w:pPr>
      <w:bookmarkStart w:id="19" w:name="ref-Sarabia2019EffectMedia"/>
      <w:bookmarkEnd w:id="18"/>
      <w:r>
        <w:t xml:space="preserve">9. </w:t>
      </w:r>
      <w:r>
        <w:tab/>
      </w:r>
      <w:proofErr w:type="spellStart"/>
      <w:r>
        <w:t>Sarabia</w:t>
      </w:r>
      <w:proofErr w:type="spellEnd"/>
      <w:r>
        <w:t xml:space="preserve">, F. J., Sebastián-Pascual, P., Koper, M. T. M., </w:t>
      </w:r>
      <w:proofErr w:type="spellStart"/>
      <w:r>
        <w:t>Climent</w:t>
      </w:r>
      <w:proofErr w:type="spellEnd"/>
      <w:r>
        <w:t xml:space="preserve">, V. &amp; </w:t>
      </w:r>
      <w:proofErr w:type="spellStart"/>
      <w:r>
        <w:t>Feliu</w:t>
      </w:r>
      <w:proofErr w:type="spellEnd"/>
      <w:r>
        <w:t xml:space="preserve">, J. M. </w:t>
      </w:r>
      <w:hyperlink r:id="rId21">
        <w:r>
          <w:rPr>
            <w:rStyle w:val="Lienhypertexte"/>
          </w:rPr>
          <w:t>Effect of the Interfacial Water Structure on the Hydrogen Evolution Reaction on Pt(111) Modified with Different Nickel Hydroxide Coverages in Alkaline Media</w:t>
        </w:r>
      </w:hyperlink>
      <w:r>
        <w:t xml:space="preserve">. </w:t>
      </w:r>
      <w:r>
        <w:rPr>
          <w:i/>
          <w:iCs/>
        </w:rPr>
        <w:t>ACS Applied Materials and Interfaces</w:t>
      </w:r>
      <w:r>
        <w:t xml:space="preserve"> </w:t>
      </w:r>
      <w:r>
        <w:rPr>
          <w:b/>
          <w:bCs/>
        </w:rPr>
        <w:t>11</w:t>
      </w:r>
      <w:r>
        <w:t>, 613–623 (2019).</w:t>
      </w:r>
    </w:p>
    <w:p w14:paraId="77958C53" w14:textId="77777777" w:rsidR="00F0155C" w:rsidRDefault="00F0155C" w:rsidP="00F0155C">
      <w:pPr>
        <w:pStyle w:val="Bibliographie"/>
      </w:pPr>
      <w:bookmarkStart w:id="20" w:name="ref-Aran-Ais2015IdenticalDisordering"/>
      <w:bookmarkEnd w:id="19"/>
      <w:r>
        <w:lastRenderedPageBreak/>
        <w:t xml:space="preserve">10. </w:t>
      </w:r>
      <w:r>
        <w:tab/>
      </w:r>
      <w:r w:rsidRPr="00CF66C7">
        <w:t>García-</w:t>
      </w:r>
      <w:proofErr w:type="spellStart"/>
      <w:r w:rsidRPr="00CF66C7">
        <w:t>Aráez</w:t>
      </w:r>
      <w:proofErr w:type="spellEnd"/>
      <w:r w:rsidRPr="00CF66C7">
        <w:t xml:space="preserve">, N., </w:t>
      </w:r>
      <w:proofErr w:type="spellStart"/>
      <w:r w:rsidRPr="00CF66C7">
        <w:t>Climent</w:t>
      </w:r>
      <w:proofErr w:type="spellEnd"/>
      <w:r w:rsidRPr="00CF66C7">
        <w:t xml:space="preserve">, V. &amp; </w:t>
      </w:r>
      <w:proofErr w:type="spellStart"/>
      <w:r w:rsidRPr="00CF66C7">
        <w:t>Feliu</w:t>
      </w:r>
      <w:proofErr w:type="spellEnd"/>
      <w:r w:rsidRPr="00CF66C7">
        <w:t xml:space="preserve">, J. M. </w:t>
      </w:r>
      <w:hyperlink r:id="rId22">
        <w:r>
          <w:rPr>
            <w:rStyle w:val="Lienhypertexte"/>
          </w:rPr>
          <w:t>Evidence of water reorientation on model electrocatalytic surfaces from nanosecond-laser-pulsed experiments</w:t>
        </w:r>
      </w:hyperlink>
      <w:r>
        <w:t xml:space="preserve">. </w:t>
      </w:r>
      <w:r>
        <w:rPr>
          <w:i/>
          <w:iCs/>
        </w:rPr>
        <w:t>Journal of the American Chemical Society</w:t>
      </w:r>
      <w:r>
        <w:t xml:space="preserve"> </w:t>
      </w:r>
      <w:r>
        <w:rPr>
          <w:b/>
          <w:bCs/>
        </w:rPr>
        <w:t>130</w:t>
      </w:r>
      <w:r>
        <w:t>, 3824–3833 (2008).</w:t>
      </w:r>
    </w:p>
    <w:p w14:paraId="3F3546A9" w14:textId="77777777" w:rsidR="00F0155C" w:rsidRDefault="00F0155C" w:rsidP="00F0155C">
      <w:pPr>
        <w:pStyle w:val="Bibliographie"/>
      </w:pPr>
      <w:bookmarkStart w:id="21" w:name="ref-Trasatti1972WorkSolutions"/>
      <w:bookmarkEnd w:id="20"/>
      <w:r>
        <w:t xml:space="preserve">11. </w:t>
      </w:r>
      <w:r>
        <w:tab/>
      </w:r>
      <w:proofErr w:type="spellStart"/>
      <w:r>
        <w:t>Trasatti</w:t>
      </w:r>
      <w:proofErr w:type="spellEnd"/>
      <w:r>
        <w:t xml:space="preserve">, S. </w:t>
      </w:r>
      <w:hyperlink r:id="rId23">
        <w:r>
          <w:rPr>
            <w:rStyle w:val="Lienhypertexte"/>
          </w:rPr>
          <w:t xml:space="preserve">Work function, electronegativity, and electrochemical </w:t>
        </w:r>
        <w:proofErr w:type="spellStart"/>
        <w:r>
          <w:rPr>
            <w:rStyle w:val="Lienhypertexte"/>
          </w:rPr>
          <w:t>behaviour</w:t>
        </w:r>
        <w:proofErr w:type="spellEnd"/>
        <w:r>
          <w:rPr>
            <w:rStyle w:val="Lienhypertexte"/>
          </w:rPr>
          <w:t xml:space="preserve"> of metals: III. Electrolytic hydrogen evolution in acid solutions</w:t>
        </w:r>
      </w:hyperlink>
      <w:r>
        <w:t xml:space="preserve">. </w:t>
      </w:r>
      <w:r>
        <w:rPr>
          <w:i/>
          <w:iCs/>
        </w:rPr>
        <w:t>Journal of Electroanalytical Chemistry and Interfacial Electrochemistry</w:t>
      </w:r>
      <w:r>
        <w:t xml:space="preserve"> </w:t>
      </w:r>
      <w:r>
        <w:rPr>
          <w:b/>
          <w:bCs/>
        </w:rPr>
        <w:t>39</w:t>
      </w:r>
      <w:r>
        <w:t>, 163–184 (1972).</w:t>
      </w:r>
    </w:p>
    <w:p w14:paraId="79E4A904" w14:textId="77777777" w:rsidR="00F0155C" w:rsidRPr="00292D9E" w:rsidRDefault="00F0155C" w:rsidP="00F0155C">
      <w:pPr>
        <w:pStyle w:val="Bibliographie"/>
        <w:rPr>
          <w:lang w:val="de-DE"/>
        </w:rPr>
      </w:pPr>
      <w:bookmarkStart w:id="22" w:name="ref-Kim2023AcidicCharge"/>
      <w:bookmarkEnd w:id="21"/>
      <w:r>
        <w:t xml:space="preserve">12. </w:t>
      </w:r>
      <w:r>
        <w:tab/>
        <w:t xml:space="preserve">Kim, M. </w:t>
      </w:r>
      <w:r>
        <w:rPr>
          <w:i/>
          <w:iCs/>
        </w:rPr>
        <w:t>et al.</w:t>
      </w:r>
      <w:r>
        <w:t xml:space="preserve"> </w:t>
      </w:r>
      <w:hyperlink r:id="rId24">
        <w:r>
          <w:rPr>
            <w:rStyle w:val="Lienhypertexte"/>
          </w:rPr>
          <w:t>Acidic Hydrogen Evolution Electrocatalysis at High-Entropy Alloys Correlates with its Composition-Dependent Potential of Zero Charge</w:t>
        </w:r>
      </w:hyperlink>
      <w:r>
        <w:t xml:space="preserve">. </w:t>
      </w:r>
      <w:r w:rsidRPr="00292D9E">
        <w:rPr>
          <w:i/>
          <w:iCs/>
          <w:lang w:val="de-DE"/>
        </w:rPr>
        <w:t>Angewandte Chemie International Edition</w:t>
      </w:r>
      <w:r w:rsidRPr="00292D9E">
        <w:rPr>
          <w:lang w:val="de-DE"/>
        </w:rPr>
        <w:t xml:space="preserve"> </w:t>
      </w:r>
      <w:r w:rsidRPr="00292D9E">
        <w:rPr>
          <w:b/>
          <w:bCs/>
          <w:lang w:val="de-DE"/>
        </w:rPr>
        <w:t>62</w:t>
      </w:r>
      <w:r w:rsidRPr="00292D9E">
        <w:rPr>
          <w:lang w:val="de-DE"/>
        </w:rPr>
        <w:t>, e202310069 (2023).</w:t>
      </w:r>
    </w:p>
    <w:p w14:paraId="543506AC" w14:textId="77777777" w:rsidR="00F0155C" w:rsidRDefault="00F0155C" w:rsidP="00F0155C">
      <w:pPr>
        <w:pStyle w:val="Bibliographie"/>
      </w:pPr>
      <w:bookmarkStart w:id="23" w:name="ref-Buckley2024TheKinetics"/>
      <w:bookmarkEnd w:id="22"/>
      <w:r w:rsidRPr="00292D9E">
        <w:rPr>
          <w:lang w:val="de-DE"/>
        </w:rPr>
        <w:t xml:space="preserve">13. </w:t>
      </w:r>
      <w:r w:rsidRPr="00292D9E">
        <w:rPr>
          <w:lang w:val="de-DE"/>
        </w:rPr>
        <w:tab/>
        <w:t xml:space="preserve">Buckley, D. N. &amp; </w:t>
      </w:r>
      <w:proofErr w:type="spellStart"/>
      <w:r w:rsidRPr="00292D9E">
        <w:rPr>
          <w:lang w:val="de-DE"/>
        </w:rPr>
        <w:t>Leddy</w:t>
      </w:r>
      <w:proofErr w:type="spellEnd"/>
      <w:r w:rsidRPr="00292D9E">
        <w:rPr>
          <w:lang w:val="de-DE"/>
        </w:rPr>
        <w:t xml:space="preserve">, J. </w:t>
      </w:r>
      <w:hyperlink r:id="rId25">
        <w:r>
          <w:rPr>
            <w:rStyle w:val="Lienhypertexte"/>
          </w:rPr>
          <w:t>The Butler-Volmer Equation Revisited: Effect of Metal Work Function on Electron Transfer Kinetics</w:t>
        </w:r>
      </w:hyperlink>
      <w:r>
        <w:t xml:space="preserve">. </w:t>
      </w:r>
      <w:r>
        <w:rPr>
          <w:i/>
          <w:iCs/>
        </w:rPr>
        <w:t>Journal of The Electrochemical Society</w:t>
      </w:r>
      <w:r>
        <w:t xml:space="preserve"> </w:t>
      </w:r>
      <w:r>
        <w:rPr>
          <w:b/>
          <w:bCs/>
        </w:rPr>
        <w:t>171</w:t>
      </w:r>
      <w:r>
        <w:t>, 116503 (2024).</w:t>
      </w:r>
    </w:p>
    <w:p w14:paraId="114DD705" w14:textId="77777777" w:rsidR="00F0155C" w:rsidRDefault="00F0155C" w:rsidP="00F0155C">
      <w:pPr>
        <w:pStyle w:val="Bibliographie"/>
      </w:pPr>
      <w:r>
        <w:t xml:space="preserve">14. </w:t>
      </w:r>
      <w:r>
        <w:tab/>
      </w:r>
      <w:r w:rsidRPr="00536498">
        <w:t xml:space="preserve">The quest for correlations. </w:t>
      </w:r>
      <w:r w:rsidRPr="00536498">
        <w:rPr>
          <w:i/>
          <w:iCs/>
        </w:rPr>
        <w:t>Nat</w:t>
      </w:r>
      <w:r>
        <w:rPr>
          <w:i/>
          <w:iCs/>
        </w:rPr>
        <w:t>ure</w:t>
      </w:r>
      <w:r w:rsidRPr="00536498">
        <w:rPr>
          <w:i/>
          <w:iCs/>
        </w:rPr>
        <w:t xml:space="preserve"> Catal</w:t>
      </w:r>
      <w:r>
        <w:rPr>
          <w:i/>
          <w:iCs/>
        </w:rPr>
        <w:t>ysis</w:t>
      </w:r>
      <w:r w:rsidRPr="00536498">
        <w:t xml:space="preserve"> </w:t>
      </w:r>
      <w:r w:rsidRPr="00536498">
        <w:rPr>
          <w:b/>
          <w:bCs/>
        </w:rPr>
        <w:t>7</w:t>
      </w:r>
      <w:r w:rsidRPr="00536498">
        <w:t>, 111 (2024).</w:t>
      </w:r>
    </w:p>
    <w:p w14:paraId="723E88D2" w14:textId="77777777" w:rsidR="00F0155C" w:rsidRDefault="00F0155C" w:rsidP="00F0155C">
      <w:pPr>
        <w:pStyle w:val="Bibliographie"/>
      </w:pPr>
      <w:bookmarkStart w:id="24" w:name="ref-Bard2022ElectrochemicalApplications"/>
      <w:bookmarkEnd w:id="23"/>
      <w:r>
        <w:t xml:space="preserve">15. </w:t>
      </w:r>
      <w:r>
        <w:tab/>
        <w:t xml:space="preserve">Bard, A. J., Faulkner, L. R. &amp; White, H. S. </w:t>
      </w:r>
      <w:r>
        <w:rPr>
          <w:i/>
          <w:iCs/>
        </w:rPr>
        <w:t>Electrochemical methods: fundamentals and applications</w:t>
      </w:r>
      <w:r>
        <w:t>. 1044 (John Wiley &amp; Sons, Ltd., 2022).</w:t>
      </w:r>
    </w:p>
    <w:p w14:paraId="6413CE5B" w14:textId="77777777" w:rsidR="00F0155C" w:rsidRDefault="00F0155C" w:rsidP="00F0155C">
      <w:pPr>
        <w:pStyle w:val="Bibliographie"/>
      </w:pPr>
      <w:bookmarkStart w:id="25" w:name="X0f82b6dcb5db0b692f5d682a1ef547a961ea03e"/>
      <w:bookmarkEnd w:id="24"/>
      <w:r>
        <w:t xml:space="preserve">16. </w:t>
      </w:r>
      <w:r>
        <w:tab/>
        <w:t xml:space="preserve">Morrison, S. R. </w:t>
      </w:r>
      <w:r>
        <w:rPr>
          <w:i/>
          <w:iCs/>
        </w:rPr>
        <w:t>Electrochemistry at Semiconductor and Oxidized Metal Electrodes</w:t>
      </w:r>
      <w:r>
        <w:t>. 416 (Springer-Verlag New York Inc., 2011).</w:t>
      </w:r>
    </w:p>
    <w:p w14:paraId="66E072D1" w14:textId="77777777" w:rsidR="00F0155C" w:rsidRDefault="00F0155C" w:rsidP="00F0155C">
      <w:pPr>
        <w:pStyle w:val="Bibliographie"/>
      </w:pPr>
      <w:bookmarkStart w:id="26" w:name="ref-Ooka2021TheExtensions"/>
      <w:bookmarkEnd w:id="25"/>
      <w:r>
        <w:t xml:space="preserve">17. </w:t>
      </w:r>
      <w:r>
        <w:tab/>
      </w:r>
      <w:proofErr w:type="spellStart"/>
      <w:r>
        <w:t>Ooka</w:t>
      </w:r>
      <w:proofErr w:type="spellEnd"/>
      <w:r>
        <w:t xml:space="preserve">, H., Huang, J. &amp; Exner, K. S. </w:t>
      </w:r>
      <w:hyperlink r:id="rId26">
        <w:r>
          <w:rPr>
            <w:rStyle w:val="Lienhypertexte"/>
          </w:rPr>
          <w:t>The Sabatier Principle in Electrocatalysis: Basics, Limitations, and Extensions</w:t>
        </w:r>
      </w:hyperlink>
      <w:r>
        <w:t xml:space="preserve">. </w:t>
      </w:r>
      <w:r>
        <w:rPr>
          <w:i/>
          <w:iCs/>
        </w:rPr>
        <w:t>Frontiers in Energy Research</w:t>
      </w:r>
      <w:r>
        <w:t xml:space="preserve"> </w:t>
      </w:r>
      <w:r>
        <w:rPr>
          <w:b/>
          <w:bCs/>
        </w:rPr>
        <w:t>9</w:t>
      </w:r>
      <w:r>
        <w:t>, 654460 (2021).</w:t>
      </w:r>
    </w:p>
    <w:p w14:paraId="4BA19C22" w14:textId="77777777" w:rsidR="00F0155C" w:rsidRDefault="00F0155C" w:rsidP="00F0155C">
      <w:pPr>
        <w:pStyle w:val="Bibliographie"/>
      </w:pPr>
      <w:bookmarkStart w:id="27" w:name="ref-Dadallagei2023NewElectrodes"/>
      <w:bookmarkEnd w:id="26"/>
      <w:r w:rsidRPr="004B422D">
        <w:rPr>
          <w:lang w:val="fr-FR"/>
        </w:rPr>
        <w:t xml:space="preserve">18. </w:t>
      </w:r>
      <w:r w:rsidRPr="004B422D">
        <w:rPr>
          <w:lang w:val="fr-FR"/>
        </w:rPr>
        <w:tab/>
      </w:r>
      <w:proofErr w:type="spellStart"/>
      <w:r w:rsidRPr="004B422D">
        <w:rPr>
          <w:lang w:val="fr-FR"/>
        </w:rPr>
        <w:t>Dadallagei</w:t>
      </w:r>
      <w:proofErr w:type="spellEnd"/>
      <w:r w:rsidRPr="004B422D">
        <w:rPr>
          <w:lang w:val="fr-FR"/>
        </w:rPr>
        <w:t xml:space="preserve">, K. S. R. </w:t>
      </w:r>
      <w:r w:rsidRPr="004B422D">
        <w:rPr>
          <w:i/>
          <w:iCs/>
          <w:lang w:val="fr-FR"/>
        </w:rPr>
        <w:t>et al.</w:t>
      </w:r>
      <w:r w:rsidRPr="004B422D">
        <w:rPr>
          <w:lang w:val="fr-FR"/>
        </w:rPr>
        <w:t xml:space="preserve"> </w:t>
      </w:r>
      <w:hyperlink r:id="rId27">
        <w:r w:rsidRPr="00292D9E">
          <w:rPr>
            <w:rStyle w:val="Lienhypertexte"/>
          </w:rPr>
          <w:t>New Perspectives from Classical Transition State Theory: The Hydrogen Evolution Reaction on Metal Electrodes</w:t>
        </w:r>
      </w:hyperlink>
      <w:r w:rsidRPr="00292D9E">
        <w:t xml:space="preserve">. </w:t>
      </w:r>
      <w:r>
        <w:rPr>
          <w:i/>
          <w:iCs/>
        </w:rPr>
        <w:t>Journal of The Electrochemical Society</w:t>
      </w:r>
      <w:r>
        <w:t xml:space="preserve"> </w:t>
      </w:r>
      <w:r>
        <w:rPr>
          <w:b/>
          <w:bCs/>
        </w:rPr>
        <w:t>170</w:t>
      </w:r>
      <w:r>
        <w:t>, 086508 (2023).</w:t>
      </w:r>
    </w:p>
    <w:p w14:paraId="11EFA6E3" w14:textId="77777777" w:rsidR="00F0155C" w:rsidRDefault="00F0155C" w:rsidP="00F0155C">
      <w:pPr>
        <w:pStyle w:val="Bibliographie"/>
      </w:pPr>
      <w:bookmarkStart w:id="28" w:name="ref-Sheng2013CorrelatingSurfaces"/>
      <w:bookmarkEnd w:id="27"/>
      <w:r>
        <w:t xml:space="preserve">19. </w:t>
      </w:r>
      <w:r>
        <w:tab/>
        <w:t xml:space="preserve">Sheng, W., </w:t>
      </w:r>
      <w:proofErr w:type="spellStart"/>
      <w:r>
        <w:t>Myint</w:t>
      </w:r>
      <w:proofErr w:type="spellEnd"/>
      <w:r>
        <w:t xml:space="preserve">, M., Chen, J. G. &amp; Yan, Y. </w:t>
      </w:r>
      <w:hyperlink r:id="rId28">
        <w:r>
          <w:rPr>
            <w:rStyle w:val="Lienhypertexte"/>
          </w:rPr>
          <w:t>Correlating the hydrogen evolution reaction activity in alkaline electrolytes with the hydrogen binding energy on monometallic surfaces</w:t>
        </w:r>
      </w:hyperlink>
      <w:r>
        <w:t xml:space="preserve">. </w:t>
      </w:r>
      <w:r>
        <w:rPr>
          <w:i/>
          <w:iCs/>
        </w:rPr>
        <w:t>Energy &amp; Environmental Science</w:t>
      </w:r>
      <w:r>
        <w:t xml:space="preserve"> </w:t>
      </w:r>
      <w:r>
        <w:rPr>
          <w:b/>
          <w:bCs/>
        </w:rPr>
        <w:t>6</w:t>
      </w:r>
      <w:r>
        <w:t>, 1509–1512 (2013).</w:t>
      </w:r>
    </w:p>
    <w:p w14:paraId="31E20079" w14:textId="77777777" w:rsidR="00F0155C" w:rsidRDefault="00F0155C" w:rsidP="00F0155C">
      <w:pPr>
        <w:pStyle w:val="Bibliographie"/>
      </w:pPr>
      <w:bookmarkStart w:id="29" w:name="ref-Kawano2022EffectiveDependence"/>
      <w:bookmarkEnd w:id="28"/>
      <w:r>
        <w:t xml:space="preserve">20. </w:t>
      </w:r>
      <w:r>
        <w:tab/>
        <w:t xml:space="preserve">Kawano, H. </w:t>
      </w:r>
      <w:hyperlink r:id="rId29">
        <w:r>
          <w:rPr>
            <w:rStyle w:val="Lienhypertexte"/>
          </w:rPr>
          <w:t>Effective Work Functions of the Elements: Database, Most probable value, Previously recommended value, Polycrystalline thermionic contrast, Change at critical temperature, Anisotropic dependence sequence, Particle size dependence</w:t>
        </w:r>
      </w:hyperlink>
      <w:r>
        <w:t xml:space="preserve">. </w:t>
      </w:r>
      <w:r w:rsidRPr="00292D9E">
        <w:rPr>
          <w:i/>
          <w:iCs/>
        </w:rPr>
        <w:t>Progress in Surface Science</w:t>
      </w:r>
      <w:r>
        <w:t xml:space="preserve"> </w:t>
      </w:r>
      <w:r w:rsidRPr="00292D9E">
        <w:rPr>
          <w:b/>
          <w:bCs/>
        </w:rPr>
        <w:t>97</w:t>
      </w:r>
      <w:r>
        <w:t>, 100583 (2022).</w:t>
      </w:r>
    </w:p>
    <w:p w14:paraId="4638E9AA" w14:textId="77777777" w:rsidR="00F0155C" w:rsidRDefault="00F0155C" w:rsidP="00F0155C">
      <w:pPr>
        <w:pStyle w:val="Bibliographie"/>
      </w:pPr>
      <w:bookmarkStart w:id="30" w:name="ref-Ganassin2017OnElectrodes"/>
      <w:bookmarkEnd w:id="29"/>
      <w:r>
        <w:lastRenderedPageBreak/>
        <w:t xml:space="preserve">21. </w:t>
      </w:r>
      <w:r>
        <w:tab/>
      </w:r>
      <w:proofErr w:type="spellStart"/>
      <w:r>
        <w:t>Ganassin</w:t>
      </w:r>
      <w:proofErr w:type="spellEnd"/>
      <w:r>
        <w:t xml:space="preserve">, A. </w:t>
      </w:r>
      <w:r>
        <w:rPr>
          <w:i/>
          <w:iCs/>
        </w:rPr>
        <w:t>et al.</w:t>
      </w:r>
      <w:r>
        <w:t xml:space="preserve"> </w:t>
      </w:r>
      <w:hyperlink r:id="rId30">
        <w:r>
          <w:rPr>
            <w:rStyle w:val="Lienhypertexte"/>
          </w:rPr>
          <w:t xml:space="preserve">On the pH Dependence of the Potential of Maximum Entropy of </w:t>
        </w:r>
        <w:proofErr w:type="spellStart"/>
        <w:proofErr w:type="gramStart"/>
        <w:r>
          <w:rPr>
            <w:rStyle w:val="Lienhypertexte"/>
          </w:rPr>
          <w:t>Ir</w:t>
        </w:r>
        <w:proofErr w:type="spellEnd"/>
        <w:r>
          <w:rPr>
            <w:rStyle w:val="Lienhypertexte"/>
          </w:rPr>
          <w:t>(</w:t>
        </w:r>
        <w:proofErr w:type="gramEnd"/>
        <w:r>
          <w:rPr>
            <w:rStyle w:val="Lienhypertexte"/>
          </w:rPr>
          <w:t>111) Electrodes</w:t>
        </w:r>
      </w:hyperlink>
      <w:r>
        <w:t xml:space="preserve">. </w:t>
      </w:r>
      <w:r>
        <w:rPr>
          <w:i/>
          <w:iCs/>
        </w:rPr>
        <w:t>Scientific Reports</w:t>
      </w:r>
      <w:r>
        <w:t xml:space="preserve"> </w:t>
      </w:r>
      <w:r>
        <w:rPr>
          <w:b/>
          <w:bCs/>
        </w:rPr>
        <w:t>7</w:t>
      </w:r>
      <w:r>
        <w:t>, 1246 (2017).</w:t>
      </w:r>
    </w:p>
    <w:p w14:paraId="1068F215" w14:textId="77777777" w:rsidR="00F0155C" w:rsidRDefault="00F0155C" w:rsidP="00F0155C">
      <w:pPr>
        <w:pStyle w:val="Bibliographie"/>
      </w:pPr>
      <w:bookmarkStart w:id="31" w:name="ref-Sauve2024OpenElectrocatalysis"/>
      <w:bookmarkEnd w:id="30"/>
      <w:r w:rsidRPr="008E5CF3">
        <w:t xml:space="preserve">22. </w:t>
      </w:r>
      <w:r w:rsidRPr="008E5CF3">
        <w:tab/>
        <w:t xml:space="preserve">Sauvé, E. R. </w:t>
      </w:r>
      <w:r w:rsidRPr="008E5CF3">
        <w:rPr>
          <w:i/>
          <w:iCs/>
        </w:rPr>
        <w:t>et al.</w:t>
      </w:r>
      <w:r w:rsidRPr="008E5CF3">
        <w:t xml:space="preserve"> </w:t>
      </w:r>
      <w:hyperlink r:id="rId31">
        <w:r>
          <w:rPr>
            <w:rStyle w:val="Lienhypertexte"/>
          </w:rPr>
          <w:t>Open circuit potential decay transients quantify interfacial pH swings during high current density hydrogen electrocatalysis</w:t>
        </w:r>
      </w:hyperlink>
      <w:r>
        <w:t xml:space="preserve">. </w:t>
      </w:r>
      <w:r>
        <w:rPr>
          <w:i/>
          <w:iCs/>
        </w:rPr>
        <w:t>Joule</w:t>
      </w:r>
      <w:r>
        <w:t xml:space="preserve"> </w:t>
      </w:r>
      <w:r>
        <w:rPr>
          <w:b/>
          <w:bCs/>
        </w:rPr>
        <w:t>8</w:t>
      </w:r>
      <w:r>
        <w:t>, 728–745 (2024).</w:t>
      </w:r>
    </w:p>
    <w:p w14:paraId="251BC282" w14:textId="77777777" w:rsidR="00F0155C" w:rsidRDefault="00F0155C" w:rsidP="00F0155C">
      <w:pPr>
        <w:pStyle w:val="Bibliographie"/>
      </w:pPr>
      <w:bookmarkStart w:id="32" w:name="ref-Hinnemann2005BiomimeticEvolution"/>
      <w:bookmarkEnd w:id="31"/>
      <w:r>
        <w:t xml:space="preserve">23. </w:t>
      </w:r>
      <w:r>
        <w:tab/>
      </w:r>
      <w:proofErr w:type="spellStart"/>
      <w:r>
        <w:t>Hinnemann</w:t>
      </w:r>
      <w:proofErr w:type="spellEnd"/>
      <w:r>
        <w:t xml:space="preserve">, B. </w:t>
      </w:r>
      <w:r>
        <w:rPr>
          <w:i/>
          <w:iCs/>
        </w:rPr>
        <w:t>et al.</w:t>
      </w:r>
      <w:r>
        <w:t xml:space="preserve"> </w:t>
      </w:r>
      <w:hyperlink r:id="rId32">
        <w:r>
          <w:rPr>
            <w:rStyle w:val="Lienhypertexte"/>
          </w:rPr>
          <w:t>Biomimetic hydrogen evolution: MoS</w:t>
        </w:r>
        <w:r w:rsidRPr="004B422D">
          <w:rPr>
            <w:rStyle w:val="Lienhypertexte"/>
            <w:vertAlign w:val="subscript"/>
          </w:rPr>
          <w:t>2</w:t>
        </w:r>
        <w:r>
          <w:rPr>
            <w:rStyle w:val="Lienhypertexte"/>
          </w:rPr>
          <w:t xml:space="preserve"> nanoparticles as catalyst for hydrogen evolution</w:t>
        </w:r>
      </w:hyperlink>
      <w:r>
        <w:t xml:space="preserve">. </w:t>
      </w:r>
      <w:r>
        <w:rPr>
          <w:i/>
          <w:iCs/>
        </w:rPr>
        <w:t>Journal of the American Chemical Society</w:t>
      </w:r>
      <w:r>
        <w:t xml:space="preserve"> </w:t>
      </w:r>
      <w:r>
        <w:rPr>
          <w:b/>
          <w:bCs/>
        </w:rPr>
        <w:t>127</w:t>
      </w:r>
      <w:r>
        <w:t>, 5308–5309 (2005).</w:t>
      </w:r>
    </w:p>
    <w:p w14:paraId="3501B584" w14:textId="77777777" w:rsidR="00F0155C" w:rsidRDefault="00F0155C" w:rsidP="00F0155C">
      <w:pPr>
        <w:pStyle w:val="Bibliographie"/>
      </w:pPr>
      <w:bookmarkStart w:id="33" w:name="ref-Chemin2023Surface-MediatedDiamond"/>
      <w:bookmarkEnd w:id="32"/>
      <w:r>
        <w:t xml:space="preserve">24. </w:t>
      </w:r>
      <w:r>
        <w:tab/>
        <w:t xml:space="preserve">Chemin, A. </w:t>
      </w:r>
      <w:r>
        <w:rPr>
          <w:i/>
          <w:iCs/>
        </w:rPr>
        <w:t>et al.</w:t>
      </w:r>
      <w:r>
        <w:t xml:space="preserve"> Surface-Mediated Charge Transfer of Photogenerated Carriers in Diamond. </w:t>
      </w:r>
      <w:r>
        <w:rPr>
          <w:i/>
          <w:iCs/>
        </w:rPr>
        <w:t>Small Methods</w:t>
      </w:r>
      <w:r>
        <w:t xml:space="preserve"> </w:t>
      </w:r>
      <w:r w:rsidRPr="00292D9E">
        <w:rPr>
          <w:b/>
          <w:bCs/>
        </w:rPr>
        <w:t>7</w:t>
      </w:r>
      <w:r>
        <w:t>, 2300423</w:t>
      </w:r>
      <w:r w:rsidRPr="00721941">
        <w:t xml:space="preserve"> </w:t>
      </w:r>
      <w:r>
        <w:t>(2023).</w:t>
      </w:r>
    </w:p>
    <w:p w14:paraId="1D9D5CF3" w14:textId="77777777" w:rsidR="00F0155C" w:rsidRPr="007B42B6" w:rsidRDefault="00F0155C" w:rsidP="00F0155C">
      <w:pPr>
        <w:pStyle w:val="Bibliographie"/>
        <w:rPr>
          <w:b/>
          <w:bCs/>
          <w:lang w:val="en-GB"/>
        </w:rPr>
      </w:pPr>
      <w:bookmarkStart w:id="34" w:name="X4e2d82ff92da04264b73d5bd0f86554675a6a05"/>
      <w:bookmarkEnd w:id="33"/>
      <w:r>
        <w:t xml:space="preserve">25. </w:t>
      </w:r>
      <w:r>
        <w:tab/>
        <w:t xml:space="preserve">Chemin, A. </w:t>
      </w:r>
      <w:r>
        <w:rPr>
          <w:i/>
          <w:iCs/>
        </w:rPr>
        <w:t>et al.</w:t>
      </w:r>
      <w:r>
        <w:t xml:space="preserve"> Modulating Surface Redox Reactions and Solvated Electron Emission on Boron-Doped Diamond by (Photo)Electrochemistry. </w:t>
      </w:r>
      <w:r>
        <w:rPr>
          <w:i/>
          <w:iCs/>
        </w:rPr>
        <w:t>PRX Energy</w:t>
      </w:r>
      <w:r>
        <w:t xml:space="preserve"> (2025), </w:t>
      </w:r>
      <w:hyperlink r:id="rId33" w:history="1">
        <w:r w:rsidRPr="00292D9E">
          <w:rPr>
            <w:rStyle w:val="Lienhypertexte"/>
          </w:rPr>
          <w:t>https://doi.org/10.1103/zhcb-13pn</w:t>
        </w:r>
      </w:hyperlink>
      <w:r>
        <w:t>.</w:t>
      </w:r>
    </w:p>
    <w:p w14:paraId="3903A182" w14:textId="77777777" w:rsidR="00F0155C" w:rsidRDefault="00F0155C" w:rsidP="00F0155C">
      <w:pPr>
        <w:pStyle w:val="Bibliographie"/>
      </w:pPr>
      <w:bookmarkStart w:id="35" w:name="ref-Kim2014GreatDeposition"/>
      <w:bookmarkEnd w:id="34"/>
      <w:r>
        <w:t xml:space="preserve">26. </w:t>
      </w:r>
      <w:r>
        <w:tab/>
        <w:t xml:space="preserve">Kim, S. I., </w:t>
      </w:r>
      <w:proofErr w:type="spellStart"/>
      <w:r>
        <w:t>Thiyagarajan</w:t>
      </w:r>
      <w:proofErr w:type="spellEnd"/>
      <w:r>
        <w:t xml:space="preserve">, P. &amp; Jang, J. H. </w:t>
      </w:r>
      <w:hyperlink r:id="rId34">
        <w:r>
          <w:rPr>
            <w:rStyle w:val="Lienhypertexte"/>
          </w:rPr>
          <w:t xml:space="preserve">Great improvement in </w:t>
        </w:r>
        <w:proofErr w:type="spellStart"/>
        <w:r>
          <w:rPr>
            <w:rStyle w:val="Lienhypertexte"/>
          </w:rPr>
          <w:t>pseudocapacitor</w:t>
        </w:r>
        <w:proofErr w:type="spellEnd"/>
        <w:r>
          <w:rPr>
            <w:rStyle w:val="Lienhypertexte"/>
          </w:rPr>
          <w:t xml:space="preserve"> properties of nickel hydroxide via simple gold deposition</w:t>
        </w:r>
      </w:hyperlink>
      <w:r>
        <w:t xml:space="preserve">. </w:t>
      </w:r>
      <w:r>
        <w:rPr>
          <w:i/>
          <w:iCs/>
        </w:rPr>
        <w:t>Nanoscale</w:t>
      </w:r>
      <w:r>
        <w:t xml:space="preserve"> </w:t>
      </w:r>
      <w:r>
        <w:rPr>
          <w:b/>
          <w:bCs/>
        </w:rPr>
        <w:t>6</w:t>
      </w:r>
      <w:r>
        <w:t>, 11646–11652 (2014).</w:t>
      </w:r>
    </w:p>
    <w:p w14:paraId="5B57B9CA" w14:textId="77777777" w:rsidR="00F0155C" w:rsidRDefault="00F0155C" w:rsidP="00F0155C">
      <w:pPr>
        <w:pStyle w:val="Bibliographie"/>
      </w:pPr>
      <w:bookmarkStart w:id="36" w:name="ref-Ping2024SynthesisCondensation"/>
      <w:bookmarkEnd w:id="35"/>
      <w:r>
        <w:t xml:space="preserve">27. </w:t>
      </w:r>
      <w:r>
        <w:tab/>
        <w:t xml:space="preserve">Ping, L. </w:t>
      </w:r>
      <w:r>
        <w:rPr>
          <w:i/>
          <w:iCs/>
        </w:rPr>
        <w:t>et al.</w:t>
      </w:r>
      <w:r>
        <w:t xml:space="preserve"> </w:t>
      </w:r>
      <w:hyperlink r:id="rId35">
        <w:r>
          <w:rPr>
            <w:rStyle w:val="Lienhypertexte"/>
          </w:rPr>
          <w:t>Synthesis of 2D layered transition metal (Ni, Co) hydroxides via edge-on condensation</w:t>
        </w:r>
      </w:hyperlink>
      <w:r>
        <w:t xml:space="preserve">. </w:t>
      </w:r>
      <w:r>
        <w:rPr>
          <w:i/>
          <w:iCs/>
        </w:rPr>
        <w:t>Scientific Reports</w:t>
      </w:r>
      <w:r>
        <w:t xml:space="preserve"> </w:t>
      </w:r>
      <w:r>
        <w:rPr>
          <w:b/>
          <w:bCs/>
        </w:rPr>
        <w:t>14</w:t>
      </w:r>
      <w:r>
        <w:t>, 1–9 (2024).</w:t>
      </w:r>
    </w:p>
    <w:p w14:paraId="4F7F51C0" w14:textId="77777777" w:rsidR="00F0155C" w:rsidRDefault="00F0155C" w:rsidP="00F0155C">
      <w:pPr>
        <w:pStyle w:val="Bibliographie"/>
      </w:pPr>
      <w:bookmarkStart w:id="37" w:name="ref-Suksomboon2021ReducingNanoparticles"/>
      <w:bookmarkEnd w:id="36"/>
      <w:r>
        <w:t xml:space="preserve">28. </w:t>
      </w:r>
      <w:r>
        <w:tab/>
      </w:r>
      <w:proofErr w:type="spellStart"/>
      <w:r>
        <w:t>Suksomboon</w:t>
      </w:r>
      <w:proofErr w:type="spellEnd"/>
      <w:r>
        <w:t xml:space="preserve">, M., </w:t>
      </w:r>
      <w:proofErr w:type="spellStart"/>
      <w:r>
        <w:t>Kongsawatvoragul</w:t>
      </w:r>
      <w:proofErr w:type="spellEnd"/>
      <w:r>
        <w:t xml:space="preserve">, K., </w:t>
      </w:r>
      <w:proofErr w:type="spellStart"/>
      <w:r>
        <w:t>Duangdangchote</w:t>
      </w:r>
      <w:proofErr w:type="spellEnd"/>
      <w:r>
        <w:t xml:space="preserve">, S. &amp; </w:t>
      </w:r>
      <w:proofErr w:type="spellStart"/>
      <w:r>
        <w:t>Sawangphruk</w:t>
      </w:r>
      <w:proofErr w:type="spellEnd"/>
      <w:r>
        <w:t xml:space="preserve">, M. </w:t>
      </w:r>
      <w:hyperlink r:id="rId36">
        <w:r>
          <w:rPr>
            <w:rStyle w:val="Lienhypertexte"/>
          </w:rPr>
          <w:t>Reducing the Energy Band Gap of Cobalt Hydroxide Nanosheets with Silver Atoms and Enhancing Their Electrical Conductivity with Silver Nanoparticles</w:t>
        </w:r>
      </w:hyperlink>
      <w:r>
        <w:t xml:space="preserve">. </w:t>
      </w:r>
      <w:r>
        <w:rPr>
          <w:i/>
          <w:iCs/>
        </w:rPr>
        <w:t>ACS Omega</w:t>
      </w:r>
      <w:r>
        <w:t xml:space="preserve"> </w:t>
      </w:r>
      <w:r>
        <w:rPr>
          <w:b/>
          <w:bCs/>
        </w:rPr>
        <w:t>6</w:t>
      </w:r>
      <w:r>
        <w:t>, 20804–20811 (2021).</w:t>
      </w:r>
    </w:p>
    <w:p w14:paraId="627004A5" w14:textId="77777777" w:rsidR="00F0155C" w:rsidRPr="00292D9E" w:rsidRDefault="00F0155C" w:rsidP="00F0155C">
      <w:pPr>
        <w:pStyle w:val="Bibliographie"/>
        <w:rPr>
          <w:lang w:val="de-DE"/>
        </w:rPr>
      </w:pPr>
      <w:bookmarkStart w:id="38" w:name="ref-Ali2016PhotocatalyticOxyhydroxides"/>
      <w:bookmarkEnd w:id="37"/>
      <w:r>
        <w:t xml:space="preserve">29. </w:t>
      </w:r>
      <w:r>
        <w:tab/>
        <w:t xml:space="preserve">Ali, F. M., </w:t>
      </w:r>
      <w:proofErr w:type="spellStart"/>
      <w:r>
        <w:t>Hmadeh</w:t>
      </w:r>
      <w:proofErr w:type="spellEnd"/>
      <w:r>
        <w:t xml:space="preserve">, M., O’Brien, P. G., Perovic, D. D. &amp; </w:t>
      </w:r>
      <w:proofErr w:type="spellStart"/>
      <w:r>
        <w:t>Ozin</w:t>
      </w:r>
      <w:proofErr w:type="spellEnd"/>
      <w:r>
        <w:t xml:space="preserve">, G. A. </w:t>
      </w:r>
      <w:hyperlink r:id="rId37">
        <w:r>
          <w:rPr>
            <w:rStyle w:val="Lienhypertexte"/>
          </w:rPr>
          <w:t>Photocatalytic Properties of All Four Polymorphs of Nanostructured Iron Oxyhydroxides</w:t>
        </w:r>
      </w:hyperlink>
      <w:r>
        <w:t xml:space="preserve">. </w:t>
      </w:r>
      <w:proofErr w:type="spellStart"/>
      <w:r w:rsidRPr="00292D9E">
        <w:rPr>
          <w:i/>
          <w:iCs/>
          <w:lang w:val="de-DE"/>
        </w:rPr>
        <w:t>ChemNanoMat</w:t>
      </w:r>
      <w:proofErr w:type="spellEnd"/>
      <w:r w:rsidRPr="00292D9E">
        <w:rPr>
          <w:lang w:val="de-DE"/>
        </w:rPr>
        <w:t xml:space="preserve"> </w:t>
      </w:r>
      <w:r w:rsidRPr="00292D9E">
        <w:rPr>
          <w:b/>
          <w:bCs/>
          <w:lang w:val="de-DE"/>
        </w:rPr>
        <w:t>2</w:t>
      </w:r>
      <w:r w:rsidRPr="00292D9E">
        <w:rPr>
          <w:lang w:val="de-DE"/>
        </w:rPr>
        <w:t>, 1047–1054 (2016).</w:t>
      </w:r>
    </w:p>
    <w:p w14:paraId="7E6F1C3B" w14:textId="77777777" w:rsidR="00F0155C" w:rsidRDefault="00F0155C" w:rsidP="00F0155C">
      <w:pPr>
        <w:pStyle w:val="Bibliographie"/>
      </w:pPr>
      <w:bookmarkStart w:id="39" w:name="ref-Schindler2024DiscoveryLearning"/>
      <w:bookmarkEnd w:id="38"/>
      <w:r w:rsidRPr="00292D9E">
        <w:rPr>
          <w:lang w:val="de-DE"/>
        </w:rPr>
        <w:t xml:space="preserve">30. </w:t>
      </w:r>
      <w:r w:rsidRPr="00292D9E">
        <w:rPr>
          <w:lang w:val="de-DE"/>
        </w:rPr>
        <w:tab/>
        <w:t xml:space="preserve">Schindler, P., </w:t>
      </w:r>
      <w:proofErr w:type="spellStart"/>
      <w:r w:rsidRPr="00292D9E">
        <w:rPr>
          <w:lang w:val="de-DE"/>
        </w:rPr>
        <w:t>Antoniuk</w:t>
      </w:r>
      <w:proofErr w:type="spellEnd"/>
      <w:r w:rsidRPr="00292D9E">
        <w:rPr>
          <w:lang w:val="de-DE"/>
        </w:rPr>
        <w:t xml:space="preserve">, E. R., </w:t>
      </w:r>
      <w:proofErr w:type="spellStart"/>
      <w:r w:rsidRPr="00292D9E">
        <w:rPr>
          <w:lang w:val="de-DE"/>
        </w:rPr>
        <w:t>Cheon</w:t>
      </w:r>
      <w:proofErr w:type="spellEnd"/>
      <w:r w:rsidRPr="00292D9E">
        <w:rPr>
          <w:lang w:val="de-DE"/>
        </w:rPr>
        <w:t xml:space="preserve">, G., Zhu, Y. &amp; Reed, E. J. </w:t>
      </w:r>
      <w:hyperlink r:id="rId38">
        <w:r>
          <w:rPr>
            <w:rStyle w:val="Lienhypertexte"/>
          </w:rPr>
          <w:t>Discovery of Stable Surfaces with Extreme Work Functions by High-Throughput Density Functional Theory and Machine Learning</w:t>
        </w:r>
      </w:hyperlink>
      <w:r>
        <w:t xml:space="preserve">. </w:t>
      </w:r>
      <w:r>
        <w:rPr>
          <w:i/>
          <w:iCs/>
        </w:rPr>
        <w:t>Advanced Functional Materials</w:t>
      </w:r>
      <w:r>
        <w:t xml:space="preserve"> </w:t>
      </w:r>
      <w:r>
        <w:rPr>
          <w:b/>
          <w:bCs/>
        </w:rPr>
        <w:t>34</w:t>
      </w:r>
      <w:r>
        <w:t>, 2401764 (2024).</w:t>
      </w:r>
    </w:p>
    <w:p w14:paraId="079B1207" w14:textId="77777777" w:rsidR="00F0155C" w:rsidRDefault="00F0155C" w:rsidP="00F0155C">
      <w:pPr>
        <w:pStyle w:val="Bibliographie"/>
      </w:pPr>
      <w:bookmarkStart w:id="40" w:name="ref-Sui2021AnticatalyticBatteries"/>
      <w:bookmarkEnd w:id="39"/>
      <w:r>
        <w:t xml:space="preserve">31. </w:t>
      </w:r>
      <w:r>
        <w:tab/>
        <w:t xml:space="preserve">Sui, Y. &amp; Ji, X. </w:t>
      </w:r>
      <w:hyperlink r:id="rId39">
        <w:r>
          <w:rPr>
            <w:rStyle w:val="Lienhypertexte"/>
          </w:rPr>
          <w:t>Anticatalytic Strategies to Suppress Water Electrolysis in Aqueous Batteries</w:t>
        </w:r>
      </w:hyperlink>
      <w:r>
        <w:t xml:space="preserve">. </w:t>
      </w:r>
      <w:r>
        <w:rPr>
          <w:i/>
          <w:iCs/>
        </w:rPr>
        <w:t>Chemical Reviews</w:t>
      </w:r>
      <w:r>
        <w:t xml:space="preserve"> </w:t>
      </w:r>
      <w:r>
        <w:rPr>
          <w:b/>
          <w:bCs/>
        </w:rPr>
        <w:t>121</w:t>
      </w:r>
      <w:r>
        <w:t>, 6654–6695 (2021).</w:t>
      </w:r>
    </w:p>
    <w:p w14:paraId="630F3D21" w14:textId="77777777" w:rsidR="00F0155C" w:rsidRDefault="00F0155C" w:rsidP="00F0155C">
      <w:pPr>
        <w:pStyle w:val="Bibliographie"/>
      </w:pPr>
      <w:bookmarkStart w:id="41" w:name="ref-Shilov2015TheTheory"/>
      <w:bookmarkEnd w:id="40"/>
      <w:r>
        <w:lastRenderedPageBreak/>
        <w:t xml:space="preserve">32. </w:t>
      </w:r>
      <w:r>
        <w:tab/>
      </w:r>
      <w:proofErr w:type="spellStart"/>
      <w:r>
        <w:t>Shilov</w:t>
      </w:r>
      <w:proofErr w:type="spellEnd"/>
      <w:r>
        <w:t xml:space="preserve">, I. Y. &amp; </w:t>
      </w:r>
      <w:proofErr w:type="spellStart"/>
      <w:r>
        <w:t>Lyashchenko</w:t>
      </w:r>
      <w:proofErr w:type="spellEnd"/>
      <w:r>
        <w:t xml:space="preserve">, A. K. </w:t>
      </w:r>
      <w:hyperlink r:id="rId40">
        <w:r>
          <w:rPr>
            <w:rStyle w:val="Lienhypertexte"/>
          </w:rPr>
          <w:t>The Role of Concentration Dependent Static Permittivity of Electrolyte Solutions in the Debye-</w:t>
        </w:r>
        <w:proofErr w:type="spellStart"/>
        <w:r>
          <w:rPr>
            <w:rStyle w:val="Lienhypertexte"/>
          </w:rPr>
          <w:t>Hückel</w:t>
        </w:r>
        <w:proofErr w:type="spellEnd"/>
        <w:r>
          <w:rPr>
            <w:rStyle w:val="Lienhypertexte"/>
          </w:rPr>
          <w:t xml:space="preserve"> Theory</w:t>
        </w:r>
      </w:hyperlink>
      <w:r>
        <w:t xml:space="preserve">. </w:t>
      </w:r>
      <w:r>
        <w:rPr>
          <w:i/>
          <w:iCs/>
        </w:rPr>
        <w:t>Journal of Physical Chemistry B</w:t>
      </w:r>
      <w:r>
        <w:t xml:space="preserve"> </w:t>
      </w:r>
      <w:r>
        <w:rPr>
          <w:b/>
          <w:bCs/>
        </w:rPr>
        <w:t>119</w:t>
      </w:r>
      <w:r>
        <w:t>, 10087–10095 (2015).</w:t>
      </w:r>
    </w:p>
    <w:bookmarkEnd w:id="8"/>
    <w:bookmarkEnd w:id="9"/>
    <w:bookmarkEnd w:id="11"/>
    <w:bookmarkEnd w:id="41"/>
    <w:p w14:paraId="4D8BE07F" w14:textId="77777777" w:rsidR="00F0155C" w:rsidRPr="00F0155C" w:rsidRDefault="00F0155C" w:rsidP="00F0155C">
      <w:pPr>
        <w:pStyle w:val="Corpsdetexte"/>
      </w:pPr>
    </w:p>
    <w:sectPr w:rsidR="00F0155C" w:rsidRPr="00F0155C" w:rsidSect="002C5CF4">
      <w:headerReference w:type="even" r:id="rId41"/>
      <w:headerReference w:type="default" r:id="rId42"/>
      <w:footerReference w:type="even" r:id="rId43"/>
      <w:footerReference w:type="default" r:id="rId44"/>
      <w:headerReference w:type="first" r:id="rId45"/>
      <w:footerReference w:type="first" r:id="rId46"/>
      <w:pgSz w:w="11909" w:h="16834" w:code="9"/>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F45DD" w14:textId="77777777" w:rsidR="00F83C00" w:rsidRDefault="00F83C00">
      <w:pPr>
        <w:spacing w:after="0" w:line="240" w:lineRule="auto"/>
      </w:pPr>
      <w:r>
        <w:separator/>
      </w:r>
    </w:p>
  </w:endnote>
  <w:endnote w:type="continuationSeparator" w:id="0">
    <w:p w14:paraId="1416AC47" w14:textId="77777777" w:rsidR="00F83C00" w:rsidRDefault="00F83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FE839" w14:textId="77777777" w:rsidR="00A01A62" w:rsidRDefault="00A01A6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502396"/>
      <w:docPartObj>
        <w:docPartGallery w:val="Page Numbers (Bottom of Page)"/>
        <w:docPartUnique/>
      </w:docPartObj>
    </w:sdtPr>
    <w:sdtEndPr/>
    <w:sdtContent>
      <w:p w14:paraId="38ED0D81" w14:textId="77777777" w:rsidR="00A01A62" w:rsidRDefault="00A01A62">
        <w:pPr>
          <w:pStyle w:val="Pieddepage"/>
          <w:jc w:val="center"/>
        </w:pPr>
        <w:r>
          <w:fldChar w:fldCharType="begin"/>
        </w:r>
        <w:r>
          <w:instrText>PAGE   \* MERGEFORMAT</w:instrText>
        </w:r>
        <w:r>
          <w:fldChar w:fldCharType="separate"/>
        </w:r>
        <w:r>
          <w:rPr>
            <w:lang w:val="de-DE"/>
          </w:rPr>
          <w:t>2</w:t>
        </w:r>
        <w:r>
          <w:fldChar w:fldCharType="end"/>
        </w:r>
      </w:p>
    </w:sdtContent>
  </w:sdt>
  <w:p w14:paraId="792BD5F1" w14:textId="77777777" w:rsidR="00A01A62" w:rsidRDefault="00A01A6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EC17" w14:textId="77777777" w:rsidR="00A01A62" w:rsidRDefault="00A01A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7972C" w14:textId="77777777" w:rsidR="00F83C00" w:rsidRDefault="00F83C00">
      <w:pPr>
        <w:spacing w:after="0" w:line="240" w:lineRule="auto"/>
      </w:pPr>
      <w:r>
        <w:separator/>
      </w:r>
    </w:p>
  </w:footnote>
  <w:footnote w:type="continuationSeparator" w:id="0">
    <w:p w14:paraId="52D33DFC" w14:textId="77777777" w:rsidR="00F83C00" w:rsidRDefault="00F83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17442" w14:textId="77777777" w:rsidR="00A01A62" w:rsidRDefault="00A01A6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B5D30" w14:textId="77777777" w:rsidR="00A01A62" w:rsidRDefault="00A01A6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95531" w14:textId="77777777" w:rsidR="00A01A62" w:rsidRDefault="00A01A6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9411"/>
    <w:multiLevelType w:val="multilevel"/>
    <w:tmpl w:val="85D848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F7F488A"/>
    <w:multiLevelType w:val="multilevel"/>
    <w:tmpl w:val="509016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069B"/>
    <w:rsid w:val="00011C8B"/>
    <w:rsid w:val="00013A75"/>
    <w:rsid w:val="00054548"/>
    <w:rsid w:val="000745E7"/>
    <w:rsid w:val="00074CCD"/>
    <w:rsid w:val="000763CE"/>
    <w:rsid w:val="00080B01"/>
    <w:rsid w:val="00081FA1"/>
    <w:rsid w:val="000A22F3"/>
    <w:rsid w:val="000B174E"/>
    <w:rsid w:val="000C2503"/>
    <w:rsid w:val="000F0930"/>
    <w:rsid w:val="000F464E"/>
    <w:rsid w:val="001139C7"/>
    <w:rsid w:val="0012653F"/>
    <w:rsid w:val="001269F4"/>
    <w:rsid w:val="00126B87"/>
    <w:rsid w:val="001375D2"/>
    <w:rsid w:val="001426EB"/>
    <w:rsid w:val="00146B25"/>
    <w:rsid w:val="001471E6"/>
    <w:rsid w:val="001473FE"/>
    <w:rsid w:val="0015485C"/>
    <w:rsid w:val="00156D7B"/>
    <w:rsid w:val="00166045"/>
    <w:rsid w:val="001A340E"/>
    <w:rsid w:val="001E24BA"/>
    <w:rsid w:val="001E359F"/>
    <w:rsid w:val="001F14B4"/>
    <w:rsid w:val="00207C2A"/>
    <w:rsid w:val="002307A6"/>
    <w:rsid w:val="00255021"/>
    <w:rsid w:val="002566E2"/>
    <w:rsid w:val="0026223E"/>
    <w:rsid w:val="00271AE8"/>
    <w:rsid w:val="00284F95"/>
    <w:rsid w:val="00292D9E"/>
    <w:rsid w:val="002A3F58"/>
    <w:rsid w:val="002B3363"/>
    <w:rsid w:val="002C5CF4"/>
    <w:rsid w:val="002D667D"/>
    <w:rsid w:val="002E4AD6"/>
    <w:rsid w:val="002F1C68"/>
    <w:rsid w:val="00302ADF"/>
    <w:rsid w:val="0030566B"/>
    <w:rsid w:val="00306F51"/>
    <w:rsid w:val="00313CB6"/>
    <w:rsid w:val="00320123"/>
    <w:rsid w:val="003228DF"/>
    <w:rsid w:val="00345E9B"/>
    <w:rsid w:val="00386F38"/>
    <w:rsid w:val="00392D7D"/>
    <w:rsid w:val="003A363C"/>
    <w:rsid w:val="003B4B7F"/>
    <w:rsid w:val="003B501E"/>
    <w:rsid w:val="003B725A"/>
    <w:rsid w:val="003D2D05"/>
    <w:rsid w:val="003D7F3A"/>
    <w:rsid w:val="003F468E"/>
    <w:rsid w:val="003F49F2"/>
    <w:rsid w:val="0040450E"/>
    <w:rsid w:val="00412F3F"/>
    <w:rsid w:val="0042462C"/>
    <w:rsid w:val="00433DAB"/>
    <w:rsid w:val="004479B9"/>
    <w:rsid w:val="004518E8"/>
    <w:rsid w:val="00477870"/>
    <w:rsid w:val="0048198F"/>
    <w:rsid w:val="00481CE4"/>
    <w:rsid w:val="004826A2"/>
    <w:rsid w:val="00486E5B"/>
    <w:rsid w:val="004B2C16"/>
    <w:rsid w:val="004B422D"/>
    <w:rsid w:val="004B6ADC"/>
    <w:rsid w:val="004C4E3F"/>
    <w:rsid w:val="004C5E84"/>
    <w:rsid w:val="004E29B3"/>
    <w:rsid w:val="00502D0F"/>
    <w:rsid w:val="00516FA7"/>
    <w:rsid w:val="00530E8C"/>
    <w:rsid w:val="00533A1A"/>
    <w:rsid w:val="00536498"/>
    <w:rsid w:val="005504BB"/>
    <w:rsid w:val="00561F68"/>
    <w:rsid w:val="005703DE"/>
    <w:rsid w:val="00573058"/>
    <w:rsid w:val="005756E1"/>
    <w:rsid w:val="005765C2"/>
    <w:rsid w:val="00590D07"/>
    <w:rsid w:val="005C2156"/>
    <w:rsid w:val="005C4D03"/>
    <w:rsid w:val="005D73EF"/>
    <w:rsid w:val="005F258B"/>
    <w:rsid w:val="005F28B9"/>
    <w:rsid w:val="00604E88"/>
    <w:rsid w:val="006202A5"/>
    <w:rsid w:val="00627187"/>
    <w:rsid w:val="00632793"/>
    <w:rsid w:val="00636FFB"/>
    <w:rsid w:val="00644B65"/>
    <w:rsid w:val="0064557B"/>
    <w:rsid w:val="00660ED4"/>
    <w:rsid w:val="00667BCA"/>
    <w:rsid w:val="006774D4"/>
    <w:rsid w:val="00693947"/>
    <w:rsid w:val="006A422B"/>
    <w:rsid w:val="006A77B5"/>
    <w:rsid w:val="006E6561"/>
    <w:rsid w:val="006F3F7E"/>
    <w:rsid w:val="006F483C"/>
    <w:rsid w:val="006F6D6E"/>
    <w:rsid w:val="00701522"/>
    <w:rsid w:val="0070209D"/>
    <w:rsid w:val="00712F6E"/>
    <w:rsid w:val="007208EA"/>
    <w:rsid w:val="00721941"/>
    <w:rsid w:val="00725EE9"/>
    <w:rsid w:val="007324E5"/>
    <w:rsid w:val="00752CC6"/>
    <w:rsid w:val="00761306"/>
    <w:rsid w:val="007734A5"/>
    <w:rsid w:val="00775B71"/>
    <w:rsid w:val="00780457"/>
    <w:rsid w:val="0078100E"/>
    <w:rsid w:val="00784D58"/>
    <w:rsid w:val="00785266"/>
    <w:rsid w:val="00794837"/>
    <w:rsid w:val="007B2D08"/>
    <w:rsid w:val="007B3B08"/>
    <w:rsid w:val="007B42B6"/>
    <w:rsid w:val="007C6B59"/>
    <w:rsid w:val="008171BB"/>
    <w:rsid w:val="00822141"/>
    <w:rsid w:val="00826294"/>
    <w:rsid w:val="00840041"/>
    <w:rsid w:val="00840CC1"/>
    <w:rsid w:val="00847113"/>
    <w:rsid w:val="00861600"/>
    <w:rsid w:val="00892F64"/>
    <w:rsid w:val="00893D24"/>
    <w:rsid w:val="008A214D"/>
    <w:rsid w:val="008A4912"/>
    <w:rsid w:val="008A5930"/>
    <w:rsid w:val="008D3C2E"/>
    <w:rsid w:val="008D6863"/>
    <w:rsid w:val="008E5CF3"/>
    <w:rsid w:val="008F68F4"/>
    <w:rsid w:val="008F7BEB"/>
    <w:rsid w:val="009146DB"/>
    <w:rsid w:val="00915A18"/>
    <w:rsid w:val="0092128C"/>
    <w:rsid w:val="009345ED"/>
    <w:rsid w:val="00946C2C"/>
    <w:rsid w:val="00960C7C"/>
    <w:rsid w:val="009635BE"/>
    <w:rsid w:val="00965D88"/>
    <w:rsid w:val="00980611"/>
    <w:rsid w:val="00986741"/>
    <w:rsid w:val="00997D63"/>
    <w:rsid w:val="009A24F1"/>
    <w:rsid w:val="009A7054"/>
    <w:rsid w:val="009C18C6"/>
    <w:rsid w:val="009F7B21"/>
    <w:rsid w:val="00A01A62"/>
    <w:rsid w:val="00A126A5"/>
    <w:rsid w:val="00A13FBB"/>
    <w:rsid w:val="00A257DC"/>
    <w:rsid w:val="00A30084"/>
    <w:rsid w:val="00A336FF"/>
    <w:rsid w:val="00A8011D"/>
    <w:rsid w:val="00A9289D"/>
    <w:rsid w:val="00A9570C"/>
    <w:rsid w:val="00AA2357"/>
    <w:rsid w:val="00AD2623"/>
    <w:rsid w:val="00AD2ECD"/>
    <w:rsid w:val="00AE53E3"/>
    <w:rsid w:val="00B24F82"/>
    <w:rsid w:val="00B31348"/>
    <w:rsid w:val="00B321A1"/>
    <w:rsid w:val="00B404A9"/>
    <w:rsid w:val="00B74AF8"/>
    <w:rsid w:val="00B820C3"/>
    <w:rsid w:val="00B86B75"/>
    <w:rsid w:val="00B86D95"/>
    <w:rsid w:val="00B90335"/>
    <w:rsid w:val="00B948E8"/>
    <w:rsid w:val="00BA25CE"/>
    <w:rsid w:val="00BA2A8E"/>
    <w:rsid w:val="00BB7632"/>
    <w:rsid w:val="00BC48D5"/>
    <w:rsid w:val="00BE6883"/>
    <w:rsid w:val="00BF7160"/>
    <w:rsid w:val="00C032B2"/>
    <w:rsid w:val="00C064E5"/>
    <w:rsid w:val="00C164CD"/>
    <w:rsid w:val="00C36279"/>
    <w:rsid w:val="00C50A92"/>
    <w:rsid w:val="00C641B3"/>
    <w:rsid w:val="00C67806"/>
    <w:rsid w:val="00C67E76"/>
    <w:rsid w:val="00C95427"/>
    <w:rsid w:val="00CA7EA9"/>
    <w:rsid w:val="00CD3D31"/>
    <w:rsid w:val="00CD73F7"/>
    <w:rsid w:val="00CE002F"/>
    <w:rsid w:val="00CE4326"/>
    <w:rsid w:val="00CE4410"/>
    <w:rsid w:val="00CF587D"/>
    <w:rsid w:val="00CF66C7"/>
    <w:rsid w:val="00CF79DB"/>
    <w:rsid w:val="00D149E5"/>
    <w:rsid w:val="00D167F9"/>
    <w:rsid w:val="00D16F41"/>
    <w:rsid w:val="00D568F4"/>
    <w:rsid w:val="00D66D8D"/>
    <w:rsid w:val="00D71739"/>
    <w:rsid w:val="00D74182"/>
    <w:rsid w:val="00D7795A"/>
    <w:rsid w:val="00D800EF"/>
    <w:rsid w:val="00D97B58"/>
    <w:rsid w:val="00DA1E70"/>
    <w:rsid w:val="00DA71BA"/>
    <w:rsid w:val="00DB2C3F"/>
    <w:rsid w:val="00DB63F8"/>
    <w:rsid w:val="00DB7142"/>
    <w:rsid w:val="00DD28EE"/>
    <w:rsid w:val="00DE0AE7"/>
    <w:rsid w:val="00DF38D9"/>
    <w:rsid w:val="00DF6B24"/>
    <w:rsid w:val="00E03D23"/>
    <w:rsid w:val="00E0646D"/>
    <w:rsid w:val="00E070B2"/>
    <w:rsid w:val="00E227AA"/>
    <w:rsid w:val="00E315A3"/>
    <w:rsid w:val="00E654F4"/>
    <w:rsid w:val="00E66F02"/>
    <w:rsid w:val="00E7177D"/>
    <w:rsid w:val="00E8366E"/>
    <w:rsid w:val="00E87024"/>
    <w:rsid w:val="00E973B3"/>
    <w:rsid w:val="00EB5668"/>
    <w:rsid w:val="00EC016F"/>
    <w:rsid w:val="00EC4C19"/>
    <w:rsid w:val="00EE2F31"/>
    <w:rsid w:val="00EF192C"/>
    <w:rsid w:val="00EF2CD8"/>
    <w:rsid w:val="00F0155C"/>
    <w:rsid w:val="00F02687"/>
    <w:rsid w:val="00F10A29"/>
    <w:rsid w:val="00F11160"/>
    <w:rsid w:val="00F12285"/>
    <w:rsid w:val="00F271F4"/>
    <w:rsid w:val="00F507F3"/>
    <w:rsid w:val="00F6356D"/>
    <w:rsid w:val="00F664BB"/>
    <w:rsid w:val="00F70780"/>
    <w:rsid w:val="00F83C00"/>
    <w:rsid w:val="00F853E0"/>
    <w:rsid w:val="00F947D6"/>
    <w:rsid w:val="00F96241"/>
    <w:rsid w:val="00F976DC"/>
    <w:rsid w:val="00FA6731"/>
    <w:rsid w:val="00FB1538"/>
    <w:rsid w:val="00FF371A"/>
    <w:rsid w:val="00FF421A"/>
    <w:rsid w:val="00FF6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23E90"/>
  <w15:docId w15:val="{8F364EE2-00A4-4185-9318-8F69A8C50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12"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CF4"/>
    <w:pPr>
      <w:spacing w:after="240" w:line="360" w:lineRule="auto"/>
    </w:pPr>
    <w:rPr>
      <w:sz w:val="24"/>
    </w:rPr>
  </w:style>
  <w:style w:type="paragraph" w:styleId="Titre1">
    <w:name w:val="heading 1"/>
    <w:basedOn w:val="Normal"/>
    <w:next w:val="Normal"/>
    <w:link w:val="Titre1Car"/>
    <w:uiPriority w:val="9"/>
    <w:qFormat/>
    <w:rsid w:val="00DB63F8"/>
    <w:pPr>
      <w:keepNext/>
      <w:keepLines/>
      <w:spacing w:before="400" w:after="160"/>
      <w:outlineLvl w:val="0"/>
    </w:pPr>
    <w:rPr>
      <w:rFonts w:asciiTheme="majorHAnsi" w:eastAsiaTheme="majorEastAsia" w:hAnsiTheme="majorHAnsi" w:cstheme="majorBidi"/>
      <w:b/>
      <w:sz w:val="40"/>
      <w:szCs w:val="36"/>
    </w:rPr>
  </w:style>
  <w:style w:type="paragraph" w:styleId="Titre2">
    <w:name w:val="heading 2"/>
    <w:basedOn w:val="Normal"/>
    <w:next w:val="Normal"/>
    <w:link w:val="Titre2Car"/>
    <w:uiPriority w:val="9"/>
    <w:unhideWhenUsed/>
    <w:qFormat/>
    <w:rsid w:val="002E4AD6"/>
    <w:pPr>
      <w:keepNext/>
      <w:keepLines/>
      <w:spacing w:before="360" w:after="160"/>
      <w:outlineLvl w:val="1"/>
    </w:pPr>
    <w:rPr>
      <w:rFonts w:asciiTheme="majorHAnsi" w:eastAsiaTheme="majorEastAsia" w:hAnsiTheme="majorHAnsi" w:cstheme="majorBidi"/>
      <w:b/>
      <w:sz w:val="32"/>
      <w:szCs w:val="36"/>
    </w:rPr>
  </w:style>
  <w:style w:type="paragraph" w:styleId="Titre3">
    <w:name w:val="heading 3"/>
    <w:basedOn w:val="Normal"/>
    <w:next w:val="Normal"/>
    <w:link w:val="Titre3Car"/>
    <w:uiPriority w:val="9"/>
    <w:unhideWhenUsed/>
    <w:qFormat/>
    <w:rsid w:val="00DB63F8"/>
    <w:pPr>
      <w:keepNext/>
      <w:keepLines/>
      <w:spacing w:before="320" w:after="160"/>
      <w:outlineLvl w:val="2"/>
    </w:pPr>
    <w:rPr>
      <w:rFonts w:asciiTheme="majorHAnsi" w:eastAsiaTheme="majorEastAsia" w:hAnsiTheme="majorHAnsi" w:cstheme="majorBidi"/>
      <w:sz w:val="32"/>
      <w:szCs w:val="28"/>
    </w:rPr>
  </w:style>
  <w:style w:type="paragraph" w:styleId="Titre4">
    <w:name w:val="heading 4"/>
    <w:basedOn w:val="Normal"/>
    <w:next w:val="Normal"/>
    <w:link w:val="Titre4Car"/>
    <w:uiPriority w:val="9"/>
    <w:unhideWhenUsed/>
    <w:qFormat/>
    <w:rsid w:val="00DB63F8"/>
    <w:pPr>
      <w:keepNext/>
      <w:keepLines/>
      <w:spacing w:before="280" w:after="160"/>
      <w:outlineLvl w:val="3"/>
    </w:pPr>
    <w:rPr>
      <w:rFonts w:asciiTheme="majorHAnsi" w:eastAsiaTheme="majorEastAsia" w:hAnsiTheme="majorHAnsi" w:cstheme="majorBidi"/>
      <w:i/>
      <w:iCs/>
      <w:sz w:val="28"/>
      <w:szCs w:val="28"/>
    </w:rPr>
  </w:style>
  <w:style w:type="paragraph" w:styleId="Titre5">
    <w:name w:val="heading 5"/>
    <w:basedOn w:val="Normal"/>
    <w:next w:val="Normal"/>
    <w:link w:val="Titre5Car"/>
    <w:uiPriority w:val="9"/>
    <w:unhideWhenUsed/>
    <w:qFormat/>
    <w:rsid w:val="00DB63F8"/>
    <w:pPr>
      <w:keepNext/>
      <w:keepLines/>
      <w:spacing w:before="280" w:after="160"/>
      <w:outlineLvl w:val="4"/>
    </w:pPr>
    <w:rPr>
      <w:rFonts w:asciiTheme="majorHAnsi" w:eastAsiaTheme="majorEastAsia" w:hAnsiTheme="majorHAnsi" w:cstheme="majorBidi"/>
      <w:sz w:val="28"/>
      <w:szCs w:val="24"/>
    </w:rPr>
  </w:style>
  <w:style w:type="paragraph" w:styleId="Titre6">
    <w:name w:val="heading 6"/>
    <w:basedOn w:val="Normal"/>
    <w:next w:val="Normal"/>
    <w:link w:val="Titre6Car"/>
    <w:uiPriority w:val="9"/>
    <w:unhideWhenUsed/>
    <w:qFormat/>
    <w:rsid w:val="00A8011D"/>
    <w:pPr>
      <w:keepNext/>
      <w:keepLines/>
      <w:spacing w:before="80" w:after="0" w:line="240" w:lineRule="auto"/>
      <w:outlineLvl w:val="5"/>
    </w:pPr>
    <w:rPr>
      <w:rFonts w:asciiTheme="majorHAnsi" w:eastAsiaTheme="majorEastAsia" w:hAnsiTheme="majorHAnsi" w:cstheme="majorBidi"/>
      <w:i/>
      <w:iCs/>
      <w:szCs w:val="24"/>
    </w:rPr>
  </w:style>
  <w:style w:type="paragraph" w:styleId="Titre7">
    <w:name w:val="heading 7"/>
    <w:basedOn w:val="Normal"/>
    <w:next w:val="Normal"/>
    <w:link w:val="Titre7Car"/>
    <w:uiPriority w:val="9"/>
    <w:unhideWhenUsed/>
    <w:qFormat/>
    <w:rsid w:val="00A8011D"/>
    <w:pPr>
      <w:keepNext/>
      <w:keepLines/>
      <w:spacing w:before="80" w:after="0" w:line="240" w:lineRule="auto"/>
      <w:outlineLvl w:val="6"/>
    </w:pPr>
    <w:rPr>
      <w:rFonts w:asciiTheme="majorHAnsi" w:eastAsiaTheme="majorEastAsia" w:hAnsiTheme="majorHAnsi" w:cstheme="majorBidi"/>
      <w:color w:val="595959" w:themeColor="text1" w:themeTint="A6"/>
      <w:szCs w:val="24"/>
    </w:rPr>
  </w:style>
  <w:style w:type="paragraph" w:styleId="Titre8">
    <w:name w:val="heading 8"/>
    <w:basedOn w:val="Normal"/>
    <w:next w:val="Normal"/>
    <w:link w:val="Titre8Car"/>
    <w:uiPriority w:val="9"/>
    <w:unhideWhenUsed/>
    <w:qFormat/>
    <w:rsid w:val="00A8011D"/>
    <w:pPr>
      <w:keepNext/>
      <w:keepLines/>
      <w:spacing w:before="80" w:after="0" w:line="240" w:lineRule="auto"/>
      <w:outlineLvl w:val="7"/>
    </w:pPr>
    <w:rPr>
      <w:rFonts w:asciiTheme="majorHAnsi" w:eastAsiaTheme="majorEastAsia" w:hAnsiTheme="majorHAnsi" w:cstheme="majorBidi"/>
      <w:caps/>
    </w:rPr>
  </w:style>
  <w:style w:type="paragraph" w:styleId="Titre9">
    <w:name w:val="heading 9"/>
    <w:basedOn w:val="Normal"/>
    <w:next w:val="Normal"/>
    <w:link w:val="Titre9Car"/>
    <w:uiPriority w:val="9"/>
    <w:unhideWhenUsed/>
    <w:qFormat/>
    <w:rsid w:val="00A8011D"/>
    <w:pPr>
      <w:keepNext/>
      <w:keepLines/>
      <w:spacing w:before="80" w:after="0" w:line="240" w:lineRule="auto"/>
      <w:outlineLvl w:val="8"/>
    </w:pPr>
    <w:rPr>
      <w:rFonts w:asciiTheme="majorHAnsi" w:eastAsiaTheme="majorEastAsia" w:hAnsiTheme="majorHAnsi" w:cstheme="majorBidi"/>
      <w:i/>
      <w:iCs/>
      <w: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spacing w:before="180" w:after="180"/>
    </w:pPr>
  </w:style>
  <w:style w:type="paragraph" w:customStyle="1" w:styleId="FirstParagraph">
    <w:name w:val="First Paragraph"/>
    <w:basedOn w:val="Corpsdetexte"/>
    <w:next w:val="Corpsdetexte"/>
  </w:style>
  <w:style w:type="paragraph" w:customStyle="1" w:styleId="Compact">
    <w:name w:val="Compact"/>
    <w:basedOn w:val="Corpsdetexte"/>
    <w:pPr>
      <w:spacing w:before="36" w:after="36"/>
    </w:pPr>
  </w:style>
  <w:style w:type="paragraph" w:styleId="Titre">
    <w:name w:val="Title"/>
    <w:basedOn w:val="Normal"/>
    <w:next w:val="Normal"/>
    <w:link w:val="TitreCar"/>
    <w:uiPriority w:val="10"/>
    <w:qFormat/>
    <w:rsid w:val="002C5CF4"/>
    <w:pPr>
      <w:spacing w:before="1701" w:line="276" w:lineRule="auto"/>
      <w:contextualSpacing/>
      <w:jc w:val="center"/>
    </w:pPr>
    <w:rPr>
      <w:rFonts w:asciiTheme="majorHAnsi" w:eastAsiaTheme="majorEastAsia" w:hAnsiTheme="majorHAnsi" w:cstheme="majorBidi"/>
      <w:sz w:val="56"/>
      <w:szCs w:val="76"/>
    </w:rPr>
  </w:style>
  <w:style w:type="paragraph" w:styleId="Sous-titre">
    <w:name w:val="Subtitle"/>
    <w:basedOn w:val="Normal"/>
    <w:next w:val="Normal"/>
    <w:link w:val="Sous-titreCar"/>
    <w:uiPriority w:val="11"/>
    <w:qFormat/>
    <w:rsid w:val="002C5CF4"/>
    <w:pPr>
      <w:numPr>
        <w:ilvl w:val="1"/>
      </w:numPr>
      <w:jc w:val="center"/>
    </w:pPr>
    <w:rPr>
      <w:color w:val="000000" w:themeColor="text1"/>
      <w:sz w:val="28"/>
      <w:szCs w:val="24"/>
    </w:rPr>
  </w:style>
  <w:style w:type="paragraph" w:customStyle="1" w:styleId="Author">
    <w:name w:val="Author"/>
    <w:next w:val="Corpsdetexte"/>
    <w:rsid w:val="002C5CF4"/>
    <w:pPr>
      <w:keepNext/>
      <w:keepLines/>
      <w:jc w:val="center"/>
    </w:pPr>
    <w:rPr>
      <w:sz w:val="24"/>
    </w:rPr>
  </w:style>
  <w:style w:type="paragraph" w:styleId="Date">
    <w:name w:val="Date"/>
    <w:next w:val="Corpsdetexte"/>
    <w:pPr>
      <w:keepNext/>
      <w:keepLines/>
      <w:jc w:val="center"/>
    </w:pPr>
  </w:style>
  <w:style w:type="paragraph" w:customStyle="1" w:styleId="Abstract">
    <w:name w:val="Abstract"/>
    <w:basedOn w:val="Normal"/>
    <w:next w:val="Corpsdetexte"/>
    <w:rsid w:val="002C5CF4"/>
    <w:pPr>
      <w:keepNext/>
      <w:keepLines/>
      <w:spacing w:before="220" w:after="360" w:line="240" w:lineRule="auto"/>
      <w:ind w:left="567" w:right="567"/>
    </w:pPr>
    <w:rPr>
      <w:rFonts w:ascii="Times New Roman" w:hAnsi="Times New Roman"/>
      <w:sz w:val="18"/>
      <w:szCs w:val="20"/>
    </w:rPr>
  </w:style>
  <w:style w:type="paragraph" w:styleId="Bibliographie">
    <w:name w:val="Bibliography"/>
    <w:basedOn w:val="Normal"/>
    <w:rsid w:val="00BA25CE"/>
    <w:pPr>
      <w:ind w:left="720" w:hanging="720"/>
    </w:pPr>
  </w:style>
  <w:style w:type="paragraph" w:styleId="Normalcentr">
    <w:name w:val="Block Text"/>
    <w:basedOn w:val="Corpsdetexte"/>
    <w:next w:val="Corpsdetexte"/>
    <w:uiPriority w:val="9"/>
    <w:unhideWhenUsed/>
    <w:pPr>
      <w:spacing w:before="100" w:after="100"/>
      <w:ind w:left="480" w:right="480"/>
    </w:pPr>
  </w:style>
  <w:style w:type="paragraph" w:styleId="Notedebasdepage">
    <w:name w:val="footnote text"/>
    <w:basedOn w:val="Normal"/>
    <w:uiPriority w:val="9"/>
    <w:unhideWhenUsed/>
  </w:style>
  <w:style w:type="table" w:customStyle="1" w:styleId="Table">
    <w:name w:val="Table"/>
    <w:semiHidden/>
    <w:unhideWhenUsed/>
    <w:qFormat/>
    <w:rsid w:val="00BA2A8E"/>
    <w:rPr>
      <w:sz w:val="24"/>
      <w:szCs w:val="20"/>
      <w:lang w:val="de-DE" w:eastAsia="de-D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next w:val="Normal"/>
    <w:link w:val="LgendeCar"/>
    <w:uiPriority w:val="35"/>
    <w:unhideWhenUsed/>
    <w:qFormat/>
    <w:rsid w:val="00E03D23"/>
    <w:pPr>
      <w:spacing w:line="240" w:lineRule="auto"/>
    </w:pPr>
    <w:rPr>
      <w:b/>
      <w:bCs/>
      <w:color w:val="DDDDDD" w:themeColor="accent1"/>
      <w:spacing w:val="10"/>
      <w:sz w:val="16"/>
      <w:szCs w:val="16"/>
    </w:rPr>
  </w:style>
  <w:style w:type="paragraph" w:customStyle="1" w:styleId="TableCaption">
    <w:name w:val="Table Caption"/>
    <w:basedOn w:val="Lgende"/>
    <w:rsid w:val="00DB63F8"/>
    <w:pPr>
      <w:keepNext/>
      <w:spacing w:before="240" w:after="120"/>
    </w:pPr>
    <w:rPr>
      <w:color w:val="auto"/>
      <w:spacing w:val="0"/>
      <w:sz w:val="24"/>
    </w:rPr>
  </w:style>
  <w:style w:type="paragraph" w:customStyle="1" w:styleId="ImageCaption">
    <w:name w:val="Image Caption"/>
    <w:basedOn w:val="Lgende"/>
    <w:rsid w:val="00DB63F8"/>
    <w:rPr>
      <w:color w:val="auto"/>
      <w:spacing w:val="0"/>
      <w:sz w:val="24"/>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uiPriority w:val="35"/>
    <w:rsid w:val="00E03D23"/>
    <w:rPr>
      <w:b/>
      <w:bCs/>
      <w:color w:val="DDDDDD" w:themeColor="accent1"/>
      <w:spacing w:val="10"/>
      <w:sz w:val="16"/>
      <w:szCs w:val="16"/>
    </w:rPr>
  </w:style>
  <w:style w:type="character" w:customStyle="1" w:styleId="VerbatimChar">
    <w:name w:val="Verbatim Char"/>
    <w:basedOn w:val="LgendeCar"/>
    <w:link w:val="SourceCode"/>
    <w:rPr>
      <w:rFonts w:ascii="Consolas" w:hAnsi="Consolas"/>
      <w:b/>
      <w:bCs/>
      <w:color w:val="B2B2B2" w:themeColor="accent2"/>
      <w:spacing w:val="10"/>
      <w:sz w:val="22"/>
      <w:szCs w:val="16"/>
    </w:rPr>
  </w:style>
  <w:style w:type="character" w:customStyle="1" w:styleId="SectionNumber">
    <w:name w:val="Section Number"/>
    <w:basedOn w:val="LgendeCar"/>
    <w:rPr>
      <w:b/>
      <w:bCs/>
      <w:color w:val="B2B2B2" w:themeColor="accent2"/>
      <w:spacing w:val="10"/>
      <w:sz w:val="16"/>
      <w:szCs w:val="16"/>
    </w:rPr>
  </w:style>
  <w:style w:type="character" w:styleId="Appelnotedebasdep">
    <w:name w:val="footnote reference"/>
    <w:basedOn w:val="LgendeCar"/>
    <w:rsid w:val="00752CC6"/>
    <w:rPr>
      <w:b/>
      <w:bCs/>
      <w:color w:val="auto"/>
      <w:spacing w:val="10"/>
      <w:sz w:val="20"/>
      <w:szCs w:val="16"/>
      <w:vertAlign w:val="superscript"/>
    </w:rPr>
  </w:style>
  <w:style w:type="character" w:styleId="Lienhypertexte">
    <w:name w:val="Hyperlink"/>
    <w:basedOn w:val="LgendeCar"/>
    <w:rsid w:val="00752CC6"/>
    <w:rPr>
      <w:b w:val="0"/>
      <w:bCs/>
      <w:color w:val="auto"/>
      <w:spacing w:val="0"/>
      <w:sz w:val="24"/>
      <w:szCs w:val="16"/>
    </w:rPr>
  </w:style>
  <w:style w:type="paragraph" w:styleId="En-ttedetabledesmatires">
    <w:name w:val="TOC Heading"/>
    <w:basedOn w:val="Titre1"/>
    <w:next w:val="Normal"/>
    <w:uiPriority w:val="39"/>
    <w:unhideWhenUsed/>
    <w:qFormat/>
    <w:rsid w:val="00A8011D"/>
    <w:pPr>
      <w:outlineLvl w:val="9"/>
    </w:pPr>
  </w:style>
  <w:style w:type="character" w:customStyle="1" w:styleId="Titre1Car">
    <w:name w:val="Titre 1 Car"/>
    <w:basedOn w:val="Policepardfaut"/>
    <w:link w:val="Titre1"/>
    <w:uiPriority w:val="9"/>
    <w:rsid w:val="00DB63F8"/>
    <w:rPr>
      <w:rFonts w:asciiTheme="majorHAnsi" w:eastAsiaTheme="majorEastAsia" w:hAnsiTheme="majorHAnsi" w:cstheme="majorBidi"/>
      <w:b/>
      <w:sz w:val="40"/>
      <w:szCs w:val="36"/>
    </w:rPr>
  </w:style>
  <w:style w:type="character" w:customStyle="1" w:styleId="Titre2Car">
    <w:name w:val="Titre 2 Car"/>
    <w:basedOn w:val="Policepardfaut"/>
    <w:link w:val="Titre2"/>
    <w:uiPriority w:val="9"/>
    <w:rsid w:val="002E4AD6"/>
    <w:rPr>
      <w:rFonts w:asciiTheme="majorHAnsi" w:eastAsiaTheme="majorEastAsia" w:hAnsiTheme="majorHAnsi" w:cstheme="majorBidi"/>
      <w:b/>
      <w:sz w:val="32"/>
      <w:szCs w:val="36"/>
    </w:rPr>
  </w:style>
  <w:style w:type="character" w:customStyle="1" w:styleId="Titre3Car">
    <w:name w:val="Titre 3 Car"/>
    <w:basedOn w:val="Policepardfaut"/>
    <w:link w:val="Titre3"/>
    <w:uiPriority w:val="9"/>
    <w:rsid w:val="00DB63F8"/>
    <w:rPr>
      <w:rFonts w:asciiTheme="majorHAnsi" w:eastAsiaTheme="majorEastAsia" w:hAnsiTheme="majorHAnsi" w:cstheme="majorBidi"/>
      <w:sz w:val="32"/>
      <w:szCs w:val="28"/>
    </w:rPr>
  </w:style>
  <w:style w:type="character" w:customStyle="1" w:styleId="Titre4Car">
    <w:name w:val="Titre 4 Car"/>
    <w:basedOn w:val="Policepardfaut"/>
    <w:link w:val="Titre4"/>
    <w:uiPriority w:val="9"/>
    <w:rsid w:val="00DB63F8"/>
    <w:rPr>
      <w:rFonts w:asciiTheme="majorHAnsi" w:eastAsiaTheme="majorEastAsia" w:hAnsiTheme="majorHAnsi" w:cstheme="majorBidi"/>
      <w:i/>
      <w:iCs/>
      <w:sz w:val="28"/>
      <w:szCs w:val="28"/>
    </w:rPr>
  </w:style>
  <w:style w:type="character" w:customStyle="1" w:styleId="Titre5Car">
    <w:name w:val="Titre 5 Car"/>
    <w:basedOn w:val="Policepardfaut"/>
    <w:link w:val="Titre5"/>
    <w:uiPriority w:val="9"/>
    <w:rsid w:val="00DB63F8"/>
    <w:rPr>
      <w:rFonts w:asciiTheme="majorHAnsi" w:eastAsiaTheme="majorEastAsia" w:hAnsiTheme="majorHAnsi" w:cstheme="majorBidi"/>
      <w:sz w:val="28"/>
      <w:szCs w:val="24"/>
    </w:rPr>
  </w:style>
  <w:style w:type="character" w:customStyle="1" w:styleId="Titre6Car">
    <w:name w:val="Titre 6 Car"/>
    <w:basedOn w:val="Policepardfaut"/>
    <w:link w:val="Titre6"/>
    <w:uiPriority w:val="9"/>
    <w:rsid w:val="00A8011D"/>
    <w:rPr>
      <w:rFonts w:asciiTheme="majorHAnsi" w:eastAsiaTheme="majorEastAsia" w:hAnsiTheme="majorHAnsi" w:cstheme="majorBidi"/>
      <w:i/>
      <w:iCs/>
      <w:sz w:val="24"/>
      <w:szCs w:val="24"/>
    </w:rPr>
  </w:style>
  <w:style w:type="character" w:customStyle="1" w:styleId="Titre7Car">
    <w:name w:val="Titre 7 Car"/>
    <w:basedOn w:val="Policepardfaut"/>
    <w:link w:val="Titre7"/>
    <w:uiPriority w:val="9"/>
    <w:rsid w:val="00A8011D"/>
    <w:rPr>
      <w:rFonts w:asciiTheme="majorHAnsi" w:eastAsiaTheme="majorEastAsia" w:hAnsiTheme="majorHAnsi" w:cstheme="majorBidi"/>
      <w:color w:val="595959" w:themeColor="text1" w:themeTint="A6"/>
      <w:sz w:val="24"/>
      <w:szCs w:val="24"/>
    </w:rPr>
  </w:style>
  <w:style w:type="character" w:customStyle="1" w:styleId="Titre8Car">
    <w:name w:val="Titre 8 Car"/>
    <w:basedOn w:val="Policepardfaut"/>
    <w:link w:val="Titre8"/>
    <w:uiPriority w:val="9"/>
    <w:rsid w:val="00A8011D"/>
    <w:rPr>
      <w:rFonts w:asciiTheme="majorHAnsi" w:eastAsiaTheme="majorEastAsia" w:hAnsiTheme="majorHAnsi" w:cstheme="majorBidi"/>
      <w:caps/>
    </w:rPr>
  </w:style>
  <w:style w:type="character" w:customStyle="1" w:styleId="Titre9Car">
    <w:name w:val="Titre 9 Car"/>
    <w:basedOn w:val="Policepardfaut"/>
    <w:link w:val="Titre9"/>
    <w:uiPriority w:val="9"/>
    <w:rsid w:val="00A8011D"/>
    <w:rPr>
      <w:rFonts w:asciiTheme="majorHAnsi" w:eastAsiaTheme="majorEastAsia" w:hAnsiTheme="majorHAnsi" w:cstheme="majorBidi"/>
      <w:i/>
      <w:iCs/>
      <w:caps/>
    </w:rPr>
  </w:style>
  <w:style w:type="character" w:customStyle="1" w:styleId="TitreCar">
    <w:name w:val="Titre Car"/>
    <w:basedOn w:val="Policepardfaut"/>
    <w:link w:val="Titre"/>
    <w:uiPriority w:val="10"/>
    <w:rsid w:val="002C5CF4"/>
    <w:rPr>
      <w:rFonts w:asciiTheme="majorHAnsi" w:eastAsiaTheme="majorEastAsia" w:hAnsiTheme="majorHAnsi" w:cstheme="majorBidi"/>
      <w:sz w:val="56"/>
      <w:szCs w:val="76"/>
    </w:rPr>
  </w:style>
  <w:style w:type="character" w:customStyle="1" w:styleId="Sous-titreCar">
    <w:name w:val="Sous-titre Car"/>
    <w:basedOn w:val="Policepardfaut"/>
    <w:link w:val="Sous-titre"/>
    <w:uiPriority w:val="11"/>
    <w:rsid w:val="002C5CF4"/>
    <w:rPr>
      <w:color w:val="000000" w:themeColor="text1"/>
      <w:sz w:val="28"/>
      <w:szCs w:val="24"/>
    </w:rPr>
  </w:style>
  <w:style w:type="character" w:styleId="lev">
    <w:name w:val="Strong"/>
    <w:basedOn w:val="Policepardfaut"/>
    <w:uiPriority w:val="22"/>
    <w:qFormat/>
    <w:rsid w:val="00A8011D"/>
    <w:rPr>
      <w:rFonts w:asciiTheme="minorHAnsi" w:eastAsiaTheme="minorEastAsia" w:hAnsiTheme="minorHAnsi" w:cstheme="minorBidi"/>
      <w:b/>
      <w:bCs/>
      <w:spacing w:val="0"/>
      <w:w w:val="100"/>
      <w:position w:val="0"/>
      <w:sz w:val="20"/>
      <w:szCs w:val="20"/>
    </w:rPr>
  </w:style>
  <w:style w:type="character" w:styleId="Accentuation">
    <w:name w:val="Emphasis"/>
    <w:basedOn w:val="Policepardfaut"/>
    <w:uiPriority w:val="20"/>
    <w:qFormat/>
    <w:rsid w:val="00A8011D"/>
    <w:rPr>
      <w:rFonts w:asciiTheme="minorHAnsi" w:eastAsiaTheme="minorEastAsia" w:hAnsiTheme="minorHAnsi" w:cstheme="minorBidi"/>
      <w:i/>
      <w:iCs/>
      <w:color w:val="858585" w:themeColor="accent2" w:themeShade="BF"/>
      <w:sz w:val="20"/>
      <w:szCs w:val="20"/>
    </w:rPr>
  </w:style>
  <w:style w:type="paragraph" w:styleId="Sansinterligne">
    <w:name w:val="No Spacing"/>
    <w:uiPriority w:val="1"/>
    <w:qFormat/>
    <w:rsid w:val="00A8011D"/>
    <w:pPr>
      <w:spacing w:after="0" w:line="240" w:lineRule="auto"/>
    </w:pPr>
  </w:style>
  <w:style w:type="paragraph" w:styleId="Citation">
    <w:name w:val="Quote"/>
    <w:basedOn w:val="Normal"/>
    <w:next w:val="Normal"/>
    <w:link w:val="CitationCar"/>
    <w:uiPriority w:val="29"/>
    <w:qFormat/>
    <w:rsid w:val="00A8011D"/>
    <w:pPr>
      <w:spacing w:before="160"/>
      <w:ind w:left="720"/>
    </w:pPr>
    <w:rPr>
      <w:rFonts w:asciiTheme="majorHAnsi" w:eastAsiaTheme="majorEastAsia" w:hAnsiTheme="majorHAnsi" w:cstheme="majorBidi"/>
      <w:szCs w:val="24"/>
    </w:rPr>
  </w:style>
  <w:style w:type="character" w:customStyle="1" w:styleId="CitationCar">
    <w:name w:val="Citation Car"/>
    <w:basedOn w:val="Policepardfaut"/>
    <w:link w:val="Citation"/>
    <w:uiPriority w:val="29"/>
    <w:rsid w:val="00A8011D"/>
    <w:rPr>
      <w:rFonts w:asciiTheme="majorHAnsi" w:eastAsiaTheme="majorEastAsia" w:hAnsiTheme="majorHAnsi" w:cstheme="majorBidi"/>
      <w:sz w:val="24"/>
      <w:szCs w:val="24"/>
    </w:rPr>
  </w:style>
  <w:style w:type="paragraph" w:styleId="Citationintense">
    <w:name w:val="Intense Quote"/>
    <w:basedOn w:val="Normal"/>
    <w:next w:val="Normal"/>
    <w:link w:val="CitationintenseCar"/>
    <w:uiPriority w:val="30"/>
    <w:qFormat/>
    <w:rsid w:val="00A8011D"/>
    <w:pPr>
      <w:spacing w:before="100" w:beforeAutospacing="1"/>
      <w:ind w:left="936" w:right="936"/>
      <w:jc w:val="center"/>
    </w:pPr>
    <w:rPr>
      <w:rFonts w:asciiTheme="majorHAnsi" w:eastAsiaTheme="majorEastAsia" w:hAnsiTheme="majorHAnsi" w:cstheme="majorBidi"/>
      <w:caps/>
      <w:color w:val="858585" w:themeColor="accent2" w:themeShade="BF"/>
      <w:spacing w:val="10"/>
      <w:sz w:val="28"/>
      <w:szCs w:val="28"/>
    </w:rPr>
  </w:style>
  <w:style w:type="character" w:customStyle="1" w:styleId="CitationintenseCar">
    <w:name w:val="Citation intense Car"/>
    <w:basedOn w:val="Policepardfaut"/>
    <w:link w:val="Citationintense"/>
    <w:uiPriority w:val="30"/>
    <w:rsid w:val="00A8011D"/>
    <w:rPr>
      <w:rFonts w:asciiTheme="majorHAnsi" w:eastAsiaTheme="majorEastAsia" w:hAnsiTheme="majorHAnsi" w:cstheme="majorBidi"/>
      <w:caps/>
      <w:color w:val="858585" w:themeColor="accent2" w:themeShade="BF"/>
      <w:spacing w:val="10"/>
      <w:sz w:val="28"/>
      <w:szCs w:val="28"/>
    </w:rPr>
  </w:style>
  <w:style w:type="character" w:styleId="Accentuationlgre">
    <w:name w:val="Subtle Emphasis"/>
    <w:basedOn w:val="Policepardfaut"/>
    <w:uiPriority w:val="19"/>
    <w:qFormat/>
    <w:rsid w:val="00A8011D"/>
    <w:rPr>
      <w:i/>
      <w:iCs/>
      <w:color w:val="auto"/>
    </w:rPr>
  </w:style>
  <w:style w:type="character" w:styleId="Accentuationintense">
    <w:name w:val="Intense Emphasis"/>
    <w:basedOn w:val="Policepardfaut"/>
    <w:uiPriority w:val="21"/>
    <w:qFormat/>
    <w:rsid w:val="00A8011D"/>
    <w:rPr>
      <w:rFonts w:asciiTheme="minorHAnsi" w:eastAsiaTheme="minorEastAsia" w:hAnsiTheme="minorHAnsi" w:cstheme="minorBidi"/>
      <w:b/>
      <w:bCs/>
      <w:i/>
      <w:iCs/>
      <w:color w:val="858585" w:themeColor="accent2" w:themeShade="BF"/>
      <w:spacing w:val="0"/>
      <w:w w:val="100"/>
      <w:position w:val="0"/>
      <w:sz w:val="20"/>
      <w:szCs w:val="20"/>
    </w:rPr>
  </w:style>
  <w:style w:type="character" w:styleId="Rfrencelgre">
    <w:name w:val="Subtle Reference"/>
    <w:basedOn w:val="Policepardfaut"/>
    <w:uiPriority w:val="31"/>
    <w:qFormat/>
    <w:rsid w:val="00A8011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Rfrenceintense">
    <w:name w:val="Intense Reference"/>
    <w:basedOn w:val="Policepardfaut"/>
    <w:uiPriority w:val="32"/>
    <w:qFormat/>
    <w:rsid w:val="00A8011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itredulivre">
    <w:name w:val="Book Title"/>
    <w:basedOn w:val="Policepardfaut"/>
    <w:uiPriority w:val="33"/>
    <w:qFormat/>
    <w:rsid w:val="00A8011D"/>
    <w:rPr>
      <w:rFonts w:asciiTheme="minorHAnsi" w:eastAsiaTheme="minorEastAsia" w:hAnsiTheme="minorHAnsi" w:cstheme="minorBidi"/>
      <w:b/>
      <w:bCs/>
      <w:i/>
      <w:iCs/>
      <w:caps w:val="0"/>
      <w:smallCaps w:val="0"/>
      <w:color w:val="auto"/>
      <w:spacing w:val="10"/>
      <w:w w:val="100"/>
      <w:sz w:val="20"/>
      <w:szCs w:val="20"/>
    </w:rPr>
  </w:style>
  <w:style w:type="character" w:styleId="Numrodeligne">
    <w:name w:val="line number"/>
    <w:basedOn w:val="Policepardfaut"/>
    <w:semiHidden/>
    <w:unhideWhenUsed/>
    <w:rsid w:val="001471E6"/>
  </w:style>
  <w:style w:type="character" w:customStyle="1" w:styleId="CorpsdetexteCar">
    <w:name w:val="Corps de texte Car"/>
    <w:basedOn w:val="Policepardfaut"/>
    <w:link w:val="Corpsdetexte"/>
    <w:rsid w:val="00BA25CE"/>
  </w:style>
  <w:style w:type="paragraph" w:styleId="En-ttedemessage">
    <w:name w:val="Message Header"/>
    <w:basedOn w:val="Normal"/>
    <w:link w:val="En-ttedemessageCar"/>
    <w:semiHidden/>
    <w:unhideWhenUsed/>
    <w:rsid w:val="00BA2A8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imes New Roman" w:eastAsiaTheme="majorEastAsia" w:hAnsi="Times New Roman" w:cstheme="majorBidi"/>
      <w:szCs w:val="24"/>
    </w:rPr>
  </w:style>
  <w:style w:type="character" w:customStyle="1" w:styleId="En-ttedemessageCar">
    <w:name w:val="En-tête de message Car"/>
    <w:basedOn w:val="Policepardfaut"/>
    <w:link w:val="En-ttedemessage"/>
    <w:semiHidden/>
    <w:rsid w:val="00BA2A8E"/>
    <w:rPr>
      <w:rFonts w:ascii="Times New Roman" w:eastAsiaTheme="majorEastAsia" w:hAnsi="Times New Roman" w:cstheme="majorBidi"/>
      <w:sz w:val="24"/>
      <w:szCs w:val="24"/>
      <w:shd w:val="pct20" w:color="auto" w:fill="auto"/>
    </w:rPr>
  </w:style>
  <w:style w:type="paragraph" w:styleId="Rvision">
    <w:name w:val="Revision"/>
    <w:hidden/>
    <w:semiHidden/>
    <w:rsid w:val="00752CC6"/>
    <w:pPr>
      <w:spacing w:after="0" w:line="240" w:lineRule="auto"/>
    </w:pPr>
    <w:rPr>
      <w:sz w:val="24"/>
    </w:rPr>
  </w:style>
  <w:style w:type="paragraph" w:styleId="En-tte">
    <w:name w:val="header"/>
    <w:basedOn w:val="Normal"/>
    <w:link w:val="En-tteCar"/>
    <w:unhideWhenUsed/>
    <w:rsid w:val="00A01A62"/>
    <w:pPr>
      <w:tabs>
        <w:tab w:val="center" w:pos="4536"/>
        <w:tab w:val="right" w:pos="9072"/>
      </w:tabs>
      <w:spacing w:after="0" w:line="240" w:lineRule="auto"/>
    </w:pPr>
  </w:style>
  <w:style w:type="character" w:customStyle="1" w:styleId="En-tteCar">
    <w:name w:val="En-tête Car"/>
    <w:basedOn w:val="Policepardfaut"/>
    <w:link w:val="En-tte"/>
    <w:rsid w:val="00A01A62"/>
    <w:rPr>
      <w:sz w:val="24"/>
    </w:rPr>
  </w:style>
  <w:style w:type="paragraph" w:styleId="Pieddepage">
    <w:name w:val="footer"/>
    <w:basedOn w:val="Normal"/>
    <w:link w:val="PieddepageCar"/>
    <w:uiPriority w:val="99"/>
    <w:unhideWhenUsed/>
    <w:rsid w:val="00A01A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1A62"/>
    <w:rPr>
      <w:sz w:val="24"/>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bCs/>
      <w:color w:val="007020"/>
      <w:spacing w:val="10"/>
      <w:sz w:val="22"/>
      <w:szCs w:val="16"/>
    </w:rPr>
  </w:style>
  <w:style w:type="character" w:customStyle="1" w:styleId="DataTypeTok">
    <w:name w:val="DataTypeTok"/>
    <w:basedOn w:val="VerbatimChar"/>
    <w:rPr>
      <w:rFonts w:ascii="Consolas" w:hAnsi="Consolas"/>
      <w:b/>
      <w:bCs/>
      <w:color w:val="902000"/>
      <w:spacing w:val="10"/>
      <w:sz w:val="22"/>
      <w:szCs w:val="16"/>
    </w:rPr>
  </w:style>
  <w:style w:type="character" w:customStyle="1" w:styleId="DecValTok">
    <w:name w:val="DecValTok"/>
    <w:basedOn w:val="VerbatimChar"/>
    <w:rPr>
      <w:rFonts w:ascii="Consolas" w:hAnsi="Consolas"/>
      <w:b/>
      <w:bCs/>
      <w:color w:val="40A070"/>
      <w:spacing w:val="10"/>
      <w:sz w:val="22"/>
      <w:szCs w:val="16"/>
    </w:rPr>
  </w:style>
  <w:style w:type="character" w:customStyle="1" w:styleId="BaseNTok">
    <w:name w:val="BaseNTok"/>
    <w:basedOn w:val="VerbatimChar"/>
    <w:rPr>
      <w:rFonts w:ascii="Consolas" w:hAnsi="Consolas"/>
      <w:b/>
      <w:bCs/>
      <w:color w:val="40A070"/>
      <w:spacing w:val="10"/>
      <w:sz w:val="22"/>
      <w:szCs w:val="16"/>
    </w:rPr>
  </w:style>
  <w:style w:type="character" w:customStyle="1" w:styleId="FloatTok">
    <w:name w:val="FloatTok"/>
    <w:basedOn w:val="VerbatimChar"/>
    <w:rPr>
      <w:rFonts w:ascii="Consolas" w:hAnsi="Consolas"/>
      <w:b/>
      <w:bCs/>
      <w:color w:val="40A070"/>
      <w:spacing w:val="10"/>
      <w:sz w:val="22"/>
      <w:szCs w:val="16"/>
    </w:rPr>
  </w:style>
  <w:style w:type="character" w:customStyle="1" w:styleId="ConstantTok">
    <w:name w:val="ConstantTok"/>
    <w:basedOn w:val="VerbatimChar"/>
    <w:rPr>
      <w:rFonts w:ascii="Consolas" w:hAnsi="Consolas"/>
      <w:b/>
      <w:bCs/>
      <w:color w:val="880000"/>
      <w:spacing w:val="10"/>
      <w:sz w:val="22"/>
      <w:szCs w:val="16"/>
    </w:rPr>
  </w:style>
  <w:style w:type="character" w:customStyle="1" w:styleId="CharTok">
    <w:name w:val="CharTok"/>
    <w:basedOn w:val="VerbatimChar"/>
    <w:rPr>
      <w:rFonts w:ascii="Consolas" w:hAnsi="Consolas"/>
      <w:b/>
      <w:bCs/>
      <w:color w:val="4070A0"/>
      <w:spacing w:val="10"/>
      <w:sz w:val="22"/>
      <w:szCs w:val="16"/>
    </w:rPr>
  </w:style>
  <w:style w:type="character" w:customStyle="1" w:styleId="SpecialCharTok">
    <w:name w:val="SpecialCharTok"/>
    <w:basedOn w:val="VerbatimChar"/>
    <w:rPr>
      <w:rFonts w:ascii="Consolas" w:hAnsi="Consolas"/>
      <w:b/>
      <w:bCs/>
      <w:color w:val="4070A0"/>
      <w:spacing w:val="10"/>
      <w:sz w:val="22"/>
      <w:szCs w:val="16"/>
    </w:rPr>
  </w:style>
  <w:style w:type="character" w:customStyle="1" w:styleId="StringTok">
    <w:name w:val="StringTok"/>
    <w:basedOn w:val="VerbatimChar"/>
    <w:rPr>
      <w:rFonts w:ascii="Consolas" w:hAnsi="Consolas"/>
      <w:b/>
      <w:bCs/>
      <w:color w:val="4070A0"/>
      <w:spacing w:val="10"/>
      <w:sz w:val="22"/>
      <w:szCs w:val="16"/>
    </w:rPr>
  </w:style>
  <w:style w:type="character" w:customStyle="1" w:styleId="VerbatimStringTok">
    <w:name w:val="VerbatimStringTok"/>
    <w:basedOn w:val="VerbatimChar"/>
    <w:rPr>
      <w:rFonts w:ascii="Consolas" w:hAnsi="Consolas"/>
      <w:b/>
      <w:bCs/>
      <w:color w:val="4070A0"/>
      <w:spacing w:val="10"/>
      <w:sz w:val="22"/>
      <w:szCs w:val="16"/>
    </w:rPr>
  </w:style>
  <w:style w:type="character" w:customStyle="1" w:styleId="SpecialStringTok">
    <w:name w:val="SpecialStringTok"/>
    <w:basedOn w:val="VerbatimChar"/>
    <w:rPr>
      <w:rFonts w:ascii="Consolas" w:hAnsi="Consolas"/>
      <w:b/>
      <w:bCs/>
      <w:color w:val="BB6688"/>
      <w:spacing w:val="10"/>
      <w:sz w:val="22"/>
      <w:szCs w:val="16"/>
    </w:rPr>
  </w:style>
  <w:style w:type="character" w:customStyle="1" w:styleId="ImportTok">
    <w:name w:val="ImportTok"/>
    <w:basedOn w:val="VerbatimChar"/>
    <w:rPr>
      <w:rFonts w:ascii="Consolas" w:hAnsi="Consolas"/>
      <w:b/>
      <w:bCs/>
      <w:color w:val="008000"/>
      <w:spacing w:val="10"/>
      <w:sz w:val="22"/>
      <w:szCs w:val="16"/>
    </w:rPr>
  </w:style>
  <w:style w:type="character" w:customStyle="1" w:styleId="CommentTok">
    <w:name w:val="CommentTok"/>
    <w:basedOn w:val="VerbatimChar"/>
    <w:rPr>
      <w:rFonts w:ascii="Consolas" w:hAnsi="Consolas"/>
      <w:b/>
      <w:bCs/>
      <w:i/>
      <w:color w:val="60A0B0"/>
      <w:spacing w:val="10"/>
      <w:sz w:val="22"/>
      <w:szCs w:val="16"/>
    </w:rPr>
  </w:style>
  <w:style w:type="character" w:customStyle="1" w:styleId="DocumentationTok">
    <w:name w:val="DocumentationTok"/>
    <w:basedOn w:val="VerbatimChar"/>
    <w:rPr>
      <w:rFonts w:ascii="Consolas" w:hAnsi="Consolas"/>
      <w:b/>
      <w:bCs/>
      <w:i/>
      <w:color w:val="BA2121"/>
      <w:spacing w:val="10"/>
      <w:sz w:val="22"/>
      <w:szCs w:val="16"/>
    </w:rPr>
  </w:style>
  <w:style w:type="character" w:customStyle="1" w:styleId="AnnotationTok">
    <w:name w:val="AnnotationTok"/>
    <w:basedOn w:val="VerbatimChar"/>
    <w:rPr>
      <w:rFonts w:ascii="Consolas" w:hAnsi="Consolas"/>
      <w:b/>
      <w:bCs/>
      <w:i/>
      <w:color w:val="60A0B0"/>
      <w:spacing w:val="10"/>
      <w:sz w:val="22"/>
      <w:szCs w:val="16"/>
    </w:rPr>
  </w:style>
  <w:style w:type="character" w:customStyle="1" w:styleId="CommentVarTok">
    <w:name w:val="CommentVarTok"/>
    <w:basedOn w:val="VerbatimChar"/>
    <w:rPr>
      <w:rFonts w:ascii="Consolas" w:hAnsi="Consolas"/>
      <w:b/>
      <w:bCs/>
      <w:i/>
      <w:color w:val="60A0B0"/>
      <w:spacing w:val="10"/>
      <w:sz w:val="22"/>
      <w:szCs w:val="16"/>
    </w:rPr>
  </w:style>
  <w:style w:type="character" w:customStyle="1" w:styleId="OtherTok">
    <w:name w:val="OtherTok"/>
    <w:basedOn w:val="VerbatimChar"/>
    <w:rPr>
      <w:rFonts w:ascii="Consolas" w:hAnsi="Consolas"/>
      <w:b/>
      <w:bCs/>
      <w:color w:val="007020"/>
      <w:spacing w:val="10"/>
      <w:sz w:val="22"/>
      <w:szCs w:val="16"/>
    </w:rPr>
  </w:style>
  <w:style w:type="character" w:customStyle="1" w:styleId="FunctionTok">
    <w:name w:val="FunctionTok"/>
    <w:basedOn w:val="VerbatimChar"/>
    <w:rPr>
      <w:rFonts w:ascii="Consolas" w:hAnsi="Consolas"/>
      <w:b/>
      <w:bCs/>
      <w:color w:val="06287E"/>
      <w:spacing w:val="10"/>
      <w:sz w:val="22"/>
      <w:szCs w:val="16"/>
    </w:rPr>
  </w:style>
  <w:style w:type="character" w:customStyle="1" w:styleId="VariableTok">
    <w:name w:val="VariableTok"/>
    <w:basedOn w:val="VerbatimChar"/>
    <w:rPr>
      <w:rFonts w:ascii="Consolas" w:hAnsi="Consolas"/>
      <w:b/>
      <w:bCs/>
      <w:color w:val="19177C"/>
      <w:spacing w:val="10"/>
      <w:sz w:val="22"/>
      <w:szCs w:val="16"/>
    </w:rPr>
  </w:style>
  <w:style w:type="character" w:customStyle="1" w:styleId="ControlFlowTok">
    <w:name w:val="ControlFlowTok"/>
    <w:basedOn w:val="VerbatimChar"/>
    <w:rPr>
      <w:rFonts w:ascii="Consolas" w:hAnsi="Consolas"/>
      <w:b/>
      <w:bCs/>
      <w:color w:val="007020"/>
      <w:spacing w:val="10"/>
      <w:sz w:val="22"/>
      <w:szCs w:val="16"/>
    </w:rPr>
  </w:style>
  <w:style w:type="character" w:customStyle="1" w:styleId="OperatorTok">
    <w:name w:val="OperatorTok"/>
    <w:basedOn w:val="VerbatimChar"/>
    <w:rPr>
      <w:rFonts w:ascii="Consolas" w:hAnsi="Consolas"/>
      <w:b/>
      <w:bCs/>
      <w:color w:val="666666"/>
      <w:spacing w:val="10"/>
      <w:sz w:val="22"/>
      <w:szCs w:val="16"/>
    </w:rPr>
  </w:style>
  <w:style w:type="character" w:customStyle="1" w:styleId="BuiltInTok">
    <w:name w:val="BuiltInTok"/>
    <w:basedOn w:val="VerbatimChar"/>
    <w:rPr>
      <w:rFonts w:ascii="Consolas" w:hAnsi="Consolas"/>
      <w:b/>
      <w:bCs/>
      <w:color w:val="008000"/>
      <w:spacing w:val="10"/>
      <w:sz w:val="22"/>
      <w:szCs w:val="16"/>
    </w:rPr>
  </w:style>
  <w:style w:type="character" w:customStyle="1" w:styleId="ExtensionTok">
    <w:name w:val="ExtensionTok"/>
    <w:basedOn w:val="VerbatimChar"/>
    <w:rPr>
      <w:rFonts w:ascii="Consolas" w:hAnsi="Consolas"/>
      <w:b/>
      <w:bCs/>
      <w:color w:val="B2B2B2" w:themeColor="accent2"/>
      <w:spacing w:val="10"/>
      <w:sz w:val="22"/>
      <w:szCs w:val="16"/>
    </w:rPr>
  </w:style>
  <w:style w:type="character" w:customStyle="1" w:styleId="PreprocessorTok">
    <w:name w:val="PreprocessorTok"/>
    <w:basedOn w:val="VerbatimChar"/>
    <w:rPr>
      <w:rFonts w:ascii="Consolas" w:hAnsi="Consolas"/>
      <w:b/>
      <w:bCs/>
      <w:color w:val="BC7A00"/>
      <w:spacing w:val="10"/>
      <w:sz w:val="22"/>
      <w:szCs w:val="16"/>
    </w:rPr>
  </w:style>
  <w:style w:type="character" w:customStyle="1" w:styleId="AttributeTok">
    <w:name w:val="AttributeTok"/>
    <w:basedOn w:val="VerbatimChar"/>
    <w:rPr>
      <w:rFonts w:ascii="Consolas" w:hAnsi="Consolas"/>
      <w:b/>
      <w:bCs/>
      <w:color w:val="7D9029"/>
      <w:spacing w:val="10"/>
      <w:sz w:val="22"/>
      <w:szCs w:val="16"/>
    </w:rPr>
  </w:style>
  <w:style w:type="character" w:customStyle="1" w:styleId="RegionMarkerTok">
    <w:name w:val="RegionMarkerTok"/>
    <w:basedOn w:val="VerbatimChar"/>
    <w:rPr>
      <w:rFonts w:ascii="Consolas" w:hAnsi="Consolas"/>
      <w:b/>
      <w:bCs/>
      <w:color w:val="B2B2B2" w:themeColor="accent2"/>
      <w:spacing w:val="10"/>
      <w:sz w:val="22"/>
      <w:szCs w:val="16"/>
    </w:rPr>
  </w:style>
  <w:style w:type="character" w:customStyle="1" w:styleId="InformationTok">
    <w:name w:val="InformationTok"/>
    <w:basedOn w:val="VerbatimChar"/>
    <w:rPr>
      <w:rFonts w:ascii="Consolas" w:hAnsi="Consolas"/>
      <w:b/>
      <w:bCs/>
      <w:i/>
      <w:color w:val="60A0B0"/>
      <w:spacing w:val="10"/>
      <w:sz w:val="22"/>
      <w:szCs w:val="16"/>
    </w:rPr>
  </w:style>
  <w:style w:type="character" w:customStyle="1" w:styleId="WarningTok">
    <w:name w:val="WarningTok"/>
    <w:basedOn w:val="VerbatimChar"/>
    <w:rPr>
      <w:rFonts w:ascii="Consolas" w:hAnsi="Consolas"/>
      <w:b/>
      <w:bCs/>
      <w:i/>
      <w:color w:val="60A0B0"/>
      <w:spacing w:val="10"/>
      <w:sz w:val="22"/>
      <w:szCs w:val="16"/>
    </w:rPr>
  </w:style>
  <w:style w:type="character" w:customStyle="1" w:styleId="AlertTok">
    <w:name w:val="AlertTok"/>
    <w:basedOn w:val="VerbatimChar"/>
    <w:rPr>
      <w:rFonts w:ascii="Consolas" w:hAnsi="Consolas"/>
      <w:b/>
      <w:bCs/>
      <w:color w:val="FF0000"/>
      <w:spacing w:val="10"/>
      <w:sz w:val="22"/>
      <w:szCs w:val="16"/>
    </w:rPr>
  </w:style>
  <w:style w:type="character" w:customStyle="1" w:styleId="ErrorTok">
    <w:name w:val="ErrorTok"/>
    <w:basedOn w:val="VerbatimChar"/>
    <w:rPr>
      <w:rFonts w:ascii="Consolas" w:hAnsi="Consolas"/>
      <w:b/>
      <w:bCs/>
      <w:color w:val="FF0000"/>
      <w:spacing w:val="10"/>
      <w:sz w:val="22"/>
      <w:szCs w:val="16"/>
    </w:rPr>
  </w:style>
  <w:style w:type="character" w:customStyle="1" w:styleId="NormalTok">
    <w:name w:val="NormalTok"/>
    <w:basedOn w:val="VerbatimChar"/>
    <w:rPr>
      <w:rFonts w:ascii="Consolas" w:hAnsi="Consolas"/>
      <w:b/>
      <w:bCs/>
      <w:color w:val="B2B2B2" w:themeColor="accent2"/>
      <w:spacing w:val="10"/>
      <w:sz w:val="22"/>
      <w:szCs w:val="16"/>
    </w:rPr>
  </w:style>
  <w:style w:type="character" w:styleId="Mentionnonrsolue">
    <w:name w:val="Unresolved Mention"/>
    <w:basedOn w:val="Policepardfaut"/>
    <w:uiPriority w:val="99"/>
    <w:semiHidden/>
    <w:unhideWhenUsed/>
    <w:rsid w:val="004479B9"/>
    <w:rPr>
      <w:color w:val="605E5C"/>
      <w:shd w:val="clear" w:color="auto" w:fill="E1DFDD"/>
    </w:rPr>
  </w:style>
  <w:style w:type="character" w:styleId="Textedelespacerserv">
    <w:name w:val="Placeholder Text"/>
    <w:basedOn w:val="Policepardfaut"/>
    <w:semiHidden/>
    <w:rsid w:val="006E6561"/>
    <w:rPr>
      <w:color w:val="808080"/>
    </w:rPr>
  </w:style>
  <w:style w:type="table" w:styleId="Grilledutableau">
    <w:name w:val="Table Grid"/>
    <w:basedOn w:val="TableauNormal"/>
    <w:uiPriority w:val="39"/>
    <w:rsid w:val="00E8366E"/>
    <w:pPr>
      <w:spacing w:after="0" w:line="240" w:lineRule="auto"/>
    </w:pPr>
    <w:rPr>
      <w:rFonts w:eastAsiaTheme="minorHAnsi"/>
      <w:kern w:val="2"/>
      <w:sz w:val="22"/>
      <w:szCs w:val="22"/>
      <w:lang w:val="de-D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847113"/>
    <w:rPr>
      <w:sz w:val="16"/>
      <w:szCs w:val="16"/>
    </w:rPr>
  </w:style>
  <w:style w:type="paragraph" w:styleId="Commentaire">
    <w:name w:val="annotation text"/>
    <w:basedOn w:val="Normal"/>
    <w:link w:val="CommentaireCar"/>
    <w:unhideWhenUsed/>
    <w:rsid w:val="00847113"/>
    <w:pPr>
      <w:spacing w:line="240" w:lineRule="auto"/>
    </w:pPr>
    <w:rPr>
      <w:sz w:val="20"/>
      <w:szCs w:val="20"/>
    </w:rPr>
  </w:style>
  <w:style w:type="character" w:customStyle="1" w:styleId="CommentaireCar">
    <w:name w:val="Commentaire Car"/>
    <w:basedOn w:val="Policepardfaut"/>
    <w:link w:val="Commentaire"/>
    <w:rsid w:val="00847113"/>
    <w:rPr>
      <w:sz w:val="20"/>
      <w:szCs w:val="20"/>
    </w:rPr>
  </w:style>
  <w:style w:type="paragraph" w:styleId="Objetducommentaire">
    <w:name w:val="annotation subject"/>
    <w:basedOn w:val="Commentaire"/>
    <w:next w:val="Commentaire"/>
    <w:link w:val="ObjetducommentaireCar"/>
    <w:semiHidden/>
    <w:unhideWhenUsed/>
    <w:rsid w:val="00847113"/>
    <w:rPr>
      <w:b/>
      <w:bCs/>
    </w:rPr>
  </w:style>
  <w:style w:type="character" w:customStyle="1" w:styleId="ObjetducommentaireCar">
    <w:name w:val="Objet du commentaire Car"/>
    <w:basedOn w:val="CommentaireCar"/>
    <w:link w:val="Objetducommentaire"/>
    <w:semiHidden/>
    <w:rsid w:val="00847113"/>
    <w:rPr>
      <w:b/>
      <w:bCs/>
      <w:sz w:val="20"/>
      <w:szCs w:val="20"/>
    </w:rPr>
  </w:style>
  <w:style w:type="character" w:customStyle="1" w:styleId="katex-mathml">
    <w:name w:val="katex-mathml"/>
    <w:basedOn w:val="Policepardfaut"/>
    <w:rsid w:val="00CF66C7"/>
  </w:style>
  <w:style w:type="character" w:customStyle="1" w:styleId="vlist-s">
    <w:name w:val="vlist-s"/>
    <w:basedOn w:val="Policepardfaut"/>
    <w:rsid w:val="00CF66C7"/>
  </w:style>
  <w:style w:type="character" w:customStyle="1" w:styleId="mord">
    <w:name w:val="mord"/>
    <w:basedOn w:val="Policepardfaut"/>
    <w:rsid w:val="00433DAB"/>
  </w:style>
  <w:style w:type="paragraph" w:styleId="NormalWeb">
    <w:name w:val="Normal (Web)"/>
    <w:basedOn w:val="Normal"/>
    <w:uiPriority w:val="99"/>
    <w:semiHidden/>
    <w:unhideWhenUsed/>
    <w:rsid w:val="00B31348"/>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280494">
      <w:bodyDiv w:val="1"/>
      <w:marLeft w:val="0"/>
      <w:marRight w:val="0"/>
      <w:marTop w:val="0"/>
      <w:marBottom w:val="0"/>
      <w:divBdr>
        <w:top w:val="none" w:sz="0" w:space="0" w:color="auto"/>
        <w:left w:val="none" w:sz="0" w:space="0" w:color="auto"/>
        <w:bottom w:val="none" w:sz="0" w:space="0" w:color="auto"/>
        <w:right w:val="none" w:sz="0" w:space="0" w:color="auto"/>
      </w:divBdr>
    </w:div>
    <w:div w:id="1378166041">
      <w:bodyDiv w:val="1"/>
      <w:marLeft w:val="0"/>
      <w:marRight w:val="0"/>
      <w:marTop w:val="0"/>
      <w:marBottom w:val="0"/>
      <w:divBdr>
        <w:top w:val="none" w:sz="0" w:space="0" w:color="auto"/>
        <w:left w:val="none" w:sz="0" w:space="0" w:color="auto"/>
        <w:bottom w:val="none" w:sz="0" w:space="0" w:color="auto"/>
        <w:right w:val="none" w:sz="0" w:space="0" w:color="auto"/>
      </w:divBdr>
    </w:div>
    <w:div w:id="1428384481">
      <w:bodyDiv w:val="1"/>
      <w:marLeft w:val="0"/>
      <w:marRight w:val="0"/>
      <w:marTop w:val="0"/>
      <w:marBottom w:val="0"/>
      <w:divBdr>
        <w:top w:val="none" w:sz="0" w:space="0" w:color="auto"/>
        <w:left w:val="none" w:sz="0" w:space="0" w:color="auto"/>
        <w:bottom w:val="none" w:sz="0" w:space="0" w:color="auto"/>
        <w:right w:val="none" w:sz="0" w:space="0" w:color="auto"/>
      </w:divBdr>
    </w:div>
    <w:div w:id="1444690109">
      <w:bodyDiv w:val="1"/>
      <w:marLeft w:val="0"/>
      <w:marRight w:val="0"/>
      <w:marTop w:val="0"/>
      <w:marBottom w:val="0"/>
      <w:divBdr>
        <w:top w:val="none" w:sz="0" w:space="0" w:color="auto"/>
        <w:left w:val="none" w:sz="0" w:space="0" w:color="auto"/>
        <w:bottom w:val="none" w:sz="0" w:space="0" w:color="auto"/>
        <w:right w:val="none" w:sz="0" w:space="0" w:color="auto"/>
      </w:divBdr>
      <w:divsChild>
        <w:div w:id="11064616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70-016-0003" TargetMode="External"/><Relationship Id="rId18" Type="http://schemas.openxmlformats.org/officeDocument/2006/relationships/hyperlink" Target="https://doi.org/10.1038/s41467-025-58193-8" TargetMode="External"/><Relationship Id="rId26" Type="http://schemas.openxmlformats.org/officeDocument/2006/relationships/hyperlink" Target="https://doi.org/10.3389/FENRG.2021.654460/XML" TargetMode="External"/><Relationship Id="rId39" Type="http://schemas.openxmlformats.org/officeDocument/2006/relationships/hyperlink" Target="https://doi.org/10.1021/ACS.CHEMREV.1C00191/ASSET/IMAGES/LARGE/CR1C00191%7b_%7d0028.JPEG" TargetMode="External"/><Relationship Id="rId21" Type="http://schemas.openxmlformats.org/officeDocument/2006/relationships/hyperlink" Target="https://doi.org/10.1021/ACSAMI.8B15003/ASSET/IMAGES/LARGE/AM-2018-150036%7b_%7d0003.JPEG" TargetMode="External"/><Relationship Id="rId34" Type="http://schemas.openxmlformats.org/officeDocument/2006/relationships/hyperlink" Target="https://doi.org/10.1039/C4NR02204A"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8/nchem.1574" TargetMode="External"/><Relationship Id="rId29" Type="http://schemas.openxmlformats.org/officeDocument/2006/relationships/hyperlink" Target="https://doi.org/10.1016/j.progsurf.2020.1005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doi.org/10.1002/ANIE.202310069" TargetMode="External"/><Relationship Id="rId32" Type="http://schemas.openxmlformats.org/officeDocument/2006/relationships/hyperlink" Target="https://doi.org/10.1021/JA0504690/SUPPL%7b_%7dFILE/JA0504690SI20050310%7b_%7d101833.PDF" TargetMode="External"/><Relationship Id="rId37" Type="http://schemas.openxmlformats.org/officeDocument/2006/relationships/hyperlink" Target="https://doi.org/10.1002/CNMA.201600251" TargetMode="External"/><Relationship Id="rId40" Type="http://schemas.openxmlformats.org/officeDocument/2006/relationships/hyperlink" Target="https://doi.org/10.1021/ACS.JPCB.5B04555/ASSET/IMAGES/LARGE/JP-2015-04555G%7b_%7d0006.JPEG"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02/anie.201204842" TargetMode="External"/><Relationship Id="rId23" Type="http://schemas.openxmlformats.org/officeDocument/2006/relationships/hyperlink" Target="https://doi.org/10.1016/S0022-0728(72)80485-6" TargetMode="External"/><Relationship Id="rId28" Type="http://schemas.openxmlformats.org/officeDocument/2006/relationships/hyperlink" Target="https://doi.org/10.1039/C3EE00045A" TargetMode="External"/><Relationship Id="rId36" Type="http://schemas.openxmlformats.org/officeDocument/2006/relationships/hyperlink" Target="https://doi.org/10.1021/ACSOMEGA.1C01908/ASSET/IMAGES/LARGE/AO1C01908%7b_%7d0006.JPEG" TargetMode="External"/><Relationship Id="rId10" Type="http://schemas.openxmlformats.org/officeDocument/2006/relationships/hyperlink" Target="mailto:tristan.petit@helmholtz-berlin.de" TargetMode="External"/><Relationship Id="rId19" Type="http://schemas.openxmlformats.org/officeDocument/2006/relationships/hyperlink" Target="https://doi.org/10.1038/nenergy.2017.70" TargetMode="External"/><Relationship Id="rId31" Type="http://schemas.openxmlformats.org/officeDocument/2006/relationships/hyperlink" Target="https://doi.org/10.1016/J.JOULE.2024.01.004/ATTACHMENT/436E8DEC-C3C5-4B48-930C-A0968E79E898/MMC2.PDF"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avid.amans@univ-lyon1.fr" TargetMode="External"/><Relationship Id="rId14" Type="http://schemas.openxmlformats.org/officeDocument/2006/relationships/hyperlink" Target="https://doi.org/10.1126/SCIENCE.1211934/SUPPL%7b_%7dFILE/SUBBARAMAN.SOM.PDF" TargetMode="External"/><Relationship Id="rId22" Type="http://schemas.openxmlformats.org/officeDocument/2006/relationships/hyperlink" Target="https://doi.org/10.1021/JA0761481/ASSET/IMAGES/LARGE/JA0761481F00006.JPEG" TargetMode="External"/><Relationship Id="rId27" Type="http://schemas.openxmlformats.org/officeDocument/2006/relationships/hyperlink" Target="https://doi.org/10.1149/1945-7111/ACF246" TargetMode="External"/><Relationship Id="rId30" Type="http://schemas.openxmlformats.org/officeDocument/2006/relationships/hyperlink" Target="https://doi.org/10.1038/s41598-017-01295-1" TargetMode="External"/><Relationship Id="rId35" Type="http://schemas.openxmlformats.org/officeDocument/2006/relationships/hyperlink" Target="https://doi.org/10.1038/s41598-024-53969-2"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mailto:arsene.chemin@helmholtz-berlin.de"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doi.org/10.1038/nmat3313" TargetMode="External"/><Relationship Id="rId25" Type="http://schemas.openxmlformats.org/officeDocument/2006/relationships/hyperlink" Target="https://doi.org/10.1149/1945-7111/AD8F01" TargetMode="External"/><Relationship Id="rId33" Type="http://schemas.openxmlformats.org/officeDocument/2006/relationships/hyperlink" Target="https://doi.org/10.1103/zhcb-13pn" TargetMode="External"/><Relationship Id="rId38" Type="http://schemas.openxmlformats.org/officeDocument/2006/relationships/hyperlink" Target="https://doi.org/10.1002/ADFM.202401764" TargetMode="External"/><Relationship Id="rId46" Type="http://schemas.openxmlformats.org/officeDocument/2006/relationships/footer" Target="footer3.xml"/><Relationship Id="rId20" Type="http://schemas.openxmlformats.org/officeDocument/2006/relationships/hyperlink" Target="https://doi.org/10.1038/nenergy.2017.31"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1">
      <a:majorFont>
        <a:latin typeface="Liberation Serif"/>
        <a:ea typeface=""/>
        <a:cs typeface=""/>
      </a:majorFont>
      <a:minorFont>
        <a:latin typeface="Liberation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1C71C-EA34-41E0-B45A-FDECE4D63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3567</Words>
  <Characters>20338</Characters>
  <Application>Microsoft Office Word</Application>
  <DocSecurity>0</DocSecurity>
  <Lines>169</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The overlooked role of the Helmholtz potential on electrocatalytic activity</vt:lpstr>
      <vt:lpstr>The overlooked role of the Helmholtz potential on electrocatalytic activity</vt:lpstr>
    </vt:vector>
  </TitlesOfParts>
  <Company/>
  <LinksUpToDate>false</LinksUpToDate>
  <CharactersWithSpaces>23858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overlooked role of the Helmholtz potential on electrocatalytic activity</dc:title>
  <dc:creator>Louis Godeffroy</dc:creator>
  <cp:keywords/>
  <cp:lastModifiedBy>CHEMIN ARSENE</cp:lastModifiedBy>
  <cp:revision>3</cp:revision>
  <cp:lastPrinted>2025-09-01T13:53:00Z</cp:lastPrinted>
  <dcterms:created xsi:type="dcterms:W3CDTF">2025-09-16T08:44:00Z</dcterms:created>
  <dcterms:modified xsi:type="dcterms:W3CDTF">2025-09-16T08:47:00Z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ccsDelim">
    <vt:lpwstr>, </vt:lpwstr>
  </property>
  <property fmtid="{D5CDD505-2E9C-101B-9397-08002B2CF9AE}" pid="5" name="ccsLabelSep">
    <vt:lpwstr> — </vt:lpwstr>
  </property>
  <property fmtid="{D5CDD505-2E9C-101B-9397-08002B2CF9AE}" pid="6" name="ccsTemplate">
    <vt:lpwstr>iccsLabelSept</vt:lpwstr>
  </property>
  <property fmtid="{D5CDD505-2E9C-101B-9397-08002B2CF9AE}" pid="7" name="chapDelim">
    <vt:lpwstr>.</vt:lpwstr>
  </property>
  <property fmtid="{D5CDD505-2E9C-101B-9397-08002B2CF9AE}" pid="8" name="chapters">
    <vt:lpwstr>False</vt:lpwstr>
  </property>
  <property fmtid="{D5CDD505-2E9C-101B-9397-08002B2CF9AE}" pid="9" name="chaptersDepth">
    <vt:lpwstr>1</vt:lpwstr>
  </property>
  <property fmtid="{D5CDD505-2E9C-101B-9397-08002B2CF9AE}" pid="10" name="codeBlockCaptions">
    <vt:lpwstr>False</vt:lpwstr>
  </property>
  <property fmtid="{D5CDD505-2E9C-101B-9397-08002B2CF9AE}" pid="11" name="cref">
    <vt:lpwstr>False</vt:lpwstr>
  </property>
  <property fmtid="{D5CDD505-2E9C-101B-9397-08002B2CF9AE}" pid="12" name="crossrefYaml">
    <vt:lpwstr>pandoc-crossref.yaml</vt:lpwstr>
  </property>
  <property fmtid="{D5CDD505-2E9C-101B-9397-08002B2CF9AE}" pid="13" name="csl">
    <vt:lpwstr>nature-communications</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fig.</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has_correspondence">
    <vt:lpwstr>arsene.chemin@helmholtz-berlin.de</vt:lpwstr>
  </property>
  <property fmtid="{D5CDD505-2E9C-101B-9397-08002B2CF9AE}" pid="30" name="has_equal_contributors">
    <vt:lpwstr>no</vt:lpwstr>
  </property>
  <property fmtid="{D5CDD505-2E9C-101B-9397-08002B2CF9AE}" pid="31" name="institute">
    <vt:lpwstr/>
  </property>
  <property fmtid="{D5CDD505-2E9C-101B-9397-08002B2CF9AE}" pid="32" name="lastDelim">
    <vt:lpwstr>, </vt:lpwstr>
  </property>
  <property fmtid="{D5CDD505-2E9C-101B-9397-08002B2CF9AE}" pid="33" name="link-citations">
    <vt:lpwstr>True</vt:lpwstr>
  </property>
  <property fmtid="{D5CDD505-2E9C-101B-9397-08002B2CF9AE}" pid="34" name="linkReferences">
    <vt:lpwstr>False</vt:lpwstr>
  </property>
  <property fmtid="{D5CDD505-2E9C-101B-9397-08002B2CF9AE}" pid="35" name="listItemTitleDelim">
    <vt:lpwstr>.</vt:lpwstr>
  </property>
  <property fmtid="{D5CDD505-2E9C-101B-9397-08002B2CF9AE}" pid="36" name="listOfMetadata">
    <vt:lpwstr>False</vt:lpwstr>
  </property>
  <property fmtid="{D5CDD505-2E9C-101B-9397-08002B2CF9AE}" pid="37" name="listingTemplate">
    <vt:lpwstr>listingTitle ititleDelim t</vt:lpwstr>
  </property>
  <property fmtid="{D5CDD505-2E9C-101B-9397-08002B2CF9AE}" pid="38" name="listingTitle">
    <vt:lpwstr>Listing</vt:lpwstr>
  </property>
  <property fmtid="{D5CDD505-2E9C-101B-9397-08002B2CF9AE}" pid="39" name="listings">
    <vt:lpwstr>False</vt:lpwstr>
  </property>
  <property fmtid="{D5CDD505-2E9C-101B-9397-08002B2CF9AE}" pid="40" name="lof">
    <vt:lpwstr>False</vt:lpwstr>
  </property>
  <property fmtid="{D5CDD505-2E9C-101B-9397-08002B2CF9AE}" pid="41" name="lofItemTemplate">
    <vt:lpwstr>lofItemTitleilistItemTitleDelimt </vt:lpwstr>
  </property>
  <property fmtid="{D5CDD505-2E9C-101B-9397-08002B2CF9AE}" pid="42" name="lofItemTitle">
    <vt:lpwstr/>
  </property>
  <property fmtid="{D5CDD505-2E9C-101B-9397-08002B2CF9AE}" pid="43" name="lofTitle">
    <vt:lpwstr>List of Figures</vt:lpwstr>
  </property>
  <property fmtid="{D5CDD505-2E9C-101B-9397-08002B2CF9AE}" pid="44" name="lolItemTemplate">
    <vt:lpwstr>lolItemTitleilistItemTitleDelimt </vt:lpwstr>
  </property>
  <property fmtid="{D5CDD505-2E9C-101B-9397-08002B2CF9AE}" pid="45" name="lolItemTitle">
    <vt:lpwstr/>
  </property>
  <property fmtid="{D5CDD505-2E9C-101B-9397-08002B2CF9AE}" pid="46" name="lolTitle">
    <vt:lpwstr>List of Listings</vt:lpwstr>
  </property>
  <property fmtid="{D5CDD505-2E9C-101B-9397-08002B2CF9AE}" pid="47" name="lot">
    <vt:lpwstr>False</vt:lpwstr>
  </property>
  <property fmtid="{D5CDD505-2E9C-101B-9397-08002B2CF9AE}" pid="48" name="lotItemTemplate">
    <vt:lpwstr>lotItemTitleilistItemTitleDelimt </vt:lpwstr>
  </property>
  <property fmtid="{D5CDD505-2E9C-101B-9397-08002B2CF9AE}" pid="49" name="lotItemTitle">
    <vt:lpwstr/>
  </property>
  <property fmtid="{D5CDD505-2E9C-101B-9397-08002B2CF9AE}" pid="50" name="lotTitle">
    <vt:lpwstr>List of Tables</vt:lpwstr>
  </property>
  <property fmtid="{D5CDD505-2E9C-101B-9397-08002B2CF9AE}" pid="51" name="lstLabels">
    <vt:lpwstr>arabic</vt:lpwstr>
  </property>
  <property fmtid="{D5CDD505-2E9C-101B-9397-08002B2CF9AE}" pid="52" name="lstPrefix">
    <vt:lpwstr/>
  </property>
  <property fmtid="{D5CDD505-2E9C-101B-9397-08002B2CF9AE}" pid="53" name="lstPrefixTemplate">
    <vt:lpwstr>p i</vt:lpwstr>
  </property>
  <property fmtid="{D5CDD505-2E9C-101B-9397-08002B2CF9AE}" pid="54" name="math">
    <vt:lpwstr>True</vt:lpwstr>
  </property>
  <property fmtid="{D5CDD505-2E9C-101B-9397-08002B2CF9AE}" pid="55" name="mathjax">
    <vt:lpwstr>True</vt:lpwstr>
  </property>
  <property fmtid="{D5CDD505-2E9C-101B-9397-08002B2CF9AE}" pid="56" name="nameInLink">
    <vt:lpwstr>False</vt:lpwstr>
  </property>
  <property fmtid="{D5CDD505-2E9C-101B-9397-08002B2CF9AE}" pid="57" name="numberSections">
    <vt:lpwstr>True</vt:lpwstr>
  </property>
  <property fmtid="{D5CDD505-2E9C-101B-9397-08002B2CF9AE}" pid="58" name="pairDelim">
    <vt:lpwstr>, </vt:lpwstr>
  </property>
  <property fmtid="{D5CDD505-2E9C-101B-9397-08002B2CF9AE}" pid="59" name="rangeDelim">
    <vt:lpwstr>-</vt:lpwstr>
  </property>
  <property fmtid="{D5CDD505-2E9C-101B-9397-08002B2CF9AE}" pid="60" name="refDelim">
    <vt:lpwstr>, </vt:lpwstr>
  </property>
  <property fmtid="{D5CDD505-2E9C-101B-9397-08002B2CF9AE}" pid="61" name="refIndexTemplate">
    <vt:lpwstr>isuf</vt:lpwstr>
  </property>
  <property fmtid="{D5CDD505-2E9C-101B-9397-08002B2CF9AE}" pid="62" name="references">
    <vt:lpwstr/>
  </property>
  <property fmtid="{D5CDD505-2E9C-101B-9397-08002B2CF9AE}" pid="63" name="secHeaderDelim">
    <vt:lpwstr> </vt:lpwstr>
  </property>
  <property fmtid="{D5CDD505-2E9C-101B-9397-08002B2CF9AE}" pid="64" name="secHeaderPrefix">
    <vt:lpwstr/>
  </property>
  <property fmtid="{D5CDD505-2E9C-101B-9397-08002B2CF9AE}" pid="65" name="secHeaderTemplate">
    <vt:lpwstr>secHeaderPrefix[n]i. t</vt:lpwstr>
  </property>
  <property fmtid="{D5CDD505-2E9C-101B-9397-08002B2CF9AE}" pid="66" name="secLabels">
    <vt:lpwstr>arabic</vt:lpwstr>
  </property>
  <property fmtid="{D5CDD505-2E9C-101B-9397-08002B2CF9AE}" pid="67" name="secPrefix">
    <vt:lpwstr/>
  </property>
  <property fmtid="{D5CDD505-2E9C-101B-9397-08002B2CF9AE}" pid="68" name="secPrefixTemplate">
    <vt:lpwstr>p i</vt:lpwstr>
  </property>
  <property fmtid="{D5CDD505-2E9C-101B-9397-08002B2CF9AE}" pid="69" name="sectionsDepth">
    <vt:lpwstr>4</vt:lpwstr>
  </property>
  <property fmtid="{D5CDD505-2E9C-101B-9397-08002B2CF9AE}" pid="70" name="subfigGrid">
    <vt:lpwstr>False</vt:lpwstr>
  </property>
  <property fmtid="{D5CDD505-2E9C-101B-9397-08002B2CF9AE}" pid="71" name="subfigLabels">
    <vt:lpwstr>alpha a</vt:lpwstr>
  </property>
  <property fmtid="{D5CDD505-2E9C-101B-9397-08002B2CF9AE}" pid="72" name="subfigureChildTemplate">
    <vt:lpwstr>i</vt:lpwstr>
  </property>
  <property fmtid="{D5CDD505-2E9C-101B-9397-08002B2CF9AE}" pid="73" name="subfigureRefIndexTemplate">
    <vt:lpwstr>isuf (s)</vt:lpwstr>
  </property>
  <property fmtid="{D5CDD505-2E9C-101B-9397-08002B2CF9AE}" pid="74" name="subfigureTemplate">
    <vt:lpwstr>figureTitle ititleDelim t. ccs</vt:lpwstr>
  </property>
  <property fmtid="{D5CDD505-2E9C-101B-9397-08002B2CF9AE}" pid="75" name="suppress-bibliography">
    <vt:lpwstr>False</vt:lpwstr>
  </property>
  <property fmtid="{D5CDD505-2E9C-101B-9397-08002B2CF9AE}" pid="76" name="tableEqns">
    <vt:lpwstr>False</vt:lpwstr>
  </property>
  <property fmtid="{D5CDD505-2E9C-101B-9397-08002B2CF9AE}" pid="77" name="tableTemplate">
    <vt:lpwstr>tableTitle ititleDelim t</vt:lpwstr>
  </property>
  <property fmtid="{D5CDD505-2E9C-101B-9397-08002B2CF9AE}" pid="78" name="tableTitle">
    <vt:lpwstr>Table</vt:lpwstr>
  </property>
  <property fmtid="{D5CDD505-2E9C-101B-9397-08002B2CF9AE}" pid="79" name="tblLabels">
    <vt:lpwstr>arabic</vt:lpwstr>
  </property>
  <property fmtid="{D5CDD505-2E9C-101B-9397-08002B2CF9AE}" pid="80" name="tblPrefix">
    <vt:lpwstr>tbl.</vt:lpwstr>
  </property>
  <property fmtid="{D5CDD505-2E9C-101B-9397-08002B2CF9AE}" pid="81" name="tblPrefixTemplate">
    <vt:lpwstr>p i</vt:lpwstr>
  </property>
  <property fmtid="{D5CDD505-2E9C-101B-9397-08002B2CF9AE}" pid="82" name="titleDelim">
    <vt:lpwstr>:</vt:lpwstr>
  </property>
</Properties>
</file>