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083A8" w14:textId="602BD56D" w:rsidR="003C29A4" w:rsidRDefault="003C29A4" w:rsidP="00A720C0">
      <w:pPr>
        <w:pStyle w:val="Heading3"/>
        <w:rPr>
          <w:lang w:val="en-US"/>
        </w:rPr>
      </w:pPr>
      <w:r>
        <w:rPr>
          <w:lang w:val="en-US"/>
        </w:rPr>
        <w:t>Plasmid and strain construction</w:t>
      </w:r>
    </w:p>
    <w:p w14:paraId="0905FB07" w14:textId="77777777" w:rsidR="003C29A4" w:rsidRDefault="003C29A4" w:rsidP="00A720C0">
      <w:pPr>
        <w:pStyle w:val="Heading3"/>
        <w:rPr>
          <w:lang w:val="en-US"/>
        </w:rPr>
      </w:pPr>
    </w:p>
    <w:p w14:paraId="79A667D1" w14:textId="00279183" w:rsidR="00A720C0" w:rsidRPr="00CB1057" w:rsidRDefault="00A720C0" w:rsidP="00A720C0">
      <w:pPr>
        <w:pStyle w:val="Heading3"/>
        <w:rPr>
          <w:lang w:val="en-US"/>
        </w:rPr>
      </w:pPr>
      <w:r w:rsidRPr="00CB1057">
        <w:rPr>
          <w:lang w:val="en-US"/>
        </w:rPr>
        <w:t>Plasmid construction</w:t>
      </w:r>
    </w:p>
    <w:p w14:paraId="7FE9B3D5" w14:textId="44507E7A" w:rsidR="00A720C0" w:rsidRPr="00CB1057" w:rsidRDefault="00A720C0" w:rsidP="00A720C0">
      <w:pPr>
        <w:rPr>
          <w:sz w:val="24"/>
          <w:szCs w:val="24"/>
          <w:lang w:val="en-US"/>
        </w:rPr>
      </w:pPr>
      <w:r w:rsidRPr="00CB1057">
        <w:rPr>
          <w:sz w:val="24"/>
          <w:szCs w:val="24"/>
          <w:lang w:val="en-US"/>
        </w:rPr>
        <w:t xml:space="preserve">Optimization of coding sequences for expression in </w:t>
      </w:r>
      <w:r w:rsidRPr="00CB1057">
        <w:rPr>
          <w:i/>
          <w:sz w:val="24"/>
          <w:szCs w:val="24"/>
          <w:lang w:val="en-US"/>
        </w:rPr>
        <w:t>S. cerevisiae</w:t>
      </w:r>
      <w:r w:rsidRPr="00CB1057">
        <w:rPr>
          <w:sz w:val="24"/>
          <w:szCs w:val="24"/>
          <w:lang w:val="en-US"/>
        </w:rPr>
        <w:t xml:space="preserve"> was performed by the </w:t>
      </w:r>
      <w:proofErr w:type="spellStart"/>
      <w:r w:rsidRPr="00CB1057">
        <w:rPr>
          <w:sz w:val="24"/>
          <w:szCs w:val="24"/>
          <w:lang w:val="en-US"/>
        </w:rPr>
        <w:t>GeneOptimizer</w:t>
      </w:r>
      <w:proofErr w:type="spellEnd"/>
      <w:r w:rsidRPr="00CB1057">
        <w:rPr>
          <w:sz w:val="24"/>
          <w:szCs w:val="24"/>
          <w:lang w:val="en-US"/>
        </w:rPr>
        <w:t xml:space="preserve"> tool (</w:t>
      </w:r>
      <w:proofErr w:type="spellStart"/>
      <w:r w:rsidRPr="00CB1057">
        <w:rPr>
          <w:sz w:val="24"/>
          <w:szCs w:val="24"/>
          <w:lang w:val="en-US"/>
        </w:rPr>
        <w:t>GeneArt</w:t>
      </w:r>
      <w:proofErr w:type="spellEnd"/>
      <w:r w:rsidR="00614483">
        <w:rPr>
          <w:sz w:val="24"/>
          <w:szCs w:val="24"/>
          <w:lang w:val="en-US"/>
        </w:rPr>
        <w:t xml:space="preserve">; </w:t>
      </w:r>
      <w:r w:rsidR="00614483">
        <w:rPr>
          <w:sz w:val="24"/>
          <w:szCs w:val="24"/>
          <w:lang w:val="en-US"/>
        </w:rPr>
        <w:fldChar w:fldCharType="begin" w:fldLock="1"/>
      </w:r>
      <w:r w:rsidR="00DD0B5D">
        <w:rPr>
          <w:sz w:val="24"/>
          <w:szCs w:val="24"/>
          <w:lang w:val="en-US"/>
        </w:rPr>
        <w:instrText>ADDIN CSL_CITATION {"citationItems":[{"id":"ITEM-1","itemData":{"DOI":"10.1007/s11693-010-9062-3","ISSN":"18725325","abstract":"One of the main advantages of de novo gene synthesis is the fact that it frees the researcher from any limitations imposed by the use of natural templates. To make the most out of this opportunity, efficient algorithms are needed to calculate a coding sequence, combining different requirements, such as adapted codon usage or avoidance of restriction sites, in the best possible way. We present an algorithm where a \"variation window\" covering several amino acid positions slides along the coding sequence. Candidate sequences are built comprising the already optimized part of the complete sequence and all possible combinations of synonymous codons representing the amino acids within the window. The candidate sequences are assessed with a quality function, and the first codon of the best candidates' variation window is fixed. Subsequently the window is shifted by one codon position. As an example of a freely accessible software implementing the algorithm, we present the Mr. Gene web-application. Additionally two experimental applications of the algorithm are shown. © 2010 The Author(s).","author":[{"dropping-particle":"","family":"Raab","given":"David","non-dropping-particle":"","parse-names":false,"suffix":""},{"dropping-particle":"","family":"Graf","given":"Marcus","non-dropping-particle":"","parse-names":false,"suffix":""},{"dropping-particle":"","family":"Notka","given":"Frank","non-dropping-particle":"","parse-names":false,"suffix":""},{"dropping-particle":"","family":"Schödl","given":"Thomas","non-dropping-particle":"","parse-names":false,"suffix":""},{"dropping-particle":"","family":"Wagner","given":"Ralf","non-dropping-particle":"","parse-names":false,"suffix":""}],"container-title":"Systems and Synthetic Biology","id":"ITEM-1","issue":"3","issued":{"date-parts":[["2010"]]},"page":"215-225","title":"The GeneOptimizer Algorithm: Using a sliding window approach to cope with the vast sequence space in multiparameter DNA sequence optimization","type":"article-journal","volume":"4"},"uris":["http://www.mendeley.com/documents/?uuid=3c1fae51-a2f8-4272-adac-e9c850d3cbf2"]}],"mendeley":{"formattedCitation":"[1]","plainTextFormattedCitation":"[1]","previouslyFormattedCitation":"[1]"},"properties":{"noteIndex":0},"schema":"https://github.com/citation-style-language/schema/raw/master/csl-citation.json"}</w:instrText>
      </w:r>
      <w:r w:rsidR="00614483">
        <w:rPr>
          <w:sz w:val="24"/>
          <w:szCs w:val="24"/>
          <w:lang w:val="en-US"/>
        </w:rPr>
        <w:fldChar w:fldCharType="separate"/>
      </w:r>
      <w:r w:rsidR="00614483" w:rsidRPr="00614483">
        <w:rPr>
          <w:noProof/>
          <w:sz w:val="24"/>
          <w:szCs w:val="24"/>
          <w:lang w:val="en-US"/>
        </w:rPr>
        <w:t>[1]</w:t>
      </w:r>
      <w:r w:rsidR="00614483">
        <w:rPr>
          <w:sz w:val="24"/>
          <w:szCs w:val="24"/>
          <w:lang w:val="en-US"/>
        </w:rPr>
        <w:fldChar w:fldCharType="end"/>
      </w:r>
      <w:r w:rsidRPr="00CB1057">
        <w:rPr>
          <w:sz w:val="24"/>
          <w:szCs w:val="24"/>
          <w:lang w:val="en-US"/>
        </w:rPr>
        <w:t xml:space="preserve">). To construct plasmids </w:t>
      </w:r>
      <w:r w:rsidR="002E2122" w:rsidRPr="00CB1057">
        <w:rPr>
          <w:sz w:val="24"/>
          <w:szCs w:val="24"/>
          <w:lang w:val="en-US"/>
        </w:rPr>
        <w:t>harboring</w:t>
      </w:r>
      <w:r w:rsidRPr="00CB1057">
        <w:rPr>
          <w:sz w:val="24"/>
          <w:szCs w:val="24"/>
          <w:lang w:val="en-US"/>
        </w:rPr>
        <w:t xml:space="preserve"> expression cassettes with different dihydroorotate dehydrogenase genes, </w:t>
      </w:r>
      <w:proofErr w:type="gramStart"/>
      <w:r w:rsidRPr="00CB1057">
        <w:rPr>
          <w:sz w:val="24"/>
          <w:szCs w:val="24"/>
          <w:lang w:val="en-US"/>
        </w:rPr>
        <w:t>codon-</w:t>
      </w:r>
      <w:r w:rsidR="002E2122" w:rsidRPr="00CB1057">
        <w:rPr>
          <w:sz w:val="24"/>
          <w:szCs w:val="24"/>
          <w:lang w:val="en-US"/>
        </w:rPr>
        <w:t>optimi</w:t>
      </w:r>
      <w:r w:rsidR="002E2122">
        <w:rPr>
          <w:sz w:val="24"/>
          <w:szCs w:val="24"/>
          <w:lang w:val="en-US"/>
        </w:rPr>
        <w:t>z</w:t>
      </w:r>
      <w:r w:rsidR="002E2122" w:rsidRPr="00CB1057">
        <w:rPr>
          <w:sz w:val="24"/>
          <w:szCs w:val="24"/>
          <w:lang w:val="en-US"/>
        </w:rPr>
        <w:t>ed</w:t>
      </w:r>
      <w:proofErr w:type="gramEnd"/>
      <w:r w:rsidRPr="00CB1057">
        <w:rPr>
          <w:sz w:val="24"/>
          <w:szCs w:val="24"/>
          <w:lang w:val="en-US"/>
        </w:rPr>
        <w:t xml:space="preserve"> </w:t>
      </w:r>
      <w:r w:rsidRPr="00CB1057">
        <w:rPr>
          <w:i/>
          <w:sz w:val="24"/>
          <w:szCs w:val="24"/>
          <w:lang w:val="en-US"/>
        </w:rPr>
        <w:t>URA9</w:t>
      </w:r>
      <w:r w:rsidRPr="00CB1057">
        <w:rPr>
          <w:sz w:val="24"/>
          <w:szCs w:val="24"/>
          <w:lang w:val="en-US"/>
        </w:rPr>
        <w:t xml:space="preserve"> sequences </w:t>
      </w:r>
      <w:r w:rsidR="00DD0B5D">
        <w:rPr>
          <w:sz w:val="24"/>
          <w:szCs w:val="24"/>
          <w:lang w:val="en-US"/>
        </w:rPr>
        <w:t>(</w:t>
      </w:r>
      <w:proofErr w:type="spellStart"/>
      <w:r w:rsidR="00DD0B5D">
        <w:rPr>
          <w:sz w:val="24"/>
          <w:szCs w:val="24"/>
          <w:lang w:val="en-US"/>
        </w:rPr>
        <w:t>Additonal</w:t>
      </w:r>
      <w:proofErr w:type="spellEnd"/>
      <w:r w:rsidR="00DD0B5D">
        <w:rPr>
          <w:sz w:val="24"/>
          <w:szCs w:val="24"/>
          <w:lang w:val="en-US"/>
        </w:rPr>
        <w:t xml:space="preserve"> file 6) </w:t>
      </w:r>
      <w:r w:rsidRPr="00CB1057">
        <w:rPr>
          <w:sz w:val="24"/>
          <w:szCs w:val="24"/>
          <w:lang w:val="en-US"/>
        </w:rPr>
        <w:t xml:space="preserve">from </w:t>
      </w:r>
      <w:r w:rsidRPr="00CB1057">
        <w:rPr>
          <w:i/>
          <w:sz w:val="24"/>
          <w:szCs w:val="24"/>
          <w:lang w:val="en-US"/>
        </w:rPr>
        <w:t>A. robustus</w:t>
      </w:r>
      <w:r w:rsidRPr="00CB1057">
        <w:rPr>
          <w:sz w:val="24"/>
          <w:szCs w:val="24"/>
          <w:lang w:val="en-US"/>
        </w:rPr>
        <w:t xml:space="preserve"> Sp. S4 (</w:t>
      </w:r>
      <w:r w:rsidRPr="00CB1057">
        <w:rPr>
          <w:i/>
          <w:sz w:val="24"/>
          <w:szCs w:val="24"/>
          <w:lang w:val="en-US"/>
        </w:rPr>
        <w:t>Ar</w:t>
      </w:r>
      <w:r w:rsidR="00DD0B5D">
        <w:rPr>
          <w:i/>
          <w:sz w:val="24"/>
          <w:szCs w:val="24"/>
          <w:lang w:val="en-US"/>
        </w:rPr>
        <w:t>ura</w:t>
      </w:r>
      <w:r w:rsidRPr="00CB1057">
        <w:rPr>
          <w:i/>
          <w:sz w:val="24"/>
          <w:szCs w:val="24"/>
          <w:lang w:val="en-US"/>
        </w:rPr>
        <w:t xml:space="preserve">9, </w:t>
      </w:r>
      <w:proofErr w:type="spellStart"/>
      <w:r w:rsidRPr="00CB1057">
        <w:rPr>
          <w:sz w:val="24"/>
          <w:szCs w:val="24"/>
          <w:lang w:val="en-US"/>
        </w:rPr>
        <w:t>UniProtKB</w:t>
      </w:r>
      <w:proofErr w:type="spellEnd"/>
      <w:r w:rsidRPr="00CB1057">
        <w:rPr>
          <w:sz w:val="24"/>
          <w:szCs w:val="24"/>
          <w:lang w:val="en-US"/>
        </w:rPr>
        <w:t xml:space="preserve"> </w:t>
      </w:r>
      <w:r w:rsidRPr="00CB1057">
        <w:rPr>
          <w:sz w:val="24"/>
          <w:szCs w:val="24"/>
        </w:rPr>
        <w:t>accession number A0A1Y1XN91</w:t>
      </w:r>
      <w:r w:rsidRPr="00CB1057">
        <w:rPr>
          <w:sz w:val="24"/>
          <w:szCs w:val="24"/>
          <w:lang w:val="en-US"/>
        </w:rPr>
        <w:t xml:space="preserve">), </w:t>
      </w:r>
      <w:r w:rsidR="002E2122">
        <w:rPr>
          <w:sz w:val="24"/>
          <w:szCs w:val="24"/>
          <w:lang w:val="en-US"/>
        </w:rPr>
        <w:br/>
      </w:r>
      <w:r w:rsidRPr="00CB1057">
        <w:rPr>
          <w:i/>
          <w:sz w:val="24"/>
          <w:szCs w:val="24"/>
          <w:lang w:val="en-US"/>
        </w:rPr>
        <w:t xml:space="preserve">D. bruxellensis </w:t>
      </w:r>
      <w:r w:rsidRPr="00CB1057">
        <w:rPr>
          <w:sz w:val="24"/>
          <w:szCs w:val="24"/>
          <w:lang w:val="en-US"/>
        </w:rPr>
        <w:t>CBS72 (</w:t>
      </w:r>
      <w:r w:rsidRPr="00CB1057">
        <w:rPr>
          <w:i/>
          <w:sz w:val="24"/>
          <w:szCs w:val="24"/>
          <w:lang w:val="en-US"/>
        </w:rPr>
        <w:t>DbURA9</w:t>
      </w:r>
      <w:r w:rsidRPr="00CB1057">
        <w:rPr>
          <w:sz w:val="24"/>
          <w:szCs w:val="24"/>
          <w:lang w:val="en-US"/>
        </w:rPr>
        <w:t xml:space="preserve">, </w:t>
      </w:r>
      <w:r w:rsidRPr="00CB1057">
        <w:rPr>
          <w:sz w:val="24"/>
          <w:szCs w:val="24"/>
        </w:rPr>
        <w:t>A2VBP6</w:t>
      </w:r>
      <w:r w:rsidRPr="00CB1057">
        <w:rPr>
          <w:sz w:val="24"/>
          <w:szCs w:val="24"/>
          <w:lang w:val="en-US"/>
        </w:rPr>
        <w:t xml:space="preserve">) and </w:t>
      </w:r>
      <w:r w:rsidRPr="00CB1057">
        <w:rPr>
          <w:i/>
          <w:sz w:val="24"/>
          <w:szCs w:val="24"/>
          <w:lang w:val="en-US"/>
        </w:rPr>
        <w:t xml:space="preserve">Sch. japonicus </w:t>
      </w:r>
      <w:r w:rsidRPr="00CB1057">
        <w:rPr>
          <w:sz w:val="24"/>
          <w:szCs w:val="24"/>
          <w:lang w:val="en-US"/>
        </w:rPr>
        <w:t>yFS275 (</w:t>
      </w:r>
      <w:r w:rsidRPr="00CB1057">
        <w:rPr>
          <w:i/>
          <w:sz w:val="24"/>
          <w:szCs w:val="24"/>
          <w:lang w:val="en-US"/>
        </w:rPr>
        <w:t xml:space="preserve">SjURA9, </w:t>
      </w:r>
      <w:r w:rsidRPr="00CB1057">
        <w:rPr>
          <w:sz w:val="24"/>
          <w:szCs w:val="24"/>
        </w:rPr>
        <w:t>B6JXQ5</w:t>
      </w:r>
      <w:r w:rsidRPr="00CB1057">
        <w:rPr>
          <w:sz w:val="24"/>
          <w:szCs w:val="24"/>
          <w:lang w:val="en-US"/>
        </w:rPr>
        <w:t>) were amplified from pUD650, pUD707 and pUD764 (</w:t>
      </w:r>
      <w:r w:rsidR="006D2215">
        <w:rPr>
          <w:sz w:val="24"/>
          <w:szCs w:val="24"/>
          <w:lang w:val="en-US"/>
        </w:rPr>
        <w:t xml:space="preserve">Additional file 3; </w:t>
      </w:r>
      <w:r w:rsidRPr="006D2215">
        <w:rPr>
          <w:sz w:val="24"/>
          <w:szCs w:val="24"/>
          <w:lang w:val="en-US"/>
        </w:rPr>
        <w:t>Table S6</w:t>
      </w:r>
      <w:r w:rsidRPr="00CB1057">
        <w:rPr>
          <w:sz w:val="24"/>
          <w:szCs w:val="24"/>
          <w:lang w:val="en-US"/>
        </w:rPr>
        <w:t>) using oligonucleotides (</w:t>
      </w:r>
      <w:r w:rsidR="006D2215">
        <w:rPr>
          <w:sz w:val="24"/>
          <w:szCs w:val="24"/>
          <w:lang w:val="en-US"/>
        </w:rPr>
        <w:t xml:space="preserve">Additional file 3; </w:t>
      </w:r>
      <w:r w:rsidRPr="006D2215">
        <w:rPr>
          <w:sz w:val="24"/>
          <w:szCs w:val="24"/>
          <w:lang w:val="en-US"/>
        </w:rPr>
        <w:t>Table S5</w:t>
      </w:r>
      <w:r w:rsidRPr="00CB1057">
        <w:rPr>
          <w:sz w:val="24"/>
          <w:szCs w:val="24"/>
          <w:lang w:val="en-US"/>
        </w:rPr>
        <w:t xml:space="preserve">) 11798/11799, 12367/12368 and 13800/13801, respectively. In addition, </w:t>
      </w:r>
      <w:r w:rsidRPr="00CB1057">
        <w:rPr>
          <w:i/>
          <w:sz w:val="24"/>
          <w:szCs w:val="24"/>
          <w:lang w:val="en-US"/>
        </w:rPr>
        <w:t>URA9</w:t>
      </w:r>
      <w:r w:rsidRPr="00CB1057">
        <w:rPr>
          <w:sz w:val="24"/>
          <w:szCs w:val="24"/>
          <w:lang w:val="en-US"/>
        </w:rPr>
        <w:t xml:space="preserve">-genes from </w:t>
      </w:r>
      <w:r w:rsidRPr="00CB1057">
        <w:rPr>
          <w:i/>
          <w:sz w:val="24"/>
          <w:szCs w:val="24"/>
          <w:lang w:val="en-US"/>
        </w:rPr>
        <w:t xml:space="preserve">K. marxianus </w:t>
      </w:r>
      <w:r w:rsidRPr="00CB1057">
        <w:rPr>
          <w:sz w:val="24"/>
          <w:szCs w:val="24"/>
          <w:lang w:val="en-US"/>
        </w:rPr>
        <w:t xml:space="preserve">CBS6556 and </w:t>
      </w:r>
      <w:r w:rsidR="002E2122">
        <w:rPr>
          <w:sz w:val="24"/>
          <w:szCs w:val="24"/>
          <w:lang w:val="en-US"/>
        </w:rPr>
        <w:br/>
      </w:r>
      <w:r w:rsidRPr="00CB1057">
        <w:rPr>
          <w:i/>
          <w:sz w:val="24"/>
          <w:szCs w:val="24"/>
          <w:lang w:val="en-US"/>
        </w:rPr>
        <w:t xml:space="preserve">O. parapolymorpha </w:t>
      </w:r>
      <w:r w:rsidRPr="00CB1057">
        <w:rPr>
          <w:sz w:val="24"/>
          <w:szCs w:val="24"/>
          <w:lang w:val="en-US"/>
        </w:rPr>
        <w:t xml:space="preserve">CBS11895, and </w:t>
      </w:r>
      <w:r w:rsidRPr="00CB1057">
        <w:rPr>
          <w:i/>
          <w:sz w:val="24"/>
          <w:szCs w:val="24"/>
          <w:lang w:val="en-US"/>
        </w:rPr>
        <w:t xml:space="preserve">URA1 </w:t>
      </w:r>
      <w:r w:rsidRPr="00CB1057">
        <w:rPr>
          <w:sz w:val="24"/>
          <w:szCs w:val="24"/>
          <w:lang w:val="en-US"/>
        </w:rPr>
        <w:t xml:space="preserve">from </w:t>
      </w:r>
      <w:r w:rsidRPr="00CB1057">
        <w:rPr>
          <w:i/>
          <w:sz w:val="24"/>
          <w:szCs w:val="24"/>
          <w:lang w:val="en-US"/>
        </w:rPr>
        <w:t xml:space="preserve">S. cerevisiae </w:t>
      </w:r>
      <w:r w:rsidRPr="00CB1057">
        <w:rPr>
          <w:sz w:val="24"/>
          <w:szCs w:val="24"/>
          <w:lang w:val="en-US"/>
        </w:rPr>
        <w:t xml:space="preserve">CEN.PK113-7D were amplified from genomic DNA using oligonucleotide primers 14708/14709, 14710/14711 and 17697/17698, respectively, resulting in </w:t>
      </w:r>
      <w:r w:rsidRPr="00CB1057">
        <w:rPr>
          <w:i/>
          <w:sz w:val="24"/>
          <w:szCs w:val="24"/>
          <w:lang w:val="en-US"/>
        </w:rPr>
        <w:t>KmURA9</w:t>
      </w:r>
      <w:r w:rsidRPr="00CB1057">
        <w:rPr>
          <w:sz w:val="24"/>
          <w:szCs w:val="24"/>
          <w:lang w:val="en-US"/>
        </w:rPr>
        <w:t xml:space="preserve">, </w:t>
      </w:r>
      <w:r w:rsidRPr="00CB1057">
        <w:rPr>
          <w:i/>
          <w:sz w:val="24"/>
          <w:szCs w:val="24"/>
          <w:lang w:val="en-US"/>
        </w:rPr>
        <w:t>OpURA9</w:t>
      </w:r>
      <w:r w:rsidRPr="00CB1057">
        <w:rPr>
          <w:sz w:val="24"/>
          <w:szCs w:val="24"/>
          <w:lang w:val="en-US"/>
        </w:rPr>
        <w:t xml:space="preserve"> and </w:t>
      </w:r>
      <w:r w:rsidRPr="00CB1057">
        <w:rPr>
          <w:i/>
          <w:sz w:val="24"/>
          <w:szCs w:val="24"/>
          <w:lang w:val="en-US"/>
        </w:rPr>
        <w:t xml:space="preserve">ScURA1, </w:t>
      </w:r>
      <w:r w:rsidRPr="00CB1057">
        <w:rPr>
          <w:sz w:val="24"/>
          <w:szCs w:val="24"/>
          <w:lang w:val="en-US"/>
        </w:rPr>
        <w:t xml:space="preserve">respectively. These primers introduced 20 bp flanks with the pUDE63 plasmid to enable insertion of the coding sequences between the </w:t>
      </w:r>
      <w:r w:rsidRPr="00CB1057">
        <w:rPr>
          <w:i/>
          <w:sz w:val="24"/>
          <w:szCs w:val="24"/>
          <w:lang w:val="en-US"/>
        </w:rPr>
        <w:t>pTDH3</w:t>
      </w:r>
      <w:r w:rsidRPr="00CB1057">
        <w:rPr>
          <w:sz w:val="24"/>
          <w:szCs w:val="24"/>
          <w:lang w:val="en-US"/>
        </w:rPr>
        <w:t xml:space="preserve"> and </w:t>
      </w:r>
      <w:r w:rsidRPr="00CB1057">
        <w:rPr>
          <w:i/>
          <w:sz w:val="24"/>
          <w:szCs w:val="24"/>
          <w:lang w:val="en-US"/>
        </w:rPr>
        <w:t xml:space="preserve">tADH1 </w:t>
      </w:r>
      <w:r w:rsidRPr="00CB1057">
        <w:rPr>
          <w:sz w:val="24"/>
          <w:szCs w:val="24"/>
          <w:lang w:val="en-US"/>
        </w:rPr>
        <w:t xml:space="preserve">sequences by homologous recombination. The </w:t>
      </w:r>
      <w:r w:rsidRPr="00CB1057">
        <w:rPr>
          <w:i/>
          <w:sz w:val="24"/>
          <w:szCs w:val="24"/>
          <w:lang w:val="en-US"/>
        </w:rPr>
        <w:t>pTDH3</w:t>
      </w:r>
      <w:r w:rsidRPr="00CB1057">
        <w:rPr>
          <w:sz w:val="24"/>
          <w:szCs w:val="24"/>
          <w:lang w:val="en-US"/>
        </w:rPr>
        <w:t xml:space="preserve"> and </w:t>
      </w:r>
      <w:r w:rsidRPr="00CB1057">
        <w:rPr>
          <w:i/>
          <w:sz w:val="24"/>
          <w:szCs w:val="24"/>
          <w:lang w:val="en-US"/>
        </w:rPr>
        <w:t>tADH1</w:t>
      </w:r>
      <w:r w:rsidRPr="00CB1057">
        <w:rPr>
          <w:sz w:val="24"/>
          <w:szCs w:val="24"/>
          <w:lang w:val="en-US"/>
        </w:rPr>
        <w:t xml:space="preserve"> containing backbone was amplified from pUDE63 using primers 7823 and 7998. Assembly of this backbone with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 xml:space="preserve">DbURA9, SjURA9, KmURA9, OpURA9 </w:t>
      </w:r>
      <w:r w:rsidRPr="00CB1057">
        <w:rPr>
          <w:sz w:val="24"/>
          <w:szCs w:val="24"/>
          <w:lang w:val="en-US"/>
        </w:rPr>
        <w:t xml:space="preserve">and </w:t>
      </w:r>
      <w:r w:rsidRPr="00CB1057">
        <w:rPr>
          <w:i/>
          <w:sz w:val="24"/>
          <w:szCs w:val="24"/>
          <w:lang w:val="en-US"/>
        </w:rPr>
        <w:t>ScURA1</w:t>
      </w:r>
      <w:r w:rsidRPr="00CB1057">
        <w:rPr>
          <w:sz w:val="24"/>
          <w:szCs w:val="24"/>
          <w:lang w:val="en-US"/>
        </w:rPr>
        <w:t xml:space="preserve"> resulted in pUDE696, pUDE738, pUDE815, pUDE756, pUDE809 and pUDE1069, respectively. Correct assembly was confirmed by diagnostic PCR using one primer binding inside the </w:t>
      </w:r>
      <w:r w:rsidRPr="00CB1057">
        <w:rPr>
          <w:i/>
          <w:sz w:val="24"/>
          <w:szCs w:val="24"/>
          <w:lang w:val="en-US"/>
        </w:rPr>
        <w:t>URA9/URA1</w:t>
      </w:r>
      <w:r w:rsidRPr="00CB1057">
        <w:rPr>
          <w:sz w:val="24"/>
          <w:szCs w:val="24"/>
          <w:lang w:val="en-US"/>
        </w:rPr>
        <w:t xml:space="preserve"> genes (primers 11808, 12842, 13802, 16436, 16449 and 12735 for </w:t>
      </w:r>
      <w:r w:rsidRPr="00CB1057">
        <w:rPr>
          <w:i/>
          <w:sz w:val="24"/>
          <w:szCs w:val="24"/>
          <w:lang w:val="en-US"/>
        </w:rPr>
        <w:t>Ar</w:t>
      </w:r>
      <w:r w:rsidR="00DD0B5D">
        <w:rPr>
          <w:i/>
          <w:sz w:val="24"/>
          <w:szCs w:val="24"/>
          <w:lang w:val="en-US"/>
        </w:rPr>
        <w:t>ura</w:t>
      </w:r>
      <w:r w:rsidRPr="00CB1057">
        <w:rPr>
          <w:i/>
          <w:sz w:val="24"/>
          <w:szCs w:val="24"/>
          <w:lang w:val="en-US"/>
        </w:rPr>
        <w:t xml:space="preserve">9, DbURA9, SjURA9, KmURA9, OpURA9 </w:t>
      </w:r>
      <w:r w:rsidRPr="00CB1057">
        <w:rPr>
          <w:sz w:val="24"/>
          <w:szCs w:val="24"/>
          <w:lang w:val="en-US"/>
        </w:rPr>
        <w:t>and</w:t>
      </w:r>
      <w:r w:rsidRPr="00CB1057">
        <w:rPr>
          <w:i/>
          <w:sz w:val="24"/>
          <w:szCs w:val="24"/>
          <w:lang w:val="en-US"/>
        </w:rPr>
        <w:t xml:space="preserve"> ScURA1</w:t>
      </w:r>
      <w:r w:rsidRPr="00CB1057">
        <w:rPr>
          <w:sz w:val="24"/>
          <w:szCs w:val="24"/>
          <w:lang w:val="en-US"/>
        </w:rPr>
        <w:t>, respectively) and one in the pUDE63 backbone (2897 for pUDE696</w:t>
      </w:r>
      <w:r w:rsidRPr="00CB1057">
        <w:rPr>
          <w:i/>
          <w:sz w:val="24"/>
          <w:szCs w:val="24"/>
          <w:lang w:val="en-US"/>
        </w:rPr>
        <w:t xml:space="preserve">, </w:t>
      </w:r>
      <w:r w:rsidRPr="00CB1057">
        <w:rPr>
          <w:sz w:val="24"/>
          <w:szCs w:val="24"/>
          <w:lang w:val="en-US"/>
        </w:rPr>
        <w:t>pUDE756,</w:t>
      </w:r>
      <w:r w:rsidRPr="00CB1057">
        <w:rPr>
          <w:i/>
          <w:sz w:val="24"/>
          <w:szCs w:val="24"/>
          <w:lang w:val="en-US"/>
        </w:rPr>
        <w:t xml:space="preserve"> </w:t>
      </w:r>
      <w:r w:rsidRPr="00CB1057">
        <w:rPr>
          <w:sz w:val="24"/>
          <w:szCs w:val="24"/>
          <w:lang w:val="en-US"/>
        </w:rPr>
        <w:t>pUDE809 and 2898 for pUDE738, pUDE815, pUDE1069).</w:t>
      </w:r>
    </w:p>
    <w:p w14:paraId="43A4FCC6" w14:textId="26ACFE4F" w:rsidR="00A720C0" w:rsidRPr="00CB1057" w:rsidRDefault="00A720C0" w:rsidP="00A720C0">
      <w:pPr>
        <w:rPr>
          <w:sz w:val="24"/>
          <w:szCs w:val="24"/>
          <w:lang w:val="en-US"/>
        </w:rPr>
      </w:pPr>
      <w:r w:rsidRPr="00CB1057">
        <w:rPr>
          <w:sz w:val="24"/>
          <w:szCs w:val="24"/>
          <w:lang w:val="en-US"/>
        </w:rPr>
        <w:lastRenderedPageBreak/>
        <w:t xml:space="preserve">Plasmids containing gRNA-sequences to target genes for Cas9-mediated genome editing were constructed as follows. For the construction of a plasmid targeting </w:t>
      </w:r>
      <w:r w:rsidRPr="00CB1057">
        <w:rPr>
          <w:i/>
          <w:sz w:val="24"/>
          <w:szCs w:val="24"/>
          <w:lang w:val="en-US"/>
        </w:rPr>
        <w:t>S. cerevisiae</w:t>
      </w:r>
      <w:r w:rsidRPr="00CB1057">
        <w:rPr>
          <w:sz w:val="24"/>
          <w:szCs w:val="24"/>
          <w:lang w:val="en-US"/>
        </w:rPr>
        <w:t xml:space="preserve"> </w:t>
      </w:r>
      <w:r w:rsidRPr="00CB1057">
        <w:rPr>
          <w:i/>
          <w:sz w:val="24"/>
          <w:szCs w:val="24"/>
          <w:lang w:val="en-US"/>
        </w:rPr>
        <w:t xml:space="preserve">URA1 </w:t>
      </w:r>
      <w:r w:rsidRPr="00CB1057">
        <w:rPr>
          <w:sz w:val="24"/>
          <w:szCs w:val="24"/>
          <w:lang w:val="en-US"/>
        </w:rPr>
        <w:t>(pUDR348)</w:t>
      </w:r>
      <w:r w:rsidRPr="00CB1057">
        <w:rPr>
          <w:i/>
          <w:sz w:val="24"/>
          <w:szCs w:val="24"/>
          <w:lang w:val="en-US"/>
        </w:rPr>
        <w:t xml:space="preserve">, </w:t>
      </w:r>
      <w:r w:rsidRPr="00CB1057">
        <w:rPr>
          <w:sz w:val="24"/>
          <w:szCs w:val="24"/>
          <w:lang w:val="en-US"/>
        </w:rPr>
        <w:t xml:space="preserve">a backbone fragment (that contained an origin of replication for </w:t>
      </w:r>
      <w:r w:rsidRPr="00CB1057">
        <w:rPr>
          <w:i/>
          <w:sz w:val="24"/>
          <w:szCs w:val="24"/>
          <w:lang w:val="en-US"/>
        </w:rPr>
        <w:t>E.</w:t>
      </w:r>
      <w:r w:rsidR="00045046">
        <w:rPr>
          <w:i/>
          <w:sz w:val="24"/>
          <w:szCs w:val="24"/>
          <w:lang w:val="en-US"/>
        </w:rPr>
        <w:t xml:space="preserve"> </w:t>
      </w:r>
      <w:r w:rsidRPr="00CB1057">
        <w:rPr>
          <w:i/>
          <w:sz w:val="24"/>
          <w:szCs w:val="24"/>
          <w:lang w:val="en-US"/>
        </w:rPr>
        <w:t>coli</w:t>
      </w:r>
      <w:r w:rsidRPr="00CB1057">
        <w:rPr>
          <w:sz w:val="24"/>
          <w:szCs w:val="24"/>
          <w:lang w:val="en-US"/>
        </w:rPr>
        <w:t xml:space="preserve">, an </w:t>
      </w:r>
      <w:proofErr w:type="spellStart"/>
      <w:r w:rsidRPr="00CB1057">
        <w:rPr>
          <w:sz w:val="24"/>
          <w:szCs w:val="24"/>
          <w:lang w:val="en-US"/>
        </w:rPr>
        <w:t>AmpR</w:t>
      </w:r>
      <w:proofErr w:type="spellEnd"/>
      <w:r w:rsidRPr="00CB1057">
        <w:rPr>
          <w:sz w:val="24"/>
          <w:szCs w:val="24"/>
          <w:lang w:val="en-US"/>
        </w:rPr>
        <w:t xml:space="preserve">-marker and a </w:t>
      </w:r>
      <w:proofErr w:type="spellStart"/>
      <w:r w:rsidRPr="00CB1057">
        <w:rPr>
          <w:i/>
          <w:sz w:val="24"/>
          <w:szCs w:val="24"/>
          <w:lang w:val="en-US"/>
        </w:rPr>
        <w:t>kanMX</w:t>
      </w:r>
      <w:proofErr w:type="spellEnd"/>
      <w:r w:rsidRPr="00CB1057">
        <w:rPr>
          <w:sz w:val="24"/>
          <w:szCs w:val="24"/>
          <w:lang w:val="en-US"/>
        </w:rPr>
        <w:t xml:space="preserve">-marker for use in yeast) and a 2μm-fragment flanked by </w:t>
      </w:r>
      <w:r w:rsidRPr="00CB1057">
        <w:rPr>
          <w:i/>
          <w:sz w:val="24"/>
          <w:szCs w:val="24"/>
          <w:lang w:val="en-US"/>
        </w:rPr>
        <w:t>URA1</w:t>
      </w:r>
      <w:r w:rsidRPr="00CB1057">
        <w:rPr>
          <w:sz w:val="24"/>
          <w:szCs w:val="24"/>
          <w:lang w:val="en-US"/>
        </w:rPr>
        <w:t xml:space="preserve">-targeting sequences were amplified from the pMEL13 plasmid using primer pairs 6005/6006 and 11334/11335, respectively. pUDR348 resulted from </w:t>
      </w:r>
      <w:r w:rsidRPr="00CB1057">
        <w:rPr>
          <w:i/>
          <w:sz w:val="24"/>
          <w:szCs w:val="24"/>
          <w:lang w:val="en-US"/>
        </w:rPr>
        <w:t>in vivo</w:t>
      </w:r>
      <w:r w:rsidRPr="00CB1057">
        <w:rPr>
          <w:sz w:val="24"/>
          <w:szCs w:val="24"/>
          <w:lang w:val="en-US"/>
        </w:rPr>
        <w:t xml:space="preserve"> assembly of these two fragments in yeast and subsequent recovery from </w:t>
      </w:r>
      <w:r w:rsidRPr="00CB1057">
        <w:rPr>
          <w:i/>
          <w:sz w:val="24"/>
          <w:szCs w:val="24"/>
          <w:lang w:val="en-US"/>
        </w:rPr>
        <w:t>S. cerevisiae</w:t>
      </w:r>
      <w:r w:rsidRPr="00CB1057">
        <w:rPr>
          <w:sz w:val="24"/>
          <w:szCs w:val="24"/>
          <w:lang w:val="en-US"/>
        </w:rPr>
        <w:t xml:space="preserve"> IMK824 (see </w:t>
      </w:r>
      <w:r w:rsidR="006D2215">
        <w:rPr>
          <w:sz w:val="24"/>
          <w:szCs w:val="24"/>
          <w:lang w:val="en-US"/>
        </w:rPr>
        <w:t>Yeast strain construction, below</w:t>
      </w:r>
      <w:r w:rsidRPr="00CB1057">
        <w:rPr>
          <w:sz w:val="24"/>
          <w:szCs w:val="24"/>
          <w:lang w:val="en-US"/>
        </w:rPr>
        <w:t xml:space="preserve">) with the </w:t>
      </w:r>
      <w:proofErr w:type="spellStart"/>
      <w:r w:rsidRPr="00CB1057">
        <w:rPr>
          <w:sz w:val="24"/>
          <w:szCs w:val="24"/>
          <w:lang w:val="en-US"/>
        </w:rPr>
        <w:t>Zymoprep</w:t>
      </w:r>
      <w:proofErr w:type="spellEnd"/>
      <w:r w:rsidRPr="00CB1057">
        <w:rPr>
          <w:sz w:val="24"/>
          <w:szCs w:val="24"/>
          <w:lang w:val="en-US"/>
        </w:rPr>
        <w:t xml:space="preserve"> Yeast Plasmid Miniprep II kit (</w:t>
      </w:r>
      <w:proofErr w:type="spellStart"/>
      <w:r w:rsidRPr="00CB1057">
        <w:rPr>
          <w:sz w:val="24"/>
          <w:szCs w:val="24"/>
          <w:lang w:val="en-US"/>
        </w:rPr>
        <w:t>Zymo</w:t>
      </w:r>
      <w:proofErr w:type="spellEnd"/>
      <w:r w:rsidRPr="00CB1057">
        <w:rPr>
          <w:sz w:val="24"/>
          <w:szCs w:val="24"/>
          <w:lang w:val="en-US"/>
        </w:rPr>
        <w:t xml:space="preserve"> Research, Irvine, CA), after which it was transformed to </w:t>
      </w:r>
      <w:r w:rsidRPr="00CB1057">
        <w:rPr>
          <w:i/>
          <w:sz w:val="24"/>
          <w:szCs w:val="24"/>
          <w:lang w:val="en-US"/>
        </w:rPr>
        <w:t>E. coli</w:t>
      </w:r>
      <w:r w:rsidRPr="00CB1057">
        <w:rPr>
          <w:sz w:val="24"/>
          <w:szCs w:val="24"/>
          <w:lang w:val="en-US"/>
        </w:rPr>
        <w:t xml:space="preserve"> for amplification and storage. </w:t>
      </w:r>
      <w:r w:rsidRPr="00CB1057">
        <w:rPr>
          <w:i/>
          <w:sz w:val="24"/>
          <w:szCs w:val="24"/>
          <w:lang w:val="en-US"/>
        </w:rPr>
        <w:t>LEU2-</w:t>
      </w:r>
      <w:r w:rsidRPr="00CB1057">
        <w:rPr>
          <w:sz w:val="24"/>
          <w:szCs w:val="24"/>
          <w:lang w:val="en-US"/>
        </w:rPr>
        <w:t xml:space="preserve"> and </w:t>
      </w:r>
      <w:r w:rsidRPr="00CB1057">
        <w:rPr>
          <w:i/>
          <w:sz w:val="24"/>
          <w:szCs w:val="24"/>
          <w:lang w:val="en-US"/>
        </w:rPr>
        <w:t>URA1-</w:t>
      </w:r>
      <w:r w:rsidRPr="00CB1057">
        <w:rPr>
          <w:sz w:val="24"/>
          <w:szCs w:val="24"/>
          <w:lang w:val="en-US"/>
        </w:rPr>
        <w:t xml:space="preserve">targeting plasmid pUDR721 was constructed by Gibson Assembly of a backbone fragment amplified from pROS13 (containing the </w:t>
      </w:r>
      <w:r w:rsidRPr="00CB1057">
        <w:rPr>
          <w:i/>
          <w:sz w:val="24"/>
          <w:szCs w:val="24"/>
          <w:lang w:val="en-US"/>
        </w:rPr>
        <w:t xml:space="preserve">E. coli </w:t>
      </w:r>
      <w:r w:rsidRPr="00CB1057">
        <w:rPr>
          <w:sz w:val="24"/>
          <w:szCs w:val="24"/>
          <w:lang w:val="en-US"/>
        </w:rPr>
        <w:t xml:space="preserve">origin of replication, </w:t>
      </w:r>
      <w:proofErr w:type="spellStart"/>
      <w:r w:rsidRPr="00CB1057">
        <w:rPr>
          <w:sz w:val="24"/>
          <w:szCs w:val="24"/>
          <w:lang w:val="en-US"/>
        </w:rPr>
        <w:t>AmpR</w:t>
      </w:r>
      <w:proofErr w:type="spellEnd"/>
      <w:r w:rsidRPr="00CB1057">
        <w:rPr>
          <w:sz w:val="24"/>
          <w:szCs w:val="24"/>
          <w:lang w:val="en-US"/>
        </w:rPr>
        <w:t xml:space="preserve">-marker and </w:t>
      </w:r>
      <w:proofErr w:type="spellStart"/>
      <w:r w:rsidRPr="00CB1057">
        <w:rPr>
          <w:i/>
          <w:sz w:val="24"/>
          <w:szCs w:val="24"/>
          <w:lang w:val="en-US"/>
        </w:rPr>
        <w:t>kanMX</w:t>
      </w:r>
      <w:proofErr w:type="spellEnd"/>
      <w:r w:rsidRPr="00CB1057">
        <w:rPr>
          <w:sz w:val="24"/>
          <w:szCs w:val="24"/>
          <w:lang w:val="en-US"/>
        </w:rPr>
        <w:t xml:space="preserve">-marker sequence) using primer 6005 and a 2μm cassette flanked by gRNA-sequences amplified from pROS13 using primer pair 11334/15067. gRNA expression plasmids targeting heterologous genes </w:t>
      </w:r>
      <w:r w:rsidRPr="00CB1057">
        <w:rPr>
          <w:i/>
          <w:sz w:val="24"/>
          <w:szCs w:val="24"/>
          <w:lang w:val="en-US"/>
        </w:rPr>
        <w:t>Ar</w:t>
      </w:r>
      <w:r w:rsidR="00DD0B5D">
        <w:rPr>
          <w:i/>
          <w:sz w:val="24"/>
          <w:szCs w:val="24"/>
          <w:lang w:val="en-US"/>
        </w:rPr>
        <w:t>ura</w:t>
      </w:r>
      <w:r w:rsidRPr="00CB1057">
        <w:rPr>
          <w:i/>
          <w:sz w:val="24"/>
          <w:szCs w:val="24"/>
          <w:lang w:val="en-US"/>
        </w:rPr>
        <w:t xml:space="preserve">9, SjURA9 </w:t>
      </w:r>
      <w:r w:rsidRPr="00CB1057">
        <w:rPr>
          <w:sz w:val="24"/>
          <w:szCs w:val="24"/>
          <w:lang w:val="en-US"/>
        </w:rPr>
        <w:t xml:space="preserve">and </w:t>
      </w:r>
      <w:r w:rsidRPr="00CB1057">
        <w:rPr>
          <w:i/>
          <w:sz w:val="24"/>
          <w:szCs w:val="24"/>
          <w:lang w:val="en-US"/>
        </w:rPr>
        <w:t xml:space="preserve">KmURA9 </w:t>
      </w:r>
      <w:r w:rsidRPr="00CB1057">
        <w:rPr>
          <w:sz w:val="24"/>
          <w:szCs w:val="24"/>
          <w:lang w:val="en-US"/>
        </w:rPr>
        <w:t xml:space="preserve">were assembled from a pROS13 backbone (amplified using primer 6005) and a 2μm fragment with gRNA-sequences amplified with oligonucleotide 13674, 13715 or 15836, respectively, using pROS13 as template. This resulted in plasmids pUDR499, pUDR501 and pUDR602, respectively. pUDR605, which targets the </w:t>
      </w:r>
      <w:proofErr w:type="spellStart"/>
      <w:r w:rsidRPr="00CB1057">
        <w:rPr>
          <w:i/>
          <w:sz w:val="24"/>
          <w:szCs w:val="24"/>
          <w:lang w:val="en-US"/>
        </w:rPr>
        <w:t>kanMX</w:t>
      </w:r>
      <w:proofErr w:type="spellEnd"/>
      <w:r w:rsidRPr="00CB1057">
        <w:rPr>
          <w:sz w:val="24"/>
          <w:szCs w:val="24"/>
          <w:lang w:val="en-US"/>
        </w:rPr>
        <w:t xml:space="preserve">-marker, was constructed by assembly of a pROS12 backbone and a 2μm-fragment with gRNA-sequences that were both amplified from pROS12 using primer 6005 and 12743, respectively. </w:t>
      </w:r>
    </w:p>
    <w:p w14:paraId="2B81FE4A" w14:textId="7E7DAB76" w:rsidR="00A720C0" w:rsidRPr="00CB1057" w:rsidRDefault="00A720C0" w:rsidP="00A720C0">
      <w:pPr>
        <w:rPr>
          <w:sz w:val="24"/>
          <w:szCs w:val="24"/>
          <w:lang w:val="en-US"/>
        </w:rPr>
      </w:pPr>
      <w:r w:rsidRPr="00CB1057">
        <w:rPr>
          <w:sz w:val="24"/>
          <w:szCs w:val="24"/>
          <w:lang w:val="en-US"/>
        </w:rPr>
        <w:t xml:space="preserve">pUDC286, a plasmid </w:t>
      </w:r>
      <w:r w:rsidR="002E2122" w:rsidRPr="00CB1057">
        <w:rPr>
          <w:sz w:val="24"/>
          <w:szCs w:val="24"/>
          <w:lang w:val="en-US"/>
        </w:rPr>
        <w:t>harboring</w:t>
      </w:r>
      <w:r w:rsidRPr="00CB1057">
        <w:rPr>
          <w:sz w:val="24"/>
          <w:szCs w:val="24"/>
          <w:lang w:val="en-US"/>
        </w:rPr>
        <w:t xml:space="preserve"> an expression cassette for mRuby2 fused to a </w:t>
      </w:r>
      <w:r w:rsidRPr="00CB1057">
        <w:rPr>
          <w:i/>
          <w:sz w:val="24"/>
          <w:szCs w:val="24"/>
          <w:lang w:val="en-US"/>
        </w:rPr>
        <w:t>COX4</w:t>
      </w:r>
      <w:r w:rsidRPr="00CB1057">
        <w:rPr>
          <w:i/>
          <w:sz w:val="24"/>
          <w:szCs w:val="24"/>
          <w:lang w:val="en-US"/>
        </w:rPr>
        <w:softHyphen/>
      </w:r>
      <w:r w:rsidRPr="00CB1057">
        <w:rPr>
          <w:sz w:val="24"/>
          <w:szCs w:val="24"/>
          <w:lang w:val="en-US"/>
        </w:rPr>
        <w:t xml:space="preserve">-MTS (mitochondrial targeting sequence), was constructed by Golden Gate Assembly. First, backbone plasmid pUD538 was constructed by assembly of type 1 part </w:t>
      </w:r>
      <w:proofErr w:type="spellStart"/>
      <w:r w:rsidRPr="00CB1057">
        <w:rPr>
          <w:sz w:val="24"/>
          <w:szCs w:val="24"/>
          <w:lang w:val="en-US"/>
        </w:rPr>
        <w:t>ConSL</w:t>
      </w:r>
      <w:proofErr w:type="spellEnd"/>
      <w:r w:rsidRPr="00CB1057">
        <w:rPr>
          <w:sz w:val="24"/>
          <w:szCs w:val="24"/>
          <w:lang w:val="en-US"/>
        </w:rPr>
        <w:t xml:space="preserve"> (pYKT002), 234r part </w:t>
      </w:r>
      <w:r w:rsidRPr="00CB1057">
        <w:rPr>
          <w:i/>
          <w:sz w:val="24"/>
          <w:szCs w:val="24"/>
          <w:lang w:val="en-US"/>
        </w:rPr>
        <w:t xml:space="preserve">E. coli </w:t>
      </w:r>
      <w:r w:rsidRPr="00CB1057">
        <w:rPr>
          <w:sz w:val="24"/>
          <w:szCs w:val="24"/>
          <w:lang w:val="en-US"/>
        </w:rPr>
        <w:t xml:space="preserve"> GFP drop-out (pYKT047), type 5, 6, 7 and 8a parts </w:t>
      </w:r>
      <w:proofErr w:type="spellStart"/>
      <w:r w:rsidRPr="00CB1057">
        <w:rPr>
          <w:sz w:val="24"/>
          <w:szCs w:val="24"/>
          <w:lang w:val="en-US"/>
        </w:rPr>
        <w:t>ConRI</w:t>
      </w:r>
      <w:proofErr w:type="spellEnd"/>
      <w:r w:rsidRPr="00CB1057">
        <w:rPr>
          <w:sz w:val="24"/>
          <w:szCs w:val="24"/>
          <w:lang w:val="en-US"/>
        </w:rPr>
        <w:t xml:space="preserve"> (pYKT067), </w:t>
      </w:r>
      <w:r w:rsidRPr="00CB1057">
        <w:rPr>
          <w:i/>
          <w:sz w:val="24"/>
          <w:szCs w:val="24"/>
          <w:lang w:val="en-US"/>
        </w:rPr>
        <w:lastRenderedPageBreak/>
        <w:t xml:space="preserve">URA3 </w:t>
      </w:r>
      <w:r w:rsidRPr="00CB1057">
        <w:rPr>
          <w:sz w:val="24"/>
          <w:szCs w:val="24"/>
          <w:lang w:val="en-US"/>
        </w:rPr>
        <w:t xml:space="preserve">(pYKT074), CEN6/ARS (pYKT081) and </w:t>
      </w:r>
      <w:proofErr w:type="spellStart"/>
      <w:r w:rsidRPr="00CB1057">
        <w:rPr>
          <w:sz w:val="24"/>
          <w:szCs w:val="24"/>
          <w:lang w:val="en-US"/>
        </w:rPr>
        <w:t>AmpR-ColE</w:t>
      </w:r>
      <w:proofErr w:type="spellEnd"/>
      <w:r w:rsidRPr="00CB1057">
        <w:rPr>
          <w:sz w:val="24"/>
          <w:szCs w:val="24"/>
          <w:lang w:val="en-US"/>
        </w:rPr>
        <w:t xml:space="preserve"> (pYKT089), respectively </w:t>
      </w:r>
      <w:r w:rsidRPr="00CB1057">
        <w:rPr>
          <w:sz w:val="24"/>
          <w:szCs w:val="24"/>
          <w:lang w:val="en-US"/>
        </w:rPr>
        <w:fldChar w:fldCharType="begin" w:fldLock="1"/>
      </w:r>
      <w:r w:rsidR="00DD0B5D">
        <w:rPr>
          <w:sz w:val="24"/>
          <w:szCs w:val="24"/>
          <w:lang w:val="en-US"/>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[2]","plainTextFormattedCitation":"[2]","previouslyFormattedCitation":"[2]"},"properties":{"noteIndex":0},"schema":"https://github.com/citation-style-language/schema/raw/master/csl-citation.json"}</w:instrText>
      </w:r>
      <w:r w:rsidRPr="00CB1057">
        <w:rPr>
          <w:sz w:val="24"/>
          <w:szCs w:val="24"/>
          <w:lang w:val="en-US"/>
        </w:rPr>
        <w:fldChar w:fldCharType="separate"/>
      </w:r>
      <w:r w:rsidR="00614483" w:rsidRPr="00614483">
        <w:rPr>
          <w:noProof/>
          <w:sz w:val="24"/>
          <w:szCs w:val="24"/>
          <w:lang w:val="en-US"/>
        </w:rPr>
        <w:t>[2]</w:t>
      </w:r>
      <w:r w:rsidRPr="00CB1057">
        <w:rPr>
          <w:sz w:val="24"/>
          <w:szCs w:val="24"/>
          <w:lang w:val="en-US"/>
        </w:rPr>
        <w:fldChar w:fldCharType="end"/>
      </w:r>
      <w:r w:rsidRPr="00CB1057">
        <w:rPr>
          <w:sz w:val="24"/>
          <w:szCs w:val="24"/>
          <w:lang w:val="en-US"/>
        </w:rPr>
        <w:t xml:space="preserve">. Then, the </w:t>
      </w:r>
      <w:r w:rsidRPr="00CB1057">
        <w:rPr>
          <w:i/>
          <w:sz w:val="24"/>
          <w:szCs w:val="24"/>
          <w:lang w:val="en-US"/>
        </w:rPr>
        <w:t>COX4-</w:t>
      </w:r>
      <w:r w:rsidRPr="00CB1057">
        <w:rPr>
          <w:sz w:val="24"/>
          <w:szCs w:val="24"/>
          <w:lang w:val="en-US"/>
        </w:rPr>
        <w:t>MTS was made by annealing two single stranded oligonucleotides (16360/16361</w:t>
      </w:r>
      <w:r w:rsidR="00045046">
        <w:rPr>
          <w:sz w:val="24"/>
          <w:szCs w:val="24"/>
          <w:lang w:val="en-US"/>
        </w:rPr>
        <w:t xml:space="preserve">; </w:t>
      </w:r>
      <w:r w:rsidR="006D2215">
        <w:rPr>
          <w:sz w:val="24"/>
          <w:szCs w:val="24"/>
          <w:lang w:val="en-US"/>
        </w:rPr>
        <w:t xml:space="preserve">Additional file 3; </w:t>
      </w:r>
      <w:r w:rsidRPr="006D2215">
        <w:rPr>
          <w:sz w:val="24"/>
          <w:szCs w:val="24"/>
          <w:lang w:val="en-US"/>
        </w:rPr>
        <w:t>Table S5</w:t>
      </w:r>
      <w:r w:rsidRPr="00CB1057">
        <w:rPr>
          <w:sz w:val="24"/>
          <w:szCs w:val="24"/>
          <w:lang w:val="en-US"/>
        </w:rPr>
        <w:t xml:space="preserve">), yielding a type 3a part. The type 2, 3b and 4 parts were derived from plasmids (pYKT009, pYKT046 and pYKT033 respectively) available from the Yeast Toolkit </w:t>
      </w:r>
      <w:r w:rsidRPr="00CB1057">
        <w:rPr>
          <w:sz w:val="24"/>
          <w:szCs w:val="24"/>
          <w:lang w:val="en-US"/>
        </w:rPr>
        <w:fldChar w:fldCharType="begin" w:fldLock="1"/>
      </w:r>
      <w:r w:rsidR="00DD0B5D">
        <w:rPr>
          <w:sz w:val="24"/>
          <w:szCs w:val="24"/>
          <w:lang w:val="en-US"/>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[2]","plainTextFormattedCitation":"[2]","previouslyFormattedCitation":"[2]"},"properties":{"noteIndex":0},"schema":"https://github.com/citation-style-language/schema/raw/master/csl-citation.json"}</w:instrText>
      </w:r>
      <w:r w:rsidRPr="00CB1057">
        <w:rPr>
          <w:sz w:val="24"/>
          <w:szCs w:val="24"/>
          <w:lang w:val="en-US"/>
        </w:rPr>
        <w:fldChar w:fldCharType="separate"/>
      </w:r>
      <w:r w:rsidR="00614483" w:rsidRPr="00614483">
        <w:rPr>
          <w:noProof/>
          <w:sz w:val="24"/>
          <w:szCs w:val="24"/>
          <w:lang w:val="en-US"/>
        </w:rPr>
        <w:t>[2]</w:t>
      </w:r>
      <w:r w:rsidRPr="00CB1057">
        <w:rPr>
          <w:sz w:val="24"/>
          <w:szCs w:val="24"/>
          <w:lang w:val="en-US"/>
        </w:rPr>
        <w:fldChar w:fldCharType="end"/>
      </w:r>
      <w:r w:rsidRPr="00CB1057">
        <w:rPr>
          <w:sz w:val="24"/>
          <w:szCs w:val="24"/>
          <w:lang w:val="en-US"/>
        </w:rPr>
        <w:t xml:space="preserve">. Digestion and Golden Gate assembly as described by </w:t>
      </w:r>
      <w:r w:rsidRPr="00CB1057">
        <w:rPr>
          <w:sz w:val="24"/>
          <w:szCs w:val="24"/>
          <w:lang w:val="en-US"/>
        </w:rPr>
        <w:fldChar w:fldCharType="begin" w:fldLock="1"/>
      </w:r>
      <w:r w:rsidR="00DD0B5D">
        <w:rPr>
          <w:sz w:val="24"/>
          <w:szCs w:val="24"/>
          <w:lang w:val="en-US"/>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assembly","type":"article-journal","volume":"4"},"uris":["http://www.mendeley.com/documents/?uuid=75cdbf6f-76c8-4cd1-a304-0354211342e9"]}],"mendeley":{"formattedCitation":"[2]","manualFormatting":"Lee et al. (2015)","plainTextFormattedCitation":"[2]","previouslyFormattedCitation":"[2]"},"properties":{"noteIndex":0},"schema":"https://github.com/citation-style-language/schema/raw/master/csl-citation.json"}</w:instrText>
      </w:r>
      <w:r w:rsidRPr="00CB1057">
        <w:rPr>
          <w:sz w:val="24"/>
          <w:szCs w:val="24"/>
          <w:lang w:val="en-US"/>
        </w:rPr>
        <w:fldChar w:fldCharType="separate"/>
      </w:r>
      <w:r w:rsidRPr="00CB1057">
        <w:rPr>
          <w:noProof/>
          <w:sz w:val="24"/>
          <w:szCs w:val="24"/>
          <w:lang w:val="en-US"/>
        </w:rPr>
        <w:t>Lee et al. (2015)</w:t>
      </w:r>
      <w:r w:rsidRPr="00CB1057">
        <w:rPr>
          <w:sz w:val="24"/>
          <w:szCs w:val="24"/>
          <w:lang w:val="en-US"/>
        </w:rPr>
        <w:fldChar w:fldCharType="end"/>
      </w:r>
      <w:r w:rsidRPr="00CB1057">
        <w:rPr>
          <w:sz w:val="24"/>
          <w:szCs w:val="24"/>
          <w:lang w:val="en-US"/>
        </w:rPr>
        <w:t xml:space="preserve"> of the backbone of pUD538, the annealed </w:t>
      </w:r>
      <w:r w:rsidRPr="00CB1057">
        <w:rPr>
          <w:i/>
          <w:sz w:val="24"/>
          <w:szCs w:val="24"/>
          <w:lang w:val="en-US"/>
        </w:rPr>
        <w:t>COX4</w:t>
      </w:r>
      <w:r w:rsidRPr="00CB1057">
        <w:rPr>
          <w:sz w:val="24"/>
          <w:szCs w:val="24"/>
          <w:lang w:val="en-US"/>
        </w:rPr>
        <w:t xml:space="preserve">-MTS cassette, </w:t>
      </w:r>
      <w:r w:rsidRPr="00CB1057">
        <w:rPr>
          <w:i/>
          <w:sz w:val="24"/>
          <w:szCs w:val="24"/>
          <w:lang w:val="en-US"/>
        </w:rPr>
        <w:t>pTDH3</w:t>
      </w:r>
      <w:r w:rsidRPr="00CB1057">
        <w:rPr>
          <w:sz w:val="24"/>
          <w:szCs w:val="24"/>
          <w:lang w:val="en-US"/>
        </w:rPr>
        <w:t xml:space="preserve"> from pYKT009, mRuby2 from pYKT046 and </w:t>
      </w:r>
      <w:r w:rsidRPr="00CB1057">
        <w:rPr>
          <w:i/>
          <w:sz w:val="24"/>
          <w:szCs w:val="24"/>
          <w:lang w:val="en-US"/>
        </w:rPr>
        <w:t>tADH1</w:t>
      </w:r>
      <w:r w:rsidRPr="00CB1057">
        <w:rPr>
          <w:sz w:val="24"/>
          <w:szCs w:val="24"/>
          <w:lang w:val="en-US"/>
        </w:rPr>
        <w:t xml:space="preserve"> from pYKT033 resulted in pUDC286. </w:t>
      </w:r>
    </w:p>
    <w:p w14:paraId="350525DD" w14:textId="1997399E" w:rsidR="00A720C0" w:rsidRPr="00CB1057" w:rsidRDefault="00A720C0" w:rsidP="00A720C0">
      <w:pPr>
        <w:rPr>
          <w:sz w:val="24"/>
          <w:szCs w:val="24"/>
        </w:rPr>
      </w:pPr>
      <w:r w:rsidRPr="00CB1057">
        <w:rPr>
          <w:sz w:val="24"/>
          <w:szCs w:val="24"/>
          <w:lang w:val="en-US"/>
        </w:rPr>
        <w:t>eGFP-fused-</w:t>
      </w:r>
      <w:r w:rsidRPr="00CB1057">
        <w:rPr>
          <w:i/>
          <w:sz w:val="24"/>
          <w:szCs w:val="24"/>
          <w:lang w:val="en-US"/>
        </w:rPr>
        <w:t>URA9</w:t>
      </w:r>
      <w:r w:rsidRPr="00CB1057">
        <w:rPr>
          <w:sz w:val="24"/>
          <w:szCs w:val="24"/>
          <w:lang w:val="en-US"/>
        </w:rPr>
        <w:t xml:space="preserve"> expression plasmids with a </w:t>
      </w:r>
      <w:r w:rsidRPr="00CB1057">
        <w:rPr>
          <w:i/>
          <w:sz w:val="24"/>
          <w:szCs w:val="24"/>
          <w:lang w:val="en-US"/>
        </w:rPr>
        <w:t>LEU2</w:t>
      </w:r>
      <w:r w:rsidRPr="00CB1057">
        <w:rPr>
          <w:sz w:val="24"/>
          <w:szCs w:val="24"/>
          <w:lang w:val="en-US"/>
        </w:rPr>
        <w:t xml:space="preserve">-marker were assembled from the </w:t>
      </w:r>
      <w:r w:rsidRPr="00CB1057">
        <w:rPr>
          <w:i/>
          <w:sz w:val="24"/>
          <w:szCs w:val="24"/>
          <w:lang w:val="en-US"/>
        </w:rPr>
        <w:t>LEU2</w:t>
      </w:r>
      <w:r w:rsidRPr="00CB1057">
        <w:rPr>
          <w:i/>
          <w:sz w:val="24"/>
          <w:szCs w:val="24"/>
          <w:lang w:val="en-US"/>
        </w:rPr>
        <w:softHyphen/>
      </w:r>
      <w:r w:rsidRPr="00CB1057">
        <w:rPr>
          <w:sz w:val="24"/>
          <w:szCs w:val="24"/>
          <w:lang w:val="en-US"/>
        </w:rPr>
        <w:t xml:space="preserve">-containing backbone of pROS14, a fragment containing the </w:t>
      </w:r>
      <w:r w:rsidRPr="00CB1057">
        <w:rPr>
          <w:i/>
          <w:sz w:val="24"/>
          <w:szCs w:val="24"/>
          <w:lang w:val="en-US"/>
        </w:rPr>
        <w:t xml:space="preserve">THD3 </w:t>
      </w:r>
      <w:r w:rsidRPr="00CB1057">
        <w:rPr>
          <w:sz w:val="24"/>
          <w:szCs w:val="24"/>
          <w:lang w:val="en-US"/>
        </w:rPr>
        <w:t xml:space="preserve">promoter and a </w:t>
      </w:r>
      <w:r w:rsidRPr="00CB1057">
        <w:rPr>
          <w:i/>
          <w:sz w:val="24"/>
          <w:szCs w:val="24"/>
          <w:lang w:val="en-US"/>
        </w:rPr>
        <w:t xml:space="preserve">URA9 </w:t>
      </w:r>
      <w:r w:rsidRPr="00CB1057">
        <w:rPr>
          <w:sz w:val="24"/>
          <w:szCs w:val="24"/>
          <w:lang w:val="en-US"/>
        </w:rPr>
        <w:t>gene without stop codon, an eGFP-</w:t>
      </w:r>
      <w:r w:rsidRPr="00CB1057">
        <w:rPr>
          <w:i/>
          <w:sz w:val="24"/>
          <w:szCs w:val="24"/>
          <w:lang w:val="en-US"/>
        </w:rPr>
        <w:t>tCYC1</w:t>
      </w:r>
      <w:r w:rsidRPr="00CB1057">
        <w:rPr>
          <w:sz w:val="24"/>
          <w:szCs w:val="24"/>
          <w:lang w:val="en-US"/>
        </w:rPr>
        <w:t xml:space="preserve"> cassette and a 2μm fragment. The backbone and 2μm fragment were both obtained by PCR using pROS14 as template with primer pairs 1720/9395 and 17292/17293, respectively, that introduced a 20 bp overlap with the pROS14 backbone. An eGFP-</w:t>
      </w:r>
      <w:r w:rsidRPr="00CB1057">
        <w:rPr>
          <w:i/>
          <w:sz w:val="24"/>
          <w:szCs w:val="24"/>
          <w:lang w:val="en-US"/>
        </w:rPr>
        <w:t>tCYC1</w:t>
      </w:r>
      <w:r w:rsidRPr="00CB1057">
        <w:rPr>
          <w:sz w:val="24"/>
          <w:szCs w:val="24"/>
          <w:lang w:val="en-US"/>
        </w:rPr>
        <w:t xml:space="preserve"> cassette was amplified from pUDC071 with primer 11634 and 17291, introducing a 20 bp overlap with the 2μm cassette. Primers for construction of </w:t>
      </w:r>
      <w:r w:rsidRPr="00CB1057">
        <w:rPr>
          <w:i/>
          <w:sz w:val="24"/>
          <w:szCs w:val="24"/>
          <w:lang w:val="en-US"/>
        </w:rPr>
        <w:t>pTDH3-URA9</w:t>
      </w:r>
      <w:r w:rsidRPr="00CB1057">
        <w:rPr>
          <w:sz w:val="24"/>
          <w:szCs w:val="24"/>
          <w:lang w:val="en-US"/>
        </w:rPr>
        <w:t xml:space="preserve"> cassettes were designed to introduce a 20 bp overlap with the pROS14 backbone and </w:t>
      </w:r>
      <w:proofErr w:type="spellStart"/>
      <w:r w:rsidRPr="00CB1057">
        <w:rPr>
          <w:sz w:val="24"/>
          <w:szCs w:val="24"/>
          <w:lang w:val="en-US"/>
        </w:rPr>
        <w:t>eGFP</w:t>
      </w:r>
      <w:proofErr w:type="spellEnd"/>
      <w:r w:rsidRPr="00CB1057">
        <w:rPr>
          <w:sz w:val="24"/>
          <w:szCs w:val="24"/>
          <w:lang w:val="en-US"/>
        </w:rPr>
        <w:t xml:space="preserve"> cassette. For construction of the cassettes with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 xml:space="preserve">DbURA9, SjURA9 </w:t>
      </w:r>
      <w:r w:rsidRPr="00CB1057">
        <w:rPr>
          <w:sz w:val="24"/>
          <w:szCs w:val="24"/>
          <w:lang w:val="en-US"/>
        </w:rPr>
        <w:t xml:space="preserve">and </w:t>
      </w:r>
      <w:r w:rsidRPr="00CB1057">
        <w:rPr>
          <w:i/>
          <w:sz w:val="24"/>
          <w:szCs w:val="24"/>
          <w:lang w:val="en-US"/>
        </w:rPr>
        <w:t>OpURA9</w:t>
      </w:r>
      <w:r w:rsidRPr="00CB1057">
        <w:rPr>
          <w:sz w:val="24"/>
          <w:szCs w:val="24"/>
          <w:lang w:val="en-US"/>
        </w:rPr>
        <w:t xml:space="preserve"> respectively, pUDE696, pUDE738, pUDE815 and pUDE809 were used as template for PCR using oligonucleotide 17294 (binding </w:t>
      </w:r>
      <w:r w:rsidRPr="00CB1057">
        <w:rPr>
          <w:i/>
          <w:sz w:val="24"/>
          <w:szCs w:val="24"/>
          <w:lang w:val="en-US"/>
        </w:rPr>
        <w:t>pTDH3</w:t>
      </w:r>
      <w:r w:rsidRPr="00CB1057">
        <w:rPr>
          <w:sz w:val="24"/>
          <w:szCs w:val="24"/>
          <w:lang w:val="en-US"/>
        </w:rPr>
        <w:t xml:space="preserve"> and introducing an overlap with pROS14) and oligonucleotides 17298, 17299, 172300 and 17296, respectively. Subsequent Gibson Assembly of the four fragments yielded plasmids pUDE849, pUDE1008, pUDE1009 and pUDE1011 for </w:t>
      </w:r>
      <w:proofErr w:type="spellStart"/>
      <w:r w:rsidRPr="00CB1057">
        <w:rPr>
          <w:sz w:val="24"/>
          <w:szCs w:val="24"/>
          <w:lang w:val="en-US"/>
        </w:rPr>
        <w:t>eGFP</w:t>
      </w:r>
      <w:proofErr w:type="spellEnd"/>
      <w:r w:rsidRPr="00CB1057">
        <w:rPr>
          <w:sz w:val="24"/>
          <w:szCs w:val="24"/>
          <w:lang w:val="en-US"/>
        </w:rPr>
        <w:t xml:space="preserve"> fused to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DbURA9, SjURA9</w:t>
      </w:r>
      <w:r w:rsidRPr="00CB1057">
        <w:rPr>
          <w:sz w:val="24"/>
          <w:szCs w:val="24"/>
          <w:lang w:val="en-US"/>
        </w:rPr>
        <w:t xml:space="preserve"> and </w:t>
      </w:r>
      <w:r w:rsidRPr="00CB1057">
        <w:rPr>
          <w:i/>
          <w:sz w:val="24"/>
          <w:szCs w:val="24"/>
          <w:lang w:val="en-US"/>
        </w:rPr>
        <w:t>OpURA9</w:t>
      </w:r>
      <w:r w:rsidRPr="00CB1057">
        <w:rPr>
          <w:sz w:val="24"/>
          <w:szCs w:val="24"/>
          <w:lang w:val="en-US"/>
        </w:rPr>
        <w:t xml:space="preserve">, respectively. Correct assembly was verified by diagnostic PCR of from </w:t>
      </w:r>
      <w:r w:rsidRPr="00CB1057">
        <w:rPr>
          <w:i/>
          <w:sz w:val="24"/>
          <w:szCs w:val="24"/>
          <w:lang w:val="en-US"/>
        </w:rPr>
        <w:t xml:space="preserve">tCYC1 </w:t>
      </w:r>
      <w:r w:rsidRPr="00CB1057">
        <w:rPr>
          <w:sz w:val="24"/>
          <w:szCs w:val="24"/>
          <w:lang w:val="en-US"/>
        </w:rPr>
        <w:t xml:space="preserve">to the 2μm fragment (primers 17683/5720), from the 2μm fragment to the backbone (primers 5719/2898), from the backbone to </w:t>
      </w:r>
      <w:r w:rsidRPr="00CB1057">
        <w:rPr>
          <w:i/>
          <w:sz w:val="24"/>
          <w:szCs w:val="24"/>
          <w:lang w:val="en-US"/>
        </w:rPr>
        <w:t>pTDH3</w:t>
      </w:r>
      <w:r w:rsidRPr="00CB1057">
        <w:rPr>
          <w:sz w:val="24"/>
          <w:szCs w:val="24"/>
          <w:lang w:val="en-US"/>
        </w:rPr>
        <w:t xml:space="preserve"> (primers 3452/4369) and from the </w:t>
      </w:r>
      <w:r w:rsidRPr="00CB1057">
        <w:rPr>
          <w:i/>
          <w:sz w:val="24"/>
          <w:szCs w:val="24"/>
          <w:lang w:val="en-US"/>
        </w:rPr>
        <w:t>URA9</w:t>
      </w:r>
      <w:r w:rsidRPr="00CB1057">
        <w:rPr>
          <w:sz w:val="24"/>
          <w:szCs w:val="24"/>
          <w:lang w:val="en-US"/>
        </w:rPr>
        <w:t xml:space="preserve"> gene to the eGFP-</w:t>
      </w:r>
      <w:r w:rsidRPr="00CB1057">
        <w:rPr>
          <w:i/>
          <w:sz w:val="24"/>
          <w:szCs w:val="24"/>
          <w:lang w:val="en-US"/>
        </w:rPr>
        <w:t>tCYC1</w:t>
      </w:r>
      <w:r w:rsidRPr="00CB1057">
        <w:rPr>
          <w:sz w:val="24"/>
          <w:szCs w:val="24"/>
          <w:lang w:val="en-US"/>
        </w:rPr>
        <w:t xml:space="preserve"> sequence (using primer 580 binding </w:t>
      </w:r>
      <w:r w:rsidRPr="00CB1057">
        <w:rPr>
          <w:i/>
          <w:sz w:val="24"/>
          <w:szCs w:val="24"/>
          <w:lang w:val="en-US"/>
        </w:rPr>
        <w:t>tCYC1</w:t>
      </w:r>
      <w:r w:rsidRPr="00CB1057">
        <w:rPr>
          <w:sz w:val="24"/>
          <w:szCs w:val="24"/>
          <w:lang w:val="en-US"/>
        </w:rPr>
        <w:t xml:space="preserve"> and </w:t>
      </w:r>
      <w:r w:rsidRPr="00CB1057">
        <w:rPr>
          <w:sz w:val="24"/>
          <w:szCs w:val="24"/>
          <w:lang w:val="en-US"/>
        </w:rPr>
        <w:lastRenderedPageBreak/>
        <w:t xml:space="preserve">14877, 14876, 16438 or 16449 binding in the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DbURA9</w:t>
      </w:r>
      <w:r w:rsidRPr="00CB1057">
        <w:rPr>
          <w:sz w:val="24"/>
          <w:szCs w:val="24"/>
          <w:lang w:val="en-US"/>
        </w:rPr>
        <w:t xml:space="preserve">, </w:t>
      </w:r>
      <w:r w:rsidRPr="00CB1057">
        <w:rPr>
          <w:i/>
          <w:sz w:val="24"/>
          <w:szCs w:val="24"/>
          <w:lang w:val="en-US"/>
        </w:rPr>
        <w:t>SjURA9</w:t>
      </w:r>
      <w:r w:rsidRPr="00CB1057">
        <w:rPr>
          <w:sz w:val="24"/>
          <w:szCs w:val="24"/>
          <w:lang w:val="en-US"/>
        </w:rPr>
        <w:t xml:space="preserve"> and </w:t>
      </w:r>
      <w:r w:rsidRPr="00CB1057">
        <w:rPr>
          <w:i/>
          <w:sz w:val="24"/>
          <w:szCs w:val="24"/>
          <w:lang w:val="en-US"/>
        </w:rPr>
        <w:t xml:space="preserve">OpURA9 </w:t>
      </w:r>
      <w:r w:rsidRPr="00CB1057">
        <w:rPr>
          <w:sz w:val="24"/>
          <w:szCs w:val="24"/>
          <w:lang w:val="en-US"/>
        </w:rPr>
        <w:t>respectively).</w:t>
      </w:r>
    </w:p>
    <w:p w14:paraId="218A65FB" w14:textId="77777777" w:rsidR="00A720C0" w:rsidRPr="00CB1057" w:rsidRDefault="00A720C0" w:rsidP="00A720C0">
      <w:pPr>
        <w:pStyle w:val="Heading3"/>
        <w:rPr>
          <w:lang w:val="en-US"/>
        </w:rPr>
      </w:pPr>
      <w:r w:rsidRPr="00CB1057">
        <w:rPr>
          <w:lang w:val="en-US"/>
        </w:rPr>
        <w:t>Yeast strain construction</w:t>
      </w:r>
    </w:p>
    <w:p w14:paraId="557707BA" w14:textId="727A9F50" w:rsidR="00A720C0" w:rsidRPr="00CB1057" w:rsidRDefault="00A720C0" w:rsidP="00A720C0">
      <w:pPr>
        <w:rPr>
          <w:sz w:val="24"/>
          <w:szCs w:val="24"/>
          <w:lang w:val="en-US"/>
        </w:rPr>
      </w:pPr>
      <w:r w:rsidRPr="00CB1057">
        <w:rPr>
          <w:i/>
          <w:sz w:val="24"/>
          <w:szCs w:val="24"/>
          <w:lang w:val="en-US"/>
        </w:rPr>
        <w:t xml:space="preserve">URA1 </w:t>
      </w:r>
      <w:r w:rsidRPr="00CB1057">
        <w:rPr>
          <w:sz w:val="24"/>
          <w:szCs w:val="24"/>
          <w:lang w:val="en-US"/>
        </w:rPr>
        <w:t xml:space="preserve">was deleted in the Cas9-expressing </w:t>
      </w:r>
      <w:r w:rsidRPr="00CB1057">
        <w:rPr>
          <w:i/>
          <w:sz w:val="24"/>
          <w:szCs w:val="24"/>
          <w:lang w:val="en-US"/>
        </w:rPr>
        <w:t xml:space="preserve">S. cerevisiae </w:t>
      </w:r>
      <w:r w:rsidRPr="00CB1057">
        <w:rPr>
          <w:sz w:val="24"/>
          <w:szCs w:val="24"/>
          <w:lang w:val="en-US"/>
        </w:rPr>
        <w:t xml:space="preserve">strain IMX585 by co-transformation of the pMEL13 backbone-fragment and 2μm cassette flanked by gRNA-sequences targeting </w:t>
      </w:r>
      <w:r w:rsidRPr="00CB1057">
        <w:rPr>
          <w:i/>
          <w:sz w:val="24"/>
          <w:szCs w:val="24"/>
          <w:lang w:val="en-US"/>
        </w:rPr>
        <w:t>URA1</w:t>
      </w:r>
      <w:r w:rsidRPr="00CB1057">
        <w:rPr>
          <w:sz w:val="24"/>
          <w:szCs w:val="24"/>
          <w:lang w:val="en-US"/>
        </w:rPr>
        <w:t>,</w:t>
      </w:r>
      <w:r w:rsidRPr="00CB1057">
        <w:rPr>
          <w:i/>
          <w:sz w:val="24"/>
          <w:szCs w:val="24"/>
          <w:lang w:val="en-US"/>
        </w:rPr>
        <w:t xml:space="preserve"> </w:t>
      </w:r>
      <w:r w:rsidRPr="00CB1057">
        <w:rPr>
          <w:sz w:val="24"/>
          <w:szCs w:val="24"/>
          <w:lang w:val="en-US"/>
        </w:rPr>
        <w:t xml:space="preserve">that were described for the construction of plasmid pUDR348 in the previous paragraph, together with a double-stranded DNA fragment (annealed oligonucleotides 11336 and 11337), consisting of 60 bp sequences up- and downstream of </w:t>
      </w:r>
      <w:r w:rsidRPr="00CB1057">
        <w:rPr>
          <w:i/>
          <w:sz w:val="24"/>
          <w:szCs w:val="24"/>
          <w:lang w:val="en-US"/>
        </w:rPr>
        <w:t>URA1</w:t>
      </w:r>
      <w:r w:rsidRPr="00CB1057">
        <w:rPr>
          <w:sz w:val="24"/>
          <w:szCs w:val="24"/>
          <w:lang w:val="en-US"/>
        </w:rPr>
        <w:t xml:space="preserve"> as described by </w:t>
      </w:r>
      <w:r w:rsidRPr="00CB1057">
        <w:rPr>
          <w:sz w:val="24"/>
          <w:szCs w:val="24"/>
          <w:lang w:val="en-US"/>
        </w:rPr>
        <w:fldChar w:fldCharType="begin" w:fldLock="1"/>
      </w:r>
      <w:r w:rsidR="00DD0B5D">
        <w:rPr>
          <w:sz w:val="24"/>
          <w:szCs w:val="24"/>
          <w:lang w:val="en-US"/>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[3]","plainTextFormattedCitation":"[3]","previouslyFormattedCitation":"[3]"},"properties":{"noteIndex":0},"schema":"https://github.com/citation-style-language/schema/raw/master/csl-citation.json"}</w:instrText>
      </w:r>
      <w:r w:rsidRPr="00CB1057">
        <w:rPr>
          <w:sz w:val="24"/>
          <w:szCs w:val="24"/>
          <w:lang w:val="en-US"/>
        </w:rPr>
        <w:fldChar w:fldCharType="separate"/>
      </w:r>
      <w:r w:rsidR="00614483" w:rsidRPr="00614483">
        <w:rPr>
          <w:noProof/>
          <w:sz w:val="24"/>
          <w:szCs w:val="24"/>
          <w:lang w:val="en-US"/>
        </w:rPr>
        <w:t>[3]</w:t>
      </w:r>
      <w:r w:rsidRPr="00CB1057">
        <w:rPr>
          <w:sz w:val="24"/>
          <w:szCs w:val="24"/>
          <w:lang w:val="en-US"/>
        </w:rPr>
        <w:fldChar w:fldCharType="end"/>
      </w:r>
      <w:r w:rsidRPr="00CB1057">
        <w:rPr>
          <w:sz w:val="24"/>
          <w:szCs w:val="24"/>
          <w:lang w:val="en-US"/>
        </w:rPr>
        <w:t xml:space="preserve">. This resulted in strain IMK824. To simultaneously delete </w:t>
      </w:r>
      <w:r w:rsidRPr="00CB1057">
        <w:rPr>
          <w:i/>
          <w:sz w:val="24"/>
          <w:szCs w:val="24"/>
          <w:lang w:val="en-US"/>
        </w:rPr>
        <w:t>LEU2</w:t>
      </w:r>
      <w:r w:rsidRPr="00CB1057">
        <w:rPr>
          <w:sz w:val="24"/>
          <w:szCs w:val="24"/>
          <w:lang w:val="en-US"/>
        </w:rPr>
        <w:t xml:space="preserve"> and </w:t>
      </w:r>
      <w:r w:rsidRPr="00CB1057">
        <w:rPr>
          <w:i/>
          <w:sz w:val="24"/>
          <w:szCs w:val="24"/>
          <w:lang w:val="en-US"/>
        </w:rPr>
        <w:t>URA1</w:t>
      </w:r>
      <w:r w:rsidRPr="00CB1057">
        <w:rPr>
          <w:sz w:val="24"/>
          <w:szCs w:val="24"/>
          <w:lang w:val="en-US"/>
        </w:rPr>
        <w:t xml:space="preserve">, the Cas9-expressing strain IMX581 was transformed with the annealed oligonucleotide pair 13811/13812 and pUDR721, yielding strain IMK976. Deletions of </w:t>
      </w:r>
      <w:r w:rsidRPr="00CB1057">
        <w:rPr>
          <w:i/>
          <w:sz w:val="24"/>
          <w:szCs w:val="24"/>
          <w:lang w:val="en-US"/>
        </w:rPr>
        <w:t>URA1</w:t>
      </w:r>
      <w:r w:rsidRPr="00CB1057">
        <w:rPr>
          <w:sz w:val="24"/>
          <w:szCs w:val="24"/>
          <w:lang w:val="en-US"/>
        </w:rPr>
        <w:t xml:space="preserve"> and </w:t>
      </w:r>
      <w:r w:rsidRPr="00CB1057">
        <w:rPr>
          <w:i/>
          <w:sz w:val="24"/>
          <w:szCs w:val="24"/>
          <w:lang w:val="en-US"/>
        </w:rPr>
        <w:t>LEU2</w:t>
      </w:r>
      <w:r w:rsidRPr="00CB1057">
        <w:rPr>
          <w:sz w:val="24"/>
          <w:szCs w:val="24"/>
          <w:lang w:val="en-US"/>
        </w:rPr>
        <w:t xml:space="preserve"> were confirmed by diagnostic PCRs with primer pairs 11338/11353 and 14439/14440, respectively. Expression cassettes for </w:t>
      </w:r>
      <w:r w:rsidRPr="00CB1057">
        <w:rPr>
          <w:i/>
          <w:sz w:val="24"/>
          <w:szCs w:val="24"/>
          <w:lang w:val="en-US"/>
        </w:rPr>
        <w:t>Ar</w:t>
      </w:r>
      <w:r w:rsidR="00DD0B5D">
        <w:rPr>
          <w:i/>
          <w:sz w:val="24"/>
          <w:szCs w:val="24"/>
          <w:lang w:val="en-US"/>
        </w:rPr>
        <w:t>ura</w:t>
      </w:r>
      <w:r w:rsidRPr="00CB1057">
        <w:rPr>
          <w:i/>
          <w:sz w:val="24"/>
          <w:szCs w:val="24"/>
          <w:lang w:val="en-US"/>
        </w:rPr>
        <w:t xml:space="preserve">9, DbURA9, SjURA9, KmURA9 </w:t>
      </w:r>
      <w:r w:rsidRPr="00CB1057">
        <w:rPr>
          <w:sz w:val="24"/>
          <w:szCs w:val="24"/>
          <w:lang w:val="en-US"/>
        </w:rPr>
        <w:t xml:space="preserve">and </w:t>
      </w:r>
      <w:r w:rsidRPr="00CB1057">
        <w:rPr>
          <w:i/>
          <w:sz w:val="24"/>
          <w:szCs w:val="24"/>
          <w:lang w:val="en-US"/>
        </w:rPr>
        <w:t>OpURA9</w:t>
      </w:r>
      <w:r w:rsidRPr="00CB1057">
        <w:rPr>
          <w:sz w:val="24"/>
          <w:szCs w:val="24"/>
          <w:lang w:val="en-US"/>
        </w:rPr>
        <w:t xml:space="preserve"> were amplified from pUDE696, pUDE738, pUDE815, pUDE756 and pUDE809, respectively, using oligonucleotides 11802 and 11803, which introduced 60 bp sequences homologous to those flanking the</w:t>
      </w:r>
      <w:r w:rsidRPr="00CB1057">
        <w:rPr>
          <w:i/>
          <w:sz w:val="24"/>
          <w:szCs w:val="24"/>
          <w:lang w:val="en-US"/>
        </w:rPr>
        <w:t xml:space="preserve"> URA1</w:t>
      </w:r>
      <w:r w:rsidRPr="00CB1057">
        <w:rPr>
          <w:sz w:val="24"/>
          <w:szCs w:val="24"/>
          <w:lang w:val="en-US"/>
        </w:rPr>
        <w:t xml:space="preserve"> locus. Co-transformation of strain IMX585 with these expression cassettes and the </w:t>
      </w:r>
      <w:r w:rsidRPr="00CB1057">
        <w:rPr>
          <w:i/>
          <w:sz w:val="24"/>
          <w:szCs w:val="24"/>
          <w:lang w:val="en-US"/>
        </w:rPr>
        <w:t>URA1</w:t>
      </w:r>
      <w:r w:rsidRPr="00CB1057">
        <w:rPr>
          <w:sz w:val="24"/>
          <w:szCs w:val="24"/>
          <w:lang w:val="en-US"/>
        </w:rPr>
        <w:t xml:space="preserve">-targeting gRNA expression plasmid pUDR348 then yielded </w:t>
      </w:r>
      <w:r w:rsidRPr="00CB1057">
        <w:rPr>
          <w:i/>
          <w:sz w:val="24"/>
          <w:szCs w:val="24"/>
          <w:lang w:val="en-US"/>
        </w:rPr>
        <w:t xml:space="preserve">S. cerevisiae </w:t>
      </w:r>
      <w:r w:rsidRPr="00CB1057">
        <w:rPr>
          <w:sz w:val="24"/>
          <w:szCs w:val="24"/>
          <w:lang w:val="en-US"/>
        </w:rPr>
        <w:t>strains IMI432 (</w:t>
      </w:r>
      <w:r w:rsidRPr="00CB1057">
        <w:rPr>
          <w:i/>
          <w:sz w:val="24"/>
          <w:szCs w:val="24"/>
          <w:lang w:val="en-US"/>
        </w:rPr>
        <w:t>ura1</w:t>
      </w:r>
      <w:proofErr w:type="gramStart"/>
      <w:r w:rsidRPr="00CB1057">
        <w:rPr>
          <w:i/>
          <w:sz w:val="24"/>
          <w:szCs w:val="24"/>
          <w:lang w:val="en-US"/>
        </w:rPr>
        <w:t>Δ::</w:t>
      </w:r>
      <w:proofErr w:type="gramEnd"/>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IMI439 (</w:t>
      </w:r>
      <w:r w:rsidRPr="00CB1057">
        <w:rPr>
          <w:i/>
          <w:sz w:val="24"/>
          <w:szCs w:val="24"/>
          <w:lang w:val="en-US"/>
        </w:rPr>
        <w:t>ura1Δ::DbURA9</w:t>
      </w:r>
      <w:r w:rsidRPr="00CB1057">
        <w:rPr>
          <w:sz w:val="24"/>
          <w:szCs w:val="24"/>
          <w:lang w:val="en-US"/>
        </w:rPr>
        <w:t>), IMI452 (</w:t>
      </w:r>
      <w:r w:rsidRPr="00CB1057">
        <w:rPr>
          <w:i/>
          <w:sz w:val="24"/>
          <w:szCs w:val="24"/>
          <w:lang w:val="en-US"/>
        </w:rPr>
        <w:t>ura1Δ::SjURA9</w:t>
      </w:r>
      <w:r w:rsidRPr="00CB1057">
        <w:rPr>
          <w:sz w:val="24"/>
          <w:szCs w:val="24"/>
          <w:lang w:val="en-US"/>
        </w:rPr>
        <w:t>), IMI446 (</w:t>
      </w:r>
      <w:r w:rsidRPr="00CB1057">
        <w:rPr>
          <w:i/>
          <w:sz w:val="24"/>
          <w:szCs w:val="24"/>
          <w:lang w:val="en-US"/>
        </w:rPr>
        <w:t>ura1Δ::KmURA9</w:t>
      </w:r>
      <w:r w:rsidRPr="00CB1057">
        <w:rPr>
          <w:sz w:val="24"/>
          <w:szCs w:val="24"/>
          <w:lang w:val="en-US"/>
        </w:rPr>
        <w:t>) and IMI447 (</w:t>
      </w:r>
      <w:r w:rsidRPr="00CB1057">
        <w:rPr>
          <w:i/>
          <w:sz w:val="24"/>
          <w:szCs w:val="24"/>
          <w:lang w:val="en-US"/>
        </w:rPr>
        <w:t>ura1Δ::OpURA9</w:t>
      </w:r>
      <w:r w:rsidRPr="00CB1057">
        <w:rPr>
          <w:sz w:val="24"/>
          <w:szCs w:val="24"/>
          <w:lang w:val="en-US"/>
        </w:rPr>
        <w:t xml:space="preserve">). The </w:t>
      </w:r>
      <w:r w:rsidRPr="00CB1057">
        <w:rPr>
          <w:i/>
          <w:sz w:val="24"/>
          <w:szCs w:val="24"/>
          <w:lang w:val="en-US"/>
        </w:rPr>
        <w:t>SjURA9</w:t>
      </w:r>
      <w:r w:rsidRPr="00CB1057">
        <w:rPr>
          <w:sz w:val="24"/>
          <w:szCs w:val="24"/>
          <w:lang w:val="en-US"/>
        </w:rPr>
        <w:t xml:space="preserve"> expression cassette was similarly integrated in the </w:t>
      </w:r>
      <w:r w:rsidRPr="00CB1057">
        <w:rPr>
          <w:i/>
          <w:sz w:val="24"/>
          <w:szCs w:val="24"/>
          <w:lang w:val="en-US"/>
        </w:rPr>
        <w:t xml:space="preserve">URA1 </w:t>
      </w:r>
      <w:r w:rsidRPr="00CB1057">
        <w:rPr>
          <w:sz w:val="24"/>
          <w:szCs w:val="24"/>
          <w:lang w:val="en-US"/>
        </w:rPr>
        <w:t xml:space="preserve">locus of the Cas9-expressing strain </w:t>
      </w:r>
      <w:r w:rsidRPr="00045046">
        <w:rPr>
          <w:sz w:val="24"/>
          <w:szCs w:val="24"/>
          <w:lang w:val="en-US"/>
        </w:rPr>
        <w:t>IMX2600</w:t>
      </w:r>
      <w:r w:rsidR="00045046">
        <w:rPr>
          <w:sz w:val="24"/>
          <w:szCs w:val="24"/>
          <w:lang w:val="en-US"/>
        </w:rPr>
        <w:t xml:space="preserve"> </w:t>
      </w:r>
      <w:r w:rsidR="00045046">
        <w:rPr>
          <w:sz w:val="24"/>
          <w:szCs w:val="24"/>
          <w:lang w:val="en-US"/>
        </w:rPr>
        <w:fldChar w:fldCharType="begin" w:fldLock="1"/>
      </w:r>
      <w:r w:rsidR="00DD0B5D">
        <w:rPr>
          <w:sz w:val="24"/>
          <w:szCs w:val="24"/>
          <w:lang w:val="en-US"/>
        </w:rPr>
        <w:instrText>ADDIN CSL_CITATION {"citationItems":[{"id":"ITEM-1","itemData":{"DOI":"https://doi.org/10.1101/2021.03.17.435848","author":[{"dropping-particle":"","family":"Bouwknegt","given":"Jonna","non-dropping-particle":"","parse-names":false,"suffix":""},{"dropping-particle":"","family":"Wiersma","given":"Sanne J.","non-dropping-particle":"","parse-names":false,"suffix":""},{"dropping-particle":"","family":"Ortiz-Merino","given":"Raúl A.","non-dropping-particle":"","parse-names":false,"suffix":""},{"dropping-particle":"","family":"Doornnebal","given":"Eline S. R.","non-dropping-particle":"","parse-names":false,"suffix":""},{"dropping-particle":"","family":"Buitenhuis","given":"Petrik","non-dropping-particle":"","parse-names":false,"suffix":""},{"dropping-particle":"","family":"Giera","given":"Martin","non-dropping-particle":"","parse-names":false,"suffix":""},{"dropping-particle":"","family":"Muller","given":"Christoph","non-dropping-particle":"","parse-names":false,"suffix":""},{"dropping-particle":"","family":"Pronk","given":"Jack T.","non-dropping-particle":"","parse-names":false,"suffix":""}],"container-title":"BioRXiv [preprint]","id":"ITEM-1","issued":{"date-parts":[["2021"]]},"title":"A squalene-hopene cyclase in &lt;i&gt;Schizosaccharomyces japonicus&lt;/i&gt; represents a eukaryotic adaptation to sterol‐independent anaerobic growth","type":"article-journal"},"uris":["http://www.mendeley.com/documents/?uuid=46629d56-bd5a-4586-9046-2ed1c5d2777f"]}],"mendeley":{"formattedCitation":"[4]","plainTextFormattedCitation":"[4]","previouslyFormattedCitation":"[4]"},"properties":{"noteIndex":0},"schema":"https://github.com/citation-style-language/schema/raw/master/csl-citation.json"}</w:instrText>
      </w:r>
      <w:r w:rsidR="00045046">
        <w:rPr>
          <w:sz w:val="24"/>
          <w:szCs w:val="24"/>
          <w:lang w:val="en-US"/>
        </w:rPr>
        <w:fldChar w:fldCharType="separate"/>
      </w:r>
      <w:r w:rsidR="00614483" w:rsidRPr="00614483">
        <w:rPr>
          <w:noProof/>
          <w:sz w:val="24"/>
          <w:szCs w:val="24"/>
          <w:lang w:val="en-US"/>
        </w:rPr>
        <w:t>[4]</w:t>
      </w:r>
      <w:r w:rsidR="00045046">
        <w:rPr>
          <w:sz w:val="24"/>
          <w:szCs w:val="24"/>
          <w:lang w:val="en-US"/>
        </w:rPr>
        <w:fldChar w:fldCharType="end"/>
      </w:r>
      <w:r w:rsidRPr="00CB1057">
        <w:rPr>
          <w:sz w:val="24"/>
          <w:szCs w:val="24"/>
          <w:lang w:val="en-US"/>
        </w:rPr>
        <w:t>, resulting in strain IMI462. Correct integration was confirmed by diagnostic PCR with primers 11338 and 11353.</w:t>
      </w:r>
    </w:p>
    <w:p w14:paraId="52705797" w14:textId="21B38A11" w:rsidR="00A720C0" w:rsidRPr="00CB1057" w:rsidRDefault="00A720C0" w:rsidP="00A720C0">
      <w:pPr>
        <w:rPr>
          <w:sz w:val="24"/>
          <w:szCs w:val="24"/>
          <w:lang w:val="en-US"/>
        </w:rPr>
      </w:pPr>
      <w:r w:rsidRPr="00CB1057">
        <w:rPr>
          <w:sz w:val="24"/>
          <w:szCs w:val="24"/>
          <w:lang w:val="en-US"/>
        </w:rPr>
        <w:t xml:space="preserve">For expression of multiple copies of heterologous </w:t>
      </w:r>
      <w:r w:rsidRPr="00CB1057">
        <w:rPr>
          <w:i/>
          <w:sz w:val="24"/>
          <w:szCs w:val="24"/>
          <w:lang w:val="en-US"/>
        </w:rPr>
        <w:t xml:space="preserve">URA9 </w:t>
      </w:r>
      <w:r w:rsidRPr="00CB1057">
        <w:rPr>
          <w:sz w:val="24"/>
          <w:szCs w:val="24"/>
          <w:lang w:val="en-US"/>
        </w:rPr>
        <w:t xml:space="preserve">genes in </w:t>
      </w:r>
      <w:r w:rsidRPr="00CB1057">
        <w:rPr>
          <w:i/>
          <w:sz w:val="24"/>
          <w:szCs w:val="24"/>
          <w:lang w:val="en-US"/>
        </w:rPr>
        <w:t>S. cerevisiae</w:t>
      </w:r>
      <w:r w:rsidRPr="00CB1057">
        <w:rPr>
          <w:sz w:val="24"/>
          <w:szCs w:val="24"/>
          <w:lang w:val="en-US"/>
        </w:rPr>
        <w:t xml:space="preserve">, the </w:t>
      </w:r>
      <w:r w:rsidRPr="00CB1057">
        <w:rPr>
          <w:i/>
          <w:sz w:val="24"/>
          <w:szCs w:val="24"/>
          <w:lang w:val="en-US"/>
        </w:rPr>
        <w:t>ura1Δ</w:t>
      </w:r>
      <w:r w:rsidRPr="00CB1057">
        <w:rPr>
          <w:sz w:val="24"/>
          <w:szCs w:val="24"/>
          <w:lang w:val="en-US"/>
        </w:rPr>
        <w:t xml:space="preserve"> strain IMK824 was transformed with multi-copy plasmids (</w:t>
      </w:r>
      <w:r w:rsidR="006D2215">
        <w:rPr>
          <w:sz w:val="24"/>
          <w:szCs w:val="24"/>
          <w:lang w:val="en-US"/>
        </w:rPr>
        <w:t xml:space="preserve">Additional file 3; </w:t>
      </w:r>
      <w:r w:rsidRPr="006D2215">
        <w:rPr>
          <w:sz w:val="24"/>
          <w:szCs w:val="24"/>
          <w:lang w:val="en-US"/>
        </w:rPr>
        <w:t>Table S6</w:t>
      </w:r>
      <w:r w:rsidRPr="00CB1057">
        <w:rPr>
          <w:sz w:val="24"/>
          <w:szCs w:val="24"/>
          <w:lang w:val="en-US"/>
        </w:rPr>
        <w:t xml:space="preserve">) carrying expression cassettes of </w:t>
      </w:r>
      <w:r w:rsidRPr="00CB1057">
        <w:rPr>
          <w:i/>
          <w:sz w:val="24"/>
          <w:szCs w:val="24"/>
          <w:lang w:val="en-US"/>
        </w:rPr>
        <w:t>URA9</w:t>
      </w:r>
      <w:r w:rsidRPr="00CB1057">
        <w:rPr>
          <w:sz w:val="24"/>
          <w:szCs w:val="24"/>
          <w:lang w:val="en-US"/>
        </w:rPr>
        <w:t xml:space="preserve"> between a </w:t>
      </w:r>
      <w:r w:rsidRPr="00CB1057">
        <w:rPr>
          <w:i/>
          <w:sz w:val="24"/>
          <w:szCs w:val="24"/>
          <w:lang w:val="en-US"/>
        </w:rPr>
        <w:t>TDH3</w:t>
      </w:r>
      <w:r w:rsidRPr="00CB1057">
        <w:rPr>
          <w:sz w:val="24"/>
          <w:szCs w:val="24"/>
          <w:lang w:val="en-US"/>
        </w:rPr>
        <w:t xml:space="preserve"> promoter and </w:t>
      </w:r>
      <w:r w:rsidRPr="00CB1057">
        <w:rPr>
          <w:i/>
          <w:sz w:val="24"/>
          <w:szCs w:val="24"/>
          <w:lang w:val="en-US"/>
        </w:rPr>
        <w:t>ADH1</w:t>
      </w:r>
      <w:r w:rsidRPr="00CB1057">
        <w:rPr>
          <w:sz w:val="24"/>
          <w:szCs w:val="24"/>
          <w:lang w:val="en-US"/>
        </w:rPr>
        <w:t xml:space="preserve"> terminator. </w:t>
      </w:r>
      <w:r w:rsidRPr="00CB1057">
        <w:rPr>
          <w:sz w:val="24"/>
          <w:szCs w:val="24"/>
          <w:lang w:val="en-US"/>
        </w:rPr>
        <w:lastRenderedPageBreak/>
        <w:t>Transformation with the 2μm plasmids pUDE696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pUDE738 (</w:t>
      </w:r>
      <w:r w:rsidRPr="00CB1057">
        <w:rPr>
          <w:i/>
          <w:sz w:val="24"/>
          <w:szCs w:val="24"/>
          <w:lang w:val="en-US"/>
        </w:rPr>
        <w:t>DbURA9</w:t>
      </w:r>
      <w:r w:rsidRPr="00CB1057">
        <w:rPr>
          <w:sz w:val="24"/>
          <w:szCs w:val="24"/>
          <w:lang w:val="en-US"/>
        </w:rPr>
        <w:t>), pUDE815 (</w:t>
      </w:r>
      <w:r w:rsidRPr="00CB1057">
        <w:rPr>
          <w:i/>
          <w:sz w:val="24"/>
          <w:szCs w:val="24"/>
          <w:lang w:val="en-US"/>
        </w:rPr>
        <w:t>SjURA9</w:t>
      </w:r>
      <w:r w:rsidRPr="00CB1057">
        <w:rPr>
          <w:sz w:val="24"/>
          <w:szCs w:val="24"/>
          <w:lang w:val="en-US"/>
        </w:rPr>
        <w:t>), pUDE756 (</w:t>
      </w:r>
      <w:r w:rsidRPr="00CB1057">
        <w:rPr>
          <w:i/>
          <w:sz w:val="24"/>
          <w:szCs w:val="24"/>
          <w:lang w:val="en-US"/>
        </w:rPr>
        <w:t>KmURA9</w:t>
      </w:r>
      <w:r w:rsidRPr="00CB1057">
        <w:rPr>
          <w:sz w:val="24"/>
          <w:szCs w:val="24"/>
          <w:lang w:val="en-US"/>
        </w:rPr>
        <w:t>) and pUDE809 (</w:t>
      </w:r>
      <w:r w:rsidRPr="00CB1057">
        <w:rPr>
          <w:i/>
          <w:sz w:val="24"/>
          <w:szCs w:val="24"/>
          <w:lang w:val="en-US"/>
        </w:rPr>
        <w:t>OpURA9</w:t>
      </w:r>
      <w:r w:rsidRPr="00CB1057">
        <w:rPr>
          <w:sz w:val="24"/>
          <w:szCs w:val="24"/>
          <w:lang w:val="en-US"/>
        </w:rPr>
        <w:t>) yielded strains IME569, IME570, IME571, IME572 and IME573, respectively. Similarly, CEN.PK113-5D was transformed with pUDE1069 (</w:t>
      </w:r>
      <w:r w:rsidRPr="00CB1057">
        <w:rPr>
          <w:i/>
          <w:sz w:val="24"/>
          <w:szCs w:val="24"/>
          <w:lang w:val="en-US"/>
        </w:rPr>
        <w:t>ScURA1</w:t>
      </w:r>
      <w:r w:rsidRPr="00CB1057">
        <w:rPr>
          <w:sz w:val="24"/>
          <w:szCs w:val="24"/>
          <w:lang w:val="en-US"/>
        </w:rPr>
        <w:t xml:space="preserve">) resulting in IME603. After plating on SMUD without uracil, plasmid identity was verified by diagnostic PCRs with oligonucleotide 2989, which binds in the plasmid backbone, and either oligonucleotide 15597, 14875, 16454, 16443, 16451 or 12735, which bind within </w:t>
      </w:r>
      <w:r w:rsidRPr="00CB1057">
        <w:rPr>
          <w:i/>
          <w:sz w:val="24"/>
          <w:szCs w:val="24"/>
          <w:lang w:val="en-US"/>
        </w:rPr>
        <w:t>Ar</w:t>
      </w:r>
      <w:r w:rsidR="00DD0B5D">
        <w:rPr>
          <w:i/>
          <w:sz w:val="24"/>
          <w:szCs w:val="24"/>
          <w:lang w:val="en-US"/>
        </w:rPr>
        <w:t>ura</w:t>
      </w:r>
      <w:r w:rsidRPr="00CB1057">
        <w:rPr>
          <w:i/>
          <w:sz w:val="24"/>
          <w:szCs w:val="24"/>
          <w:lang w:val="en-US"/>
        </w:rPr>
        <w:t>9, DbURA9, SjURA9, KmURA9,</w:t>
      </w:r>
      <w:r w:rsidRPr="00CB1057">
        <w:rPr>
          <w:sz w:val="24"/>
          <w:szCs w:val="24"/>
          <w:lang w:val="en-US"/>
        </w:rPr>
        <w:t xml:space="preserve"> </w:t>
      </w:r>
      <w:r w:rsidRPr="00CB1057">
        <w:rPr>
          <w:i/>
          <w:sz w:val="24"/>
          <w:szCs w:val="24"/>
          <w:lang w:val="en-US"/>
        </w:rPr>
        <w:t>OpURA9</w:t>
      </w:r>
      <w:r w:rsidRPr="00CB1057">
        <w:rPr>
          <w:sz w:val="24"/>
          <w:szCs w:val="24"/>
          <w:lang w:val="en-US"/>
        </w:rPr>
        <w:t xml:space="preserve"> or </w:t>
      </w:r>
      <w:r w:rsidRPr="00CB1057">
        <w:rPr>
          <w:i/>
          <w:sz w:val="24"/>
          <w:szCs w:val="24"/>
          <w:lang w:val="en-US"/>
        </w:rPr>
        <w:t>ScURA1</w:t>
      </w:r>
      <w:r w:rsidRPr="00CB1057">
        <w:rPr>
          <w:sz w:val="24"/>
          <w:szCs w:val="24"/>
          <w:lang w:val="en-US"/>
        </w:rPr>
        <w:t>,</w:t>
      </w:r>
      <w:r w:rsidRPr="00CB1057">
        <w:rPr>
          <w:i/>
          <w:sz w:val="24"/>
          <w:szCs w:val="24"/>
          <w:lang w:val="en-US"/>
        </w:rPr>
        <w:t xml:space="preserve"> </w:t>
      </w:r>
      <w:r w:rsidRPr="00CB1057">
        <w:rPr>
          <w:sz w:val="24"/>
          <w:szCs w:val="24"/>
          <w:lang w:val="en-US"/>
        </w:rPr>
        <w:t xml:space="preserve">respectively. </w:t>
      </w:r>
    </w:p>
    <w:p w14:paraId="3ADD20B6" w14:textId="2CE2E9D5" w:rsidR="00A720C0" w:rsidRPr="00CB1057" w:rsidRDefault="00A720C0" w:rsidP="00A720C0">
      <w:pPr>
        <w:rPr>
          <w:sz w:val="24"/>
          <w:szCs w:val="24"/>
          <w:lang w:val="en-US"/>
        </w:rPr>
      </w:pPr>
      <w:r w:rsidRPr="00CB1057">
        <w:rPr>
          <w:sz w:val="24"/>
          <w:szCs w:val="24"/>
          <w:lang w:val="en-US"/>
        </w:rPr>
        <w:t>Strains IME600, IME601, IME602 and IME604 were constructed from IMK976 (</w:t>
      </w:r>
      <w:r w:rsidRPr="00CB1057">
        <w:rPr>
          <w:i/>
          <w:sz w:val="24"/>
          <w:szCs w:val="24"/>
          <w:lang w:val="en-US"/>
        </w:rPr>
        <w:t>leu2Δ ura1Δ</w:t>
      </w:r>
      <w:r w:rsidRPr="00CB1057">
        <w:rPr>
          <w:sz w:val="24"/>
          <w:szCs w:val="24"/>
          <w:lang w:val="en-US"/>
        </w:rPr>
        <w:t>) by co-transformation of pUDC286 (</w:t>
      </w:r>
      <w:r w:rsidRPr="00CB1057">
        <w:rPr>
          <w:i/>
          <w:sz w:val="24"/>
          <w:szCs w:val="24"/>
          <w:lang w:val="en-US"/>
        </w:rPr>
        <w:t>COX4-MTS-mRuby2</w:t>
      </w:r>
      <w:r w:rsidRPr="00CB1057">
        <w:rPr>
          <w:sz w:val="24"/>
          <w:szCs w:val="24"/>
          <w:lang w:val="en-US"/>
        </w:rPr>
        <w:t xml:space="preserve">) and a plasmid expressing a </w:t>
      </w:r>
      <w:r w:rsidRPr="00CB1057">
        <w:rPr>
          <w:i/>
          <w:sz w:val="24"/>
          <w:szCs w:val="24"/>
          <w:lang w:val="en-US"/>
        </w:rPr>
        <w:t>URA9</w:t>
      </w:r>
      <w:r w:rsidRPr="00CB1057">
        <w:rPr>
          <w:sz w:val="24"/>
          <w:szCs w:val="24"/>
          <w:lang w:val="en-US"/>
        </w:rPr>
        <w:t xml:space="preserve"> gene fused to </w:t>
      </w:r>
      <w:proofErr w:type="spellStart"/>
      <w:r w:rsidRPr="00CB1057">
        <w:rPr>
          <w:sz w:val="24"/>
          <w:szCs w:val="24"/>
          <w:lang w:val="en-US"/>
        </w:rPr>
        <w:t>eGFP</w:t>
      </w:r>
      <w:proofErr w:type="spellEnd"/>
      <w:r w:rsidRPr="00CB1057">
        <w:rPr>
          <w:sz w:val="24"/>
          <w:szCs w:val="24"/>
          <w:lang w:val="en-US"/>
        </w:rPr>
        <w:t>. Transformation with pUDE849 (</w:t>
      </w:r>
      <w:r w:rsidRPr="00CB1057">
        <w:rPr>
          <w:i/>
          <w:sz w:val="24"/>
          <w:szCs w:val="24"/>
          <w:lang w:val="en-US"/>
        </w:rPr>
        <w:t>Ar</w:t>
      </w:r>
      <w:r w:rsidR="00DD0B5D">
        <w:rPr>
          <w:i/>
          <w:sz w:val="24"/>
          <w:szCs w:val="24"/>
          <w:lang w:val="en-US"/>
        </w:rPr>
        <w:t>ura</w:t>
      </w:r>
      <w:r w:rsidRPr="00CB1057">
        <w:rPr>
          <w:i/>
          <w:sz w:val="24"/>
          <w:szCs w:val="24"/>
          <w:lang w:val="en-US"/>
        </w:rPr>
        <w:t>9-eGFP</w:t>
      </w:r>
      <w:r w:rsidRPr="00CB1057">
        <w:rPr>
          <w:sz w:val="24"/>
          <w:szCs w:val="24"/>
          <w:lang w:val="en-US"/>
        </w:rPr>
        <w:t>), pUDE1008 (</w:t>
      </w:r>
      <w:r w:rsidRPr="00CB1057">
        <w:rPr>
          <w:i/>
          <w:sz w:val="24"/>
          <w:szCs w:val="24"/>
          <w:lang w:val="en-US"/>
        </w:rPr>
        <w:t>SjURA9-eGFP</w:t>
      </w:r>
      <w:r w:rsidRPr="00CB1057">
        <w:rPr>
          <w:sz w:val="24"/>
          <w:szCs w:val="24"/>
          <w:lang w:val="en-US"/>
        </w:rPr>
        <w:t>), pUDE1009 (</w:t>
      </w:r>
      <w:r w:rsidRPr="00CB1057">
        <w:rPr>
          <w:i/>
          <w:sz w:val="24"/>
          <w:szCs w:val="24"/>
          <w:lang w:val="en-US"/>
        </w:rPr>
        <w:t>DbURA9-eGFP</w:t>
      </w:r>
      <w:r w:rsidRPr="00CB1057">
        <w:rPr>
          <w:sz w:val="24"/>
          <w:szCs w:val="24"/>
          <w:lang w:val="en-US"/>
        </w:rPr>
        <w:t>) and pUDE1011 (</w:t>
      </w:r>
      <w:r w:rsidRPr="00CB1057">
        <w:rPr>
          <w:i/>
          <w:sz w:val="24"/>
          <w:szCs w:val="24"/>
          <w:lang w:val="en-US"/>
        </w:rPr>
        <w:t>OpURA9-eGFP</w:t>
      </w:r>
      <w:r w:rsidRPr="00CB1057">
        <w:rPr>
          <w:sz w:val="24"/>
          <w:szCs w:val="24"/>
          <w:lang w:val="en-US"/>
        </w:rPr>
        <w:t xml:space="preserve">) and selection on SMUD without uracil and leucine yielded strains IME600, IME601, IME602 and IME604, respectively. Presence of pUDC286 was verified with primers 14345/1552. Presence of plasmids pUDE849, pUDE1008, pUDE1009 and pUDE1011 was confirmed by PCRs with primer 15651 combined with primer 15598, 14480, 16460 or 15645, respectively. </w:t>
      </w:r>
    </w:p>
    <w:p w14:paraId="503CAC53" w14:textId="5B037702" w:rsidR="00A720C0" w:rsidRPr="00CB1057" w:rsidRDefault="00A720C0" w:rsidP="00A720C0">
      <w:pPr>
        <w:rPr>
          <w:sz w:val="24"/>
          <w:szCs w:val="24"/>
          <w:lang w:val="en-US"/>
        </w:rPr>
      </w:pPr>
      <w:r w:rsidRPr="00CB1057">
        <w:rPr>
          <w:sz w:val="24"/>
          <w:szCs w:val="24"/>
          <w:lang w:val="en-US"/>
        </w:rPr>
        <w:t xml:space="preserve">To introduce single-nucleotide mutations in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SjURA9</w:t>
      </w:r>
      <w:r w:rsidRPr="00CB1057">
        <w:rPr>
          <w:sz w:val="24"/>
          <w:szCs w:val="24"/>
          <w:lang w:val="en-US"/>
        </w:rPr>
        <w:t xml:space="preserve"> and </w:t>
      </w:r>
      <w:r w:rsidRPr="00CB1057">
        <w:rPr>
          <w:i/>
          <w:sz w:val="24"/>
          <w:szCs w:val="24"/>
          <w:lang w:val="en-US"/>
        </w:rPr>
        <w:t>KmURA9</w:t>
      </w:r>
      <w:r w:rsidRPr="00CB1057">
        <w:rPr>
          <w:sz w:val="24"/>
          <w:szCs w:val="24"/>
          <w:lang w:val="en-US"/>
        </w:rPr>
        <w:t xml:space="preserve">, the codon of interest (encoding either a serine or a cysteine) was replaced by a </w:t>
      </w:r>
      <w:proofErr w:type="spellStart"/>
      <w:r w:rsidRPr="00CB1057">
        <w:rPr>
          <w:i/>
          <w:sz w:val="24"/>
          <w:szCs w:val="24"/>
          <w:lang w:val="en-US"/>
        </w:rPr>
        <w:t>kanM</w:t>
      </w:r>
      <w:r w:rsidRPr="00CB1057">
        <w:rPr>
          <w:sz w:val="24"/>
          <w:szCs w:val="24"/>
          <w:lang w:val="en-US"/>
        </w:rPr>
        <w:t>X</w:t>
      </w:r>
      <w:proofErr w:type="spellEnd"/>
      <w:r w:rsidRPr="00CB1057">
        <w:rPr>
          <w:sz w:val="24"/>
          <w:szCs w:val="24"/>
          <w:lang w:val="en-US"/>
        </w:rPr>
        <w:t xml:space="preserve"> marker in a first round of transformation, after which, in the resulting strain, the marker was again replaced by a fragment harboring the mutated codon in a second step (</w:t>
      </w:r>
      <w:r w:rsidR="006D2215">
        <w:rPr>
          <w:sz w:val="24"/>
          <w:szCs w:val="24"/>
          <w:lang w:val="en-US"/>
        </w:rPr>
        <w:t xml:space="preserve">Additional file 3; </w:t>
      </w:r>
      <w:r w:rsidRPr="006D2215">
        <w:rPr>
          <w:sz w:val="24"/>
          <w:szCs w:val="24"/>
          <w:lang w:val="en-US"/>
        </w:rPr>
        <w:t>Figure S4</w:t>
      </w:r>
      <w:r w:rsidR="006D2215">
        <w:rPr>
          <w:sz w:val="24"/>
          <w:szCs w:val="24"/>
          <w:lang w:val="en-US"/>
        </w:rPr>
        <w:t xml:space="preserve"> </w:t>
      </w:r>
      <w:r w:rsidRPr="00CB1057">
        <w:rPr>
          <w:sz w:val="24"/>
          <w:szCs w:val="24"/>
          <w:lang w:val="en-US"/>
        </w:rPr>
        <w:fldChar w:fldCharType="begin" w:fldLock="1"/>
      </w:r>
      <w:r w:rsidR="00DD0B5D">
        <w:rPr>
          <w:sz w:val="24"/>
          <w:szCs w:val="24"/>
          <w:lang w:val="en-US"/>
        </w:rPr>
        <w:instrText>ADDIN CSL_CITATION {"citationItems":[{"id":"ITEM-1","itemData":{"DOI":"10.1016/j.jbiotec.2013.12.016","ISSN":"18734863","PMID":"24486029","abstract":"The flavour and fragrance compound β-ionone, which naturally occurs in raspberry and many other fruits and flowers, is currently produced by synthetic chemistry. This study describes a synthetic biology approach for β-ionone production from glucose by Saccharomyces cerevisiae that is partially based on polycistronic expression. Experiments with model proteins showed that the T2A sequence of the Thosea asigna virus mediated efficient production of individual proteins from a single transcript in S. cerevisiae. Subsequently, three β-carotene biosynthesis genes from the carotenoid-producing ascomycete Xanthophyllomyces dendrorhous (crtI, crtE and crtYB) were expressed in S. cerevisiae from a single polycistronic construct. In this construct, the individual crt proteins were separated by T2A sequences. Production of the individual proteins from the polycistronic construct was confirmed by Western blot analysis and by measuring the production of β-carotene. To enable β-ionone production, a carotenoid-cleavage dioxygenase from raspberry (RiCCD1) was co-expressed in the β-carotene producing strain. In glucose-grown cultures with a second phase of dodecane, β-ionone and geranylacetone accumulated in the organic phase. Thus, by introducing a polycistronic construct encoding a fungal carotenoid pathway and an expression cassette encoding a plant dioxygenase, a novel microbial production system has been established for a fruit flavour compound.","author":[{"dropping-particle":"","family":"Beekwilder","given":"Jules","non-dropping-particle":"","parse-names":false,"suffix":""},{"dropping-particle":"","family":"Rossum","given":"Harmen M.","non-dropping-particle":"van","parse-names":false,"suffix":""},{"dropping-particle":"","family":"Koopman","given":"Frank","non-dropping-particle":"","parse-names":false,"suffix":""},{"dropping-particle":"","family":"Sonntag","given":"Frank","non-dropping-particle":"","parse-names":false,"suffix":""},{"dropping-particle":"","family":"Buchhaupt","given":"Markus","non-dropping-particle":"","parse-names":false,"suffix":""},{"dropping-particle":"","family":"Schrader","given":"Jens","non-dropping-particle":"","parse-names":false,"suffix":""},{"dropping-particle":"","family":"Hall","given":"Robert D.","non-dropping-particle":"","parse-names":false,"suffix":""},{"dropping-particle":"","family":"Bosch","given":"Dirk","non-dropping-particle":"","parse-names":false,"suffix":""},{"dropping-particle":"","family":"Pronk","given":"Jack T.","non-dropping-particle":"","parse-names":false,"suffix":""},{"dropping-particle":"","family":"Maris","given":"Antonius J.A.","non-dropping-particle":"van","parse-names":false,"suffix":""},{"dropping-particle":"","family":"Daran","given":"Jean Marc","non-dropping-particle":"","parse-names":false,"suffix":""}],"container-title":"Journal of Biotechnology","id":"ITEM-1","issued":{"date-parts":[["2014"]]},"page":"383-392","publisher":"Elsevier B.V.","title":"Polycistronic expression of a β-carotene biosynthetic pathway in &lt;i&gt;Saccharomyces cerevisiae&lt;/i&gt; coupled to β-ionone production","type":"article-journal","volume":"192"},"uris":["http://www.mendeley.com/documents/?uuid=5faf45da-30b8-426e-9dec-e96e8e92af22"]}],"mendeley":{"formattedCitation":"[5]","plainTextFormattedCitation":"[5]","previouslyFormattedCitation":"[5]"},"properties":{"noteIndex":0},"schema":"https://github.com/citation-style-language/schema/raw/master/csl-citation.json"}</w:instrText>
      </w:r>
      <w:r w:rsidRPr="00CB1057">
        <w:rPr>
          <w:sz w:val="24"/>
          <w:szCs w:val="24"/>
          <w:lang w:val="en-US"/>
        </w:rPr>
        <w:fldChar w:fldCharType="separate"/>
      </w:r>
      <w:r w:rsidR="00614483" w:rsidRPr="00614483">
        <w:rPr>
          <w:noProof/>
          <w:sz w:val="24"/>
          <w:szCs w:val="24"/>
          <w:lang w:val="en-US"/>
        </w:rPr>
        <w:t>[5]</w:t>
      </w:r>
      <w:r w:rsidRPr="00CB1057">
        <w:rPr>
          <w:sz w:val="24"/>
          <w:szCs w:val="24"/>
          <w:lang w:val="en-US"/>
        </w:rPr>
        <w:fldChar w:fldCharType="end"/>
      </w:r>
      <w:r w:rsidRPr="00CB1057">
        <w:rPr>
          <w:sz w:val="24"/>
          <w:szCs w:val="24"/>
          <w:lang w:val="en-US"/>
        </w:rPr>
        <w:t xml:space="preserve">. The </w:t>
      </w:r>
      <w:proofErr w:type="spellStart"/>
      <w:r w:rsidRPr="00CB1057">
        <w:rPr>
          <w:i/>
          <w:sz w:val="24"/>
          <w:szCs w:val="24"/>
          <w:lang w:val="en-US"/>
        </w:rPr>
        <w:t>kanMX</w:t>
      </w:r>
      <w:proofErr w:type="spellEnd"/>
      <w:r w:rsidRPr="00CB1057">
        <w:rPr>
          <w:sz w:val="24"/>
          <w:szCs w:val="24"/>
          <w:lang w:val="en-US"/>
        </w:rPr>
        <w:t xml:space="preserve"> marker cassettes flanked by </w:t>
      </w:r>
      <w:r w:rsidRPr="00CB1057">
        <w:rPr>
          <w:i/>
          <w:sz w:val="24"/>
          <w:szCs w:val="24"/>
          <w:lang w:val="en-US"/>
        </w:rPr>
        <w:t>Ar</w:t>
      </w:r>
      <w:r w:rsidR="00DD0B5D">
        <w:rPr>
          <w:i/>
          <w:sz w:val="24"/>
          <w:szCs w:val="24"/>
          <w:lang w:val="en-US"/>
        </w:rPr>
        <w:t>ura</w:t>
      </w:r>
      <w:r w:rsidRPr="00CB1057">
        <w:rPr>
          <w:i/>
          <w:sz w:val="24"/>
          <w:szCs w:val="24"/>
          <w:lang w:val="en-US"/>
        </w:rPr>
        <w:t>9, SjURA9</w:t>
      </w:r>
      <w:r w:rsidRPr="00CB1057">
        <w:rPr>
          <w:sz w:val="24"/>
          <w:szCs w:val="24"/>
          <w:lang w:val="en-US"/>
        </w:rPr>
        <w:t xml:space="preserve"> and </w:t>
      </w:r>
      <w:r w:rsidRPr="00CB1057">
        <w:rPr>
          <w:i/>
          <w:sz w:val="24"/>
          <w:szCs w:val="24"/>
          <w:lang w:val="en-US"/>
        </w:rPr>
        <w:t>KmURA9</w:t>
      </w:r>
      <w:r w:rsidRPr="00CB1057">
        <w:rPr>
          <w:sz w:val="24"/>
          <w:szCs w:val="24"/>
          <w:lang w:val="en-US"/>
        </w:rPr>
        <w:t xml:space="preserve"> sequences were constructed by PCR, using pROS13 as template and oligonucleotide pairs 15851/15852, 15847/15848 and 15837/15838, respectively. Strains IMI432, IMI452 and IMI446 were then transformed with pUDR499, pUDR501 or pUDR602, targeting </w:t>
      </w:r>
      <w:r w:rsidRPr="00CB1057">
        <w:rPr>
          <w:i/>
          <w:sz w:val="24"/>
          <w:szCs w:val="24"/>
          <w:lang w:val="en-US"/>
        </w:rPr>
        <w:lastRenderedPageBreak/>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 xml:space="preserve">SjURA9 </w:t>
      </w:r>
      <w:r w:rsidRPr="00CB1057">
        <w:rPr>
          <w:sz w:val="24"/>
          <w:szCs w:val="24"/>
          <w:lang w:val="en-US"/>
        </w:rPr>
        <w:t xml:space="preserve">or </w:t>
      </w:r>
      <w:r w:rsidRPr="00CB1057">
        <w:rPr>
          <w:i/>
          <w:sz w:val="24"/>
          <w:szCs w:val="24"/>
          <w:lang w:val="en-US"/>
        </w:rPr>
        <w:t>KmURA9</w:t>
      </w:r>
      <w:r w:rsidRPr="00CB1057">
        <w:rPr>
          <w:sz w:val="24"/>
          <w:szCs w:val="24"/>
          <w:lang w:val="en-US"/>
        </w:rPr>
        <w:t xml:space="preserve"> and the corresponding </w:t>
      </w:r>
      <w:proofErr w:type="spellStart"/>
      <w:r w:rsidRPr="00CB1057">
        <w:rPr>
          <w:i/>
          <w:sz w:val="24"/>
          <w:szCs w:val="24"/>
          <w:lang w:val="en-US"/>
        </w:rPr>
        <w:t>kanMX</w:t>
      </w:r>
      <w:proofErr w:type="spellEnd"/>
      <w:r w:rsidRPr="00CB1057">
        <w:rPr>
          <w:i/>
          <w:sz w:val="24"/>
          <w:szCs w:val="24"/>
          <w:lang w:val="en-US"/>
        </w:rPr>
        <w:t xml:space="preserve"> </w:t>
      </w:r>
      <w:r w:rsidRPr="00CB1057">
        <w:rPr>
          <w:sz w:val="24"/>
          <w:szCs w:val="24"/>
          <w:lang w:val="en-US"/>
        </w:rPr>
        <w:t xml:space="preserve">cassettes resulting in strains IMX2209, IMX2165 and IMX2203, respectively. After selection on YPD with G418, correct integration was verified by diagnostic PCR. Correct integration of the </w:t>
      </w:r>
      <w:proofErr w:type="spellStart"/>
      <w:r w:rsidRPr="00CB1057">
        <w:rPr>
          <w:i/>
          <w:sz w:val="24"/>
          <w:szCs w:val="24"/>
          <w:lang w:val="en-US"/>
        </w:rPr>
        <w:t>kanMX</w:t>
      </w:r>
      <w:proofErr w:type="spellEnd"/>
      <w:r w:rsidRPr="00CB1057">
        <w:rPr>
          <w:i/>
          <w:sz w:val="24"/>
          <w:szCs w:val="24"/>
          <w:lang w:val="en-US"/>
        </w:rPr>
        <w:t xml:space="preserve"> </w:t>
      </w:r>
      <w:r w:rsidRPr="00CB1057">
        <w:rPr>
          <w:sz w:val="24"/>
          <w:szCs w:val="24"/>
          <w:lang w:val="en-US"/>
        </w:rPr>
        <w:t xml:space="preserve">cassette was checked with primer 14760, which binds outside the </w:t>
      </w:r>
      <w:r w:rsidRPr="00CB1057">
        <w:rPr>
          <w:i/>
          <w:sz w:val="24"/>
          <w:szCs w:val="24"/>
          <w:lang w:val="en-US"/>
        </w:rPr>
        <w:t>URA1</w:t>
      </w:r>
      <w:r w:rsidRPr="00CB1057">
        <w:rPr>
          <w:sz w:val="24"/>
          <w:szCs w:val="24"/>
          <w:lang w:val="en-US"/>
        </w:rPr>
        <w:t xml:space="preserve"> locus, and primer 1935, which binds inside the </w:t>
      </w:r>
      <w:proofErr w:type="spellStart"/>
      <w:r w:rsidRPr="00CB1057">
        <w:rPr>
          <w:i/>
          <w:sz w:val="24"/>
          <w:szCs w:val="24"/>
          <w:lang w:val="en-US"/>
        </w:rPr>
        <w:t>kanMX</w:t>
      </w:r>
      <w:proofErr w:type="spellEnd"/>
      <w:r w:rsidRPr="00CB1057">
        <w:rPr>
          <w:sz w:val="24"/>
          <w:szCs w:val="24"/>
          <w:lang w:val="en-US"/>
        </w:rPr>
        <w:t xml:space="preserve"> sequence. The integrated </w:t>
      </w:r>
      <w:proofErr w:type="spellStart"/>
      <w:r w:rsidRPr="00CB1057">
        <w:rPr>
          <w:i/>
          <w:sz w:val="24"/>
          <w:szCs w:val="24"/>
          <w:lang w:val="en-US"/>
        </w:rPr>
        <w:t>kanMX</w:t>
      </w:r>
      <w:proofErr w:type="spellEnd"/>
      <w:r w:rsidRPr="00CB1057">
        <w:rPr>
          <w:sz w:val="24"/>
          <w:szCs w:val="24"/>
          <w:lang w:val="en-US"/>
        </w:rPr>
        <w:t xml:space="preserve"> markers were targeted in a subsequent transformation with pUDR605. Repair cassettes for strains IMX2209, IMX2165 and IMX2203 were constructed by annealing oligonucleotide pairs 15834/15835, 16370/16371 and 16368/16369, which harbored the desired single-nucleotide mutations in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SjURA9</w:t>
      </w:r>
      <w:r w:rsidRPr="00CB1057">
        <w:rPr>
          <w:sz w:val="24"/>
          <w:szCs w:val="24"/>
          <w:lang w:val="en-US"/>
        </w:rPr>
        <w:t xml:space="preserve"> and </w:t>
      </w:r>
      <w:r w:rsidRPr="00CB1057">
        <w:rPr>
          <w:i/>
          <w:sz w:val="24"/>
          <w:szCs w:val="24"/>
          <w:lang w:val="en-US"/>
        </w:rPr>
        <w:t>DbURA9</w:t>
      </w:r>
      <w:r w:rsidRPr="00CB1057">
        <w:rPr>
          <w:sz w:val="24"/>
          <w:szCs w:val="24"/>
          <w:lang w:val="en-US"/>
        </w:rPr>
        <w:t>, respectively. Co-transformation of pUDR605 with the corresponding repair fragment into strains IMX2209, IMX2165 and IMX2203 yielded strains IMG007 (</w:t>
      </w:r>
      <w:proofErr w:type="spellStart"/>
      <w:r w:rsidRPr="00CB1057">
        <w:rPr>
          <w:rFonts w:cs="CaeciliaLTStd-Italic"/>
          <w:i/>
          <w:iCs/>
          <w:sz w:val="24"/>
          <w:szCs w:val="24"/>
        </w:rPr>
        <w:t>Ar</w:t>
      </w:r>
      <w:proofErr w:type="spellEnd"/>
      <w:r w:rsidR="00DD0B5D">
        <w:rPr>
          <w:i/>
          <w:sz w:val="24"/>
          <w:szCs w:val="24"/>
          <w:lang w:val="en-US"/>
        </w:rPr>
        <w:t>ura9</w:t>
      </w:r>
      <w:r w:rsidR="00045046" w:rsidRPr="00045046">
        <w:rPr>
          <w:rFonts w:cs="CaeciliaLTStd-Italic"/>
          <w:sz w:val="24"/>
          <w:szCs w:val="24"/>
          <w:vertAlign w:val="superscript"/>
        </w:rPr>
        <w:t>C168S</w:t>
      </w:r>
      <w:r w:rsidRPr="00CB1057">
        <w:rPr>
          <w:sz w:val="24"/>
          <w:szCs w:val="24"/>
          <w:lang w:val="en-US"/>
        </w:rPr>
        <w:t>), IMG005 (</w:t>
      </w:r>
      <w:r w:rsidRPr="00CB1057">
        <w:rPr>
          <w:rFonts w:cs="CaeciliaLTStd-Italic"/>
          <w:i/>
          <w:iCs/>
          <w:sz w:val="24"/>
          <w:szCs w:val="24"/>
        </w:rPr>
        <w:t>KmURA9</w:t>
      </w:r>
      <w:r w:rsidR="00045046" w:rsidRPr="00045046">
        <w:rPr>
          <w:rFonts w:cs="CaeciliaLTStd-Italic"/>
          <w:sz w:val="24"/>
          <w:szCs w:val="24"/>
          <w:vertAlign w:val="superscript"/>
        </w:rPr>
        <w:t>S263C</w:t>
      </w:r>
      <w:r w:rsidRPr="00CB1057">
        <w:rPr>
          <w:sz w:val="24"/>
          <w:szCs w:val="24"/>
          <w:lang w:val="en-US"/>
        </w:rPr>
        <w:t>) and IMG008 (</w:t>
      </w:r>
      <w:r w:rsidRPr="00CB1057">
        <w:rPr>
          <w:rFonts w:cs="CaeciliaLTStd-Italic"/>
          <w:i/>
          <w:iCs/>
          <w:sz w:val="24"/>
          <w:szCs w:val="24"/>
        </w:rPr>
        <w:t>SjURA9</w:t>
      </w:r>
      <w:r w:rsidR="00045046">
        <w:rPr>
          <w:rFonts w:cs="CaeciliaLTStd-Italic"/>
          <w:sz w:val="24"/>
          <w:szCs w:val="24"/>
          <w:vertAlign w:val="superscript"/>
        </w:rPr>
        <w:t>C265S</w:t>
      </w:r>
      <w:r w:rsidRPr="00CB1057">
        <w:rPr>
          <w:sz w:val="24"/>
          <w:szCs w:val="24"/>
          <w:lang w:val="en-US"/>
        </w:rPr>
        <w:t xml:space="preserve">). Single colony isolates were selected on YPD with hygromycin and checked for correct integration by PCR using primer pair 11338/11353, which bind outside the </w:t>
      </w:r>
      <w:r w:rsidRPr="00CB1057">
        <w:rPr>
          <w:i/>
          <w:sz w:val="24"/>
          <w:szCs w:val="24"/>
          <w:lang w:val="en-US"/>
        </w:rPr>
        <w:t xml:space="preserve">URA1 </w:t>
      </w:r>
      <w:r w:rsidRPr="00CB1057">
        <w:rPr>
          <w:sz w:val="24"/>
          <w:szCs w:val="24"/>
          <w:lang w:val="en-US"/>
        </w:rPr>
        <w:t>locus. Plasmids were removed by three sequential transfers on YPD, followed by plating on YPD and selecting single colonies that grew on YPD but not on YPD with hygromycin or geneticin. To confirm the presence of the single-nucleotide mutations, the</w:t>
      </w:r>
      <w:r w:rsidRPr="00CB1057">
        <w:rPr>
          <w:i/>
          <w:sz w:val="24"/>
          <w:szCs w:val="24"/>
          <w:lang w:val="en-US"/>
        </w:rPr>
        <w:t xml:space="preserve"> URA9</w:t>
      </w:r>
      <w:r w:rsidRPr="00CB1057">
        <w:rPr>
          <w:sz w:val="24"/>
          <w:szCs w:val="24"/>
          <w:lang w:val="en-US"/>
        </w:rPr>
        <w:t xml:space="preserve"> sequences of strains IMG007, IMG008 and IMG005 were amplified by PCR using primers 14759/14760, and purified products were Sanger sequenced (</w:t>
      </w:r>
      <w:proofErr w:type="spellStart"/>
      <w:r w:rsidRPr="00CB1057">
        <w:rPr>
          <w:sz w:val="24"/>
          <w:szCs w:val="24"/>
          <w:lang w:val="en-US"/>
        </w:rPr>
        <w:t>BaseClear</w:t>
      </w:r>
      <w:proofErr w:type="spellEnd"/>
      <w:r w:rsidRPr="00CB1057">
        <w:rPr>
          <w:sz w:val="24"/>
          <w:szCs w:val="24"/>
          <w:lang w:val="en-US"/>
        </w:rPr>
        <w:t xml:space="preserve"> B.V., Leiden, The Netherlands). </w:t>
      </w:r>
      <w:r w:rsidRPr="00CB1057">
        <w:rPr>
          <w:i/>
          <w:sz w:val="24"/>
          <w:szCs w:val="24"/>
          <w:lang w:val="en-US"/>
        </w:rPr>
        <w:t>URA9</w:t>
      </w:r>
      <w:r w:rsidRPr="00CB1057">
        <w:rPr>
          <w:sz w:val="24"/>
          <w:szCs w:val="24"/>
          <w:lang w:val="en-US"/>
        </w:rPr>
        <w:t xml:space="preserve"> alleles in strains IMG007, IMG008 and IMG005 were Sanger sequenced using primers 12665, 14759, 14760 and 14872 binding outside the </w:t>
      </w:r>
      <w:r w:rsidRPr="00CB1057">
        <w:rPr>
          <w:i/>
          <w:sz w:val="24"/>
          <w:szCs w:val="24"/>
          <w:lang w:val="en-US"/>
        </w:rPr>
        <w:t>URA9</w:t>
      </w:r>
      <w:r w:rsidRPr="00CB1057">
        <w:rPr>
          <w:sz w:val="24"/>
          <w:szCs w:val="24"/>
          <w:lang w:val="en-US"/>
        </w:rPr>
        <w:t xml:space="preserve"> gene. For sequencing of </w:t>
      </w:r>
      <w:r w:rsidRPr="00CB1057">
        <w:rPr>
          <w:i/>
          <w:sz w:val="24"/>
          <w:szCs w:val="24"/>
          <w:lang w:val="en-US"/>
        </w:rPr>
        <w:t>Ar</w:t>
      </w:r>
      <w:r w:rsidR="00DD0B5D">
        <w:rPr>
          <w:i/>
          <w:sz w:val="24"/>
          <w:szCs w:val="24"/>
          <w:lang w:val="en-US"/>
        </w:rPr>
        <w:t>ura</w:t>
      </w:r>
      <w:r w:rsidRPr="00CB1057">
        <w:rPr>
          <w:i/>
          <w:sz w:val="24"/>
          <w:szCs w:val="24"/>
          <w:lang w:val="en-US"/>
        </w:rPr>
        <w:t>9</w:t>
      </w:r>
      <w:r w:rsidRPr="00CB1057">
        <w:rPr>
          <w:sz w:val="24"/>
          <w:szCs w:val="24"/>
          <w:lang w:val="en-US"/>
        </w:rPr>
        <w:t xml:space="preserve">, </w:t>
      </w:r>
      <w:r w:rsidRPr="00CB1057">
        <w:rPr>
          <w:i/>
          <w:sz w:val="24"/>
          <w:szCs w:val="24"/>
          <w:lang w:val="en-US"/>
        </w:rPr>
        <w:t>SjURA9</w:t>
      </w:r>
      <w:r w:rsidRPr="00CB1057">
        <w:rPr>
          <w:sz w:val="24"/>
          <w:szCs w:val="24"/>
          <w:lang w:val="en-US"/>
        </w:rPr>
        <w:t xml:space="preserve"> or </w:t>
      </w:r>
      <w:r w:rsidRPr="00CB1057">
        <w:rPr>
          <w:i/>
          <w:sz w:val="24"/>
          <w:szCs w:val="24"/>
          <w:lang w:val="en-US"/>
        </w:rPr>
        <w:t>KmURA9</w:t>
      </w:r>
      <w:r w:rsidRPr="00CB1057">
        <w:rPr>
          <w:sz w:val="24"/>
          <w:szCs w:val="24"/>
          <w:lang w:val="en-US"/>
        </w:rPr>
        <w:t xml:space="preserve"> the additional oligonucleotides 14873/14874/14877/14878, 16439/16441/16443/16445 or 16438/16455/16456/16458 were used. Reads were assembled in Clone Manager Professional 9 (Sci-Ed Software, Westminster, CO, USA) using default settings for </w:t>
      </w:r>
      <w:r w:rsidRPr="00CB1057">
        <w:rPr>
          <w:sz w:val="24"/>
          <w:szCs w:val="24"/>
          <w:lang w:val="en-US"/>
        </w:rPr>
        <w:lastRenderedPageBreak/>
        <w:t xml:space="preserve">“Simple” assembly and aligned with the sequence of the corresponding non-mutated </w:t>
      </w:r>
      <w:r w:rsidRPr="00CB1057">
        <w:rPr>
          <w:i/>
          <w:sz w:val="24"/>
          <w:szCs w:val="24"/>
          <w:lang w:val="en-US"/>
        </w:rPr>
        <w:t>URA9</w:t>
      </w:r>
      <w:r w:rsidRPr="00CB1057">
        <w:rPr>
          <w:sz w:val="24"/>
          <w:szCs w:val="24"/>
          <w:lang w:val="en-US"/>
        </w:rPr>
        <w:t xml:space="preserve"> allele.</w:t>
      </w:r>
    </w:p>
    <w:p w14:paraId="42ABCD8F" w14:textId="18F3D105" w:rsidR="00A720C0" w:rsidRPr="00CB1057" w:rsidRDefault="00F07E4F" w:rsidP="00A720C0">
      <w:pPr>
        <w:rPr>
          <w:sz w:val="24"/>
          <w:szCs w:val="24"/>
          <w:lang w:val="en-US"/>
        </w:rPr>
      </w:pPr>
      <w:r>
        <w:rPr>
          <w:sz w:val="24"/>
          <w:szCs w:val="24"/>
          <w:lang w:val="en-US"/>
        </w:rPr>
        <w:t xml:space="preserve">Strain </w:t>
      </w:r>
      <w:r w:rsidR="00A720C0" w:rsidRPr="00CB1057">
        <w:rPr>
          <w:sz w:val="24"/>
          <w:szCs w:val="24"/>
          <w:lang w:val="en-US"/>
        </w:rPr>
        <w:t>IMS1206 was obtained by three subsequent transfers of IME571</w:t>
      </w:r>
      <w:r>
        <w:rPr>
          <w:sz w:val="24"/>
          <w:szCs w:val="24"/>
          <w:lang w:val="en-US"/>
        </w:rPr>
        <w:t xml:space="preserve"> (</w:t>
      </w:r>
      <w:r w:rsidR="00A720C0" w:rsidRPr="00CB1057">
        <w:rPr>
          <w:i/>
          <w:sz w:val="24"/>
          <w:szCs w:val="24"/>
          <w:lang w:val="en-US"/>
        </w:rPr>
        <w:t xml:space="preserve">ura1 </w:t>
      </w:r>
      <w:r w:rsidR="00A720C0" w:rsidRPr="00CB1057">
        <w:rPr>
          <w:sz w:val="24"/>
          <w:szCs w:val="24"/>
          <w:lang w:val="en-US"/>
        </w:rPr>
        <w:t xml:space="preserve">null mutant expressing </w:t>
      </w:r>
      <w:r w:rsidR="00A720C0" w:rsidRPr="00CB1057">
        <w:rPr>
          <w:i/>
          <w:sz w:val="24"/>
          <w:szCs w:val="24"/>
          <w:lang w:val="en-US"/>
        </w:rPr>
        <w:t>SjaURA9</w:t>
      </w:r>
      <w:r w:rsidR="00A720C0" w:rsidRPr="00CB1057">
        <w:rPr>
          <w:sz w:val="24"/>
          <w:szCs w:val="24"/>
          <w:lang w:val="en-US"/>
        </w:rPr>
        <w:t xml:space="preserve"> from a plasmid</w:t>
      </w:r>
      <w:r>
        <w:rPr>
          <w:sz w:val="24"/>
          <w:szCs w:val="24"/>
          <w:lang w:val="en-US"/>
        </w:rPr>
        <w:t>)</w:t>
      </w:r>
      <w:r w:rsidR="00A720C0" w:rsidRPr="00CB1057">
        <w:rPr>
          <w:sz w:val="24"/>
          <w:szCs w:val="24"/>
          <w:lang w:val="en-US"/>
        </w:rPr>
        <w:t>, on non-selective media (SMUD-</w:t>
      </w:r>
      <w:proofErr w:type="spellStart"/>
      <w:r w:rsidR="00A720C0" w:rsidRPr="00CB1057">
        <w:rPr>
          <w:sz w:val="24"/>
          <w:szCs w:val="24"/>
          <w:lang w:val="en-US"/>
        </w:rPr>
        <w:t>ura</w:t>
      </w:r>
      <w:proofErr w:type="spellEnd"/>
      <w:r w:rsidR="00A720C0" w:rsidRPr="00CB1057">
        <w:rPr>
          <w:sz w:val="24"/>
          <w:szCs w:val="24"/>
          <w:lang w:val="en-US"/>
        </w:rPr>
        <w:t>). The culture was plated on SMD-</w:t>
      </w:r>
      <w:proofErr w:type="spellStart"/>
      <w:proofErr w:type="gramStart"/>
      <w:r w:rsidR="00A720C0" w:rsidRPr="00CB1057">
        <w:rPr>
          <w:sz w:val="24"/>
          <w:szCs w:val="24"/>
          <w:lang w:val="en-US"/>
        </w:rPr>
        <w:t>ura</w:t>
      </w:r>
      <w:proofErr w:type="spellEnd"/>
      <w:proofErr w:type="gramEnd"/>
      <w:r w:rsidR="00A720C0" w:rsidRPr="00CB1057">
        <w:rPr>
          <w:sz w:val="24"/>
          <w:szCs w:val="24"/>
          <w:lang w:val="en-US"/>
        </w:rPr>
        <w:t xml:space="preserve"> and a single colony isolate were re-streaked on SMD and SMD-</w:t>
      </w:r>
      <w:proofErr w:type="spellStart"/>
      <w:r w:rsidR="00A720C0" w:rsidRPr="00CB1057">
        <w:rPr>
          <w:sz w:val="24"/>
          <w:szCs w:val="24"/>
          <w:lang w:val="en-US"/>
        </w:rPr>
        <w:t>ura</w:t>
      </w:r>
      <w:proofErr w:type="spellEnd"/>
      <w:r w:rsidR="00A720C0" w:rsidRPr="00CB1057">
        <w:rPr>
          <w:sz w:val="24"/>
          <w:szCs w:val="24"/>
          <w:lang w:val="en-US"/>
        </w:rPr>
        <w:t xml:space="preserve">. </w:t>
      </w:r>
      <w:r>
        <w:rPr>
          <w:sz w:val="24"/>
          <w:szCs w:val="24"/>
          <w:lang w:val="en-US"/>
        </w:rPr>
        <w:t>Loss</w:t>
      </w:r>
      <w:r w:rsidR="00A720C0" w:rsidRPr="00CB1057">
        <w:rPr>
          <w:sz w:val="24"/>
          <w:szCs w:val="24"/>
          <w:lang w:val="en-US"/>
        </w:rPr>
        <w:t xml:space="preserve"> of pUDE815 (</w:t>
      </w:r>
      <w:r w:rsidR="00A720C0" w:rsidRPr="00CB1057">
        <w:rPr>
          <w:i/>
          <w:sz w:val="24"/>
          <w:szCs w:val="24"/>
          <w:lang w:val="en-US"/>
        </w:rPr>
        <w:t>SjURA9</w:t>
      </w:r>
      <w:r w:rsidR="00A720C0" w:rsidRPr="00CB1057">
        <w:rPr>
          <w:sz w:val="24"/>
          <w:szCs w:val="24"/>
          <w:lang w:val="en-US"/>
        </w:rPr>
        <w:t>) was confirmed by the inability to grow on medium without uracil</w:t>
      </w:r>
      <w:r>
        <w:rPr>
          <w:sz w:val="24"/>
          <w:szCs w:val="24"/>
          <w:lang w:val="en-US"/>
        </w:rPr>
        <w:t>. Subsequent</w:t>
      </w:r>
      <w:r w:rsidR="00A720C0" w:rsidRPr="00CB1057">
        <w:rPr>
          <w:sz w:val="24"/>
          <w:szCs w:val="24"/>
          <w:lang w:val="en-US"/>
        </w:rPr>
        <w:t xml:space="preserve"> selection of a single colony </w:t>
      </w:r>
      <w:proofErr w:type="gramStart"/>
      <w:r w:rsidR="00A720C0" w:rsidRPr="00CB1057">
        <w:rPr>
          <w:sz w:val="24"/>
          <w:szCs w:val="24"/>
          <w:lang w:val="en-US"/>
        </w:rPr>
        <w:t>isolate</w:t>
      </w:r>
      <w:proofErr w:type="gramEnd"/>
      <w:r w:rsidR="00A720C0" w:rsidRPr="00CB1057">
        <w:rPr>
          <w:sz w:val="24"/>
          <w:szCs w:val="24"/>
          <w:lang w:val="en-US"/>
        </w:rPr>
        <w:t xml:space="preserve"> by three subsequent </w:t>
      </w:r>
      <w:proofErr w:type="spellStart"/>
      <w:r w:rsidR="00A720C0" w:rsidRPr="00CB1057">
        <w:rPr>
          <w:sz w:val="24"/>
          <w:szCs w:val="24"/>
          <w:lang w:val="en-US"/>
        </w:rPr>
        <w:t>restreaks</w:t>
      </w:r>
      <w:proofErr w:type="spellEnd"/>
      <w:r w:rsidR="00A720C0" w:rsidRPr="00CB1057">
        <w:rPr>
          <w:sz w:val="24"/>
          <w:szCs w:val="24"/>
          <w:lang w:val="en-US"/>
        </w:rPr>
        <w:t xml:space="preserve"> on SMUD</w:t>
      </w:r>
      <w:r>
        <w:rPr>
          <w:sz w:val="24"/>
          <w:szCs w:val="24"/>
          <w:lang w:val="en-US"/>
        </w:rPr>
        <w:t xml:space="preserve"> yielded strain</w:t>
      </w:r>
      <w:r w:rsidR="00A720C0" w:rsidRPr="00CB1057">
        <w:rPr>
          <w:sz w:val="24"/>
          <w:szCs w:val="24"/>
          <w:lang w:val="en-US"/>
        </w:rPr>
        <w:t xml:space="preserve"> IMS1206. </w:t>
      </w:r>
    </w:p>
    <w:p w14:paraId="53F9C5E2" w14:textId="4F0BB556" w:rsidR="006C296D" w:rsidRDefault="00F07E4F" w:rsidP="00A720C0">
      <w:pPr>
        <w:rPr>
          <w:sz w:val="24"/>
          <w:szCs w:val="24"/>
          <w:lang w:val="en-US"/>
        </w:rPr>
      </w:pPr>
      <w:r>
        <w:rPr>
          <w:sz w:val="24"/>
          <w:szCs w:val="24"/>
          <w:lang w:val="en-US"/>
        </w:rPr>
        <w:t xml:space="preserve">Strains </w:t>
      </w:r>
      <w:r w:rsidR="00A720C0" w:rsidRPr="00CB1057">
        <w:rPr>
          <w:sz w:val="24"/>
          <w:szCs w:val="24"/>
          <w:lang w:val="en-US"/>
        </w:rPr>
        <w:t xml:space="preserve">IMS1167, IMS1168, IMS1169 and IMS1170 were obtained from two anaerobically grown cultures of </w:t>
      </w:r>
      <w:r>
        <w:rPr>
          <w:sz w:val="24"/>
          <w:szCs w:val="24"/>
          <w:lang w:val="en-US"/>
        </w:rPr>
        <w:t xml:space="preserve">strain </w:t>
      </w:r>
      <w:r w:rsidR="00A720C0" w:rsidRPr="00CB1057">
        <w:rPr>
          <w:sz w:val="24"/>
          <w:szCs w:val="24"/>
          <w:lang w:val="en-US"/>
        </w:rPr>
        <w:t>IMI439 (</w:t>
      </w:r>
      <w:r w:rsidR="00A720C0" w:rsidRPr="00CB1057">
        <w:rPr>
          <w:i/>
          <w:sz w:val="24"/>
          <w:szCs w:val="24"/>
          <w:lang w:val="en-US"/>
        </w:rPr>
        <w:t>DbURA9</w:t>
      </w:r>
      <w:r w:rsidR="00A720C0" w:rsidRPr="00CB1057">
        <w:rPr>
          <w:sz w:val="24"/>
          <w:szCs w:val="24"/>
          <w:lang w:val="en-US"/>
        </w:rPr>
        <w:t>) on SMUD. To avoid carry-over from an aerobic environment, cultures were plated on SMD</w:t>
      </w:r>
      <w:r w:rsidR="00A720C0" w:rsidRPr="00CB1057" w:rsidDel="009524B9">
        <w:rPr>
          <w:sz w:val="24"/>
          <w:szCs w:val="24"/>
          <w:lang w:val="en-US"/>
        </w:rPr>
        <w:t xml:space="preserve"> </w:t>
      </w:r>
      <w:r w:rsidR="00A720C0" w:rsidRPr="00CB1057">
        <w:rPr>
          <w:sz w:val="24"/>
          <w:szCs w:val="24"/>
          <w:lang w:val="en-US"/>
        </w:rPr>
        <w:t xml:space="preserve">within the anaerobic chamber. Two single colony isolates per plate were re-streaked (three times) anaerobically, resulting in </w:t>
      </w:r>
      <w:r>
        <w:rPr>
          <w:sz w:val="24"/>
          <w:szCs w:val="24"/>
          <w:lang w:val="en-US"/>
        </w:rPr>
        <w:t xml:space="preserve">strains </w:t>
      </w:r>
      <w:r w:rsidR="00A720C0" w:rsidRPr="00CB1057">
        <w:rPr>
          <w:sz w:val="24"/>
          <w:szCs w:val="24"/>
          <w:lang w:val="en-US"/>
        </w:rPr>
        <w:t>IMS1167, IMS1168, IMS1169 and IMS1170.</w:t>
      </w:r>
    </w:p>
    <w:p w14:paraId="57E973CA" w14:textId="320BFC07" w:rsidR="006D2215" w:rsidRDefault="006D2215" w:rsidP="00A720C0">
      <w:pPr>
        <w:rPr>
          <w:sz w:val="24"/>
          <w:szCs w:val="24"/>
          <w:lang w:val="en-US"/>
        </w:rPr>
      </w:pPr>
    </w:p>
    <w:p w14:paraId="10D064C0" w14:textId="25B5C2D0" w:rsidR="006D2215" w:rsidRDefault="006D2215">
      <w:pPr>
        <w:spacing w:after="160" w:line="259" w:lineRule="auto"/>
        <w:jc w:val="left"/>
        <w:rPr>
          <w:sz w:val="24"/>
          <w:szCs w:val="24"/>
          <w:lang w:val="en-US"/>
        </w:rPr>
      </w:pPr>
      <w:r>
        <w:rPr>
          <w:sz w:val="24"/>
          <w:szCs w:val="24"/>
          <w:lang w:val="en-US"/>
        </w:rPr>
        <w:br w:type="page"/>
      </w:r>
    </w:p>
    <w:p w14:paraId="55C19017" w14:textId="77777777" w:rsidR="00BC093F" w:rsidRDefault="00BC093F" w:rsidP="00BC093F">
      <w:pPr>
        <w:pStyle w:val="Heading3"/>
      </w:pPr>
      <w:r>
        <w:lastRenderedPageBreak/>
        <w:t>References</w:t>
      </w:r>
    </w:p>
    <w:p w14:paraId="6E731E8D" w14:textId="34C7AF55" w:rsidR="00DD0B5D" w:rsidRPr="00DD0B5D" w:rsidRDefault="006D2215" w:rsidP="00DD0B5D">
      <w:pPr>
        <w:widowControl w:val="0"/>
        <w:autoSpaceDE w:val="0"/>
        <w:autoSpaceDN w:val="0"/>
        <w:adjustRightInd w:val="0"/>
        <w:rPr>
          <w:rFonts w:cs="Times New Roman"/>
          <w:noProof/>
        </w:rPr>
      </w:pPr>
      <w:r>
        <w:fldChar w:fldCharType="begin" w:fldLock="1"/>
      </w:r>
      <w:r>
        <w:instrText xml:space="preserve">ADDIN Mendeley Bibliography CSL_BIBLIOGRAPHY </w:instrText>
      </w:r>
      <w:r>
        <w:fldChar w:fldCharType="separate"/>
      </w:r>
      <w:r w:rsidR="00DD0B5D" w:rsidRPr="00DD0B5D">
        <w:rPr>
          <w:rFonts w:cs="Times New Roman"/>
          <w:noProof/>
        </w:rPr>
        <w:t xml:space="preserve">1. Raab D, Graf M, Notka F, Schödl T, Wagner R. The GeneOptimizer Algorithm: Using a sliding window approach to cope with the vast sequence space in multiparameter DNA sequence optimization. Syst Synth Biol. 2010;4:215–25. </w:t>
      </w:r>
    </w:p>
    <w:p w14:paraId="51680B19" w14:textId="77777777" w:rsidR="00DD0B5D" w:rsidRPr="003C29A4" w:rsidRDefault="00DD0B5D" w:rsidP="00DD0B5D">
      <w:pPr>
        <w:widowControl w:val="0"/>
        <w:autoSpaceDE w:val="0"/>
        <w:autoSpaceDN w:val="0"/>
        <w:adjustRightInd w:val="0"/>
        <w:rPr>
          <w:rFonts w:cs="Times New Roman"/>
          <w:noProof/>
          <w:lang w:val="nl-NL"/>
        </w:rPr>
      </w:pPr>
      <w:r w:rsidRPr="00DD0B5D">
        <w:rPr>
          <w:rFonts w:cs="Times New Roman"/>
          <w:noProof/>
        </w:rPr>
        <w:t xml:space="preserve">2. Lee ME, DeLoache WC, Cervantes B, Dueber JE. A highly characterized yeast toolkit for modular, multipart assembly. </w:t>
      </w:r>
      <w:r w:rsidRPr="003C29A4">
        <w:rPr>
          <w:rFonts w:cs="Times New Roman"/>
          <w:noProof/>
          <w:lang w:val="nl-NL"/>
        </w:rPr>
        <w:t xml:space="preserve">ACS Synth Biol. 2015;4:975–86. </w:t>
      </w:r>
    </w:p>
    <w:p w14:paraId="1F7E8BEF" w14:textId="77777777" w:rsidR="00DD0B5D" w:rsidRPr="00DD0B5D" w:rsidRDefault="00DD0B5D" w:rsidP="00DD0B5D">
      <w:pPr>
        <w:widowControl w:val="0"/>
        <w:autoSpaceDE w:val="0"/>
        <w:autoSpaceDN w:val="0"/>
        <w:adjustRightInd w:val="0"/>
        <w:rPr>
          <w:rFonts w:cs="Times New Roman"/>
          <w:noProof/>
        </w:rPr>
      </w:pPr>
      <w:r w:rsidRPr="003C29A4">
        <w:rPr>
          <w:rFonts w:cs="Times New Roman"/>
          <w:noProof/>
          <w:lang w:val="nl-NL"/>
        </w:rPr>
        <w:t xml:space="preserve">3. Mans R, van Rossum HM, Wijsman M, Backx A, Kuijpers NGA, van den Broek M, Daran-Lapujade P, Pronk JT, van Maris AJA, Daran J-MG. </w:t>
      </w:r>
      <w:r w:rsidRPr="00DD0B5D">
        <w:rPr>
          <w:rFonts w:cs="Times New Roman"/>
          <w:noProof/>
        </w:rPr>
        <w:t xml:space="preserve">CRISPR/Cas9: a molecular Swiss army knife for simultaneous introduction of multiple genetic modifications in </w:t>
      </w:r>
      <w:r w:rsidRPr="00DD0B5D">
        <w:rPr>
          <w:rFonts w:cs="Times New Roman"/>
          <w:i/>
          <w:iCs/>
          <w:noProof/>
        </w:rPr>
        <w:t>Saccharomyces cerevisiae</w:t>
      </w:r>
      <w:r w:rsidRPr="00DD0B5D">
        <w:rPr>
          <w:rFonts w:cs="Times New Roman"/>
          <w:noProof/>
        </w:rPr>
        <w:t xml:space="preserve">. FEMS Yeast Res. 2015;15:fov004. </w:t>
      </w:r>
    </w:p>
    <w:p w14:paraId="54CB1F19" w14:textId="77777777" w:rsidR="00DD0B5D" w:rsidRPr="00DD0B5D" w:rsidRDefault="00DD0B5D" w:rsidP="00DD0B5D">
      <w:pPr>
        <w:widowControl w:val="0"/>
        <w:autoSpaceDE w:val="0"/>
        <w:autoSpaceDN w:val="0"/>
        <w:adjustRightInd w:val="0"/>
        <w:rPr>
          <w:rFonts w:cs="Times New Roman"/>
          <w:noProof/>
        </w:rPr>
      </w:pPr>
      <w:r w:rsidRPr="00DD0B5D">
        <w:rPr>
          <w:rFonts w:cs="Times New Roman"/>
          <w:noProof/>
        </w:rPr>
        <w:t xml:space="preserve">4. Bouwknegt J, Wiersma SJ, Ortiz-Merino RA, Doornnebal ESR, Buitenhuis P, Giera M, Muller C, Pronk JT. A squalene-hopene cyclase in </w:t>
      </w:r>
      <w:r w:rsidRPr="00DD0B5D">
        <w:rPr>
          <w:rFonts w:cs="Times New Roman"/>
          <w:i/>
          <w:iCs/>
          <w:noProof/>
        </w:rPr>
        <w:t>Schizosaccharomyces japonicus</w:t>
      </w:r>
      <w:r w:rsidRPr="00DD0B5D">
        <w:rPr>
          <w:rFonts w:cs="Times New Roman"/>
          <w:noProof/>
        </w:rPr>
        <w:t xml:space="preserve"> represents a eukaryotic adaptation to sterol‐independent anaerobic growth. BioRXiv [preprint]. 2021; </w:t>
      </w:r>
    </w:p>
    <w:p w14:paraId="0F74E2AB" w14:textId="77777777" w:rsidR="00DD0B5D" w:rsidRPr="00DD0B5D" w:rsidRDefault="00DD0B5D" w:rsidP="00DD0B5D">
      <w:pPr>
        <w:widowControl w:val="0"/>
        <w:autoSpaceDE w:val="0"/>
        <w:autoSpaceDN w:val="0"/>
        <w:adjustRightInd w:val="0"/>
        <w:rPr>
          <w:noProof/>
        </w:rPr>
      </w:pPr>
      <w:r w:rsidRPr="00DD0B5D">
        <w:rPr>
          <w:rFonts w:cs="Times New Roman"/>
          <w:noProof/>
        </w:rPr>
        <w:t xml:space="preserve">5. Beekwilder J, van Rossum HM, Koopman F, Sonntag F, Buchhaupt M, Schrader J, Hall RD, Bosch D, Pronk JT, van Maris AJA, Daran JM. Polycistronic expression of a β-carotene biosynthetic pathway in </w:t>
      </w:r>
      <w:r w:rsidRPr="00DD0B5D">
        <w:rPr>
          <w:rFonts w:cs="Times New Roman"/>
          <w:i/>
          <w:iCs/>
          <w:noProof/>
        </w:rPr>
        <w:t>Saccharomyces cerevisiae</w:t>
      </w:r>
      <w:r w:rsidRPr="00DD0B5D">
        <w:rPr>
          <w:rFonts w:cs="Times New Roman"/>
          <w:noProof/>
        </w:rPr>
        <w:t xml:space="preserve"> coupled to β-ionone production. J Biotechnol. Elsevier B.V.; 2014;192:383–92. </w:t>
      </w:r>
    </w:p>
    <w:p w14:paraId="48FF6DB8" w14:textId="122872C5" w:rsidR="006D2215" w:rsidRDefault="006D2215" w:rsidP="00DD0B5D">
      <w:pPr>
        <w:widowControl w:val="0"/>
        <w:autoSpaceDE w:val="0"/>
        <w:autoSpaceDN w:val="0"/>
        <w:adjustRightInd w:val="0"/>
      </w:pPr>
      <w:r>
        <w:fldChar w:fldCharType="end"/>
      </w:r>
    </w:p>
    <w:sectPr w:rsidR="006D22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eciliaLTStd-Italic">
    <w:panose1 w:val="020B0604020202020204"/>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0C0"/>
    <w:rsid w:val="00045046"/>
    <w:rsid w:val="00076A1D"/>
    <w:rsid w:val="002E2122"/>
    <w:rsid w:val="003C29A4"/>
    <w:rsid w:val="0052195D"/>
    <w:rsid w:val="005A4B43"/>
    <w:rsid w:val="00614483"/>
    <w:rsid w:val="006C296D"/>
    <w:rsid w:val="006D2215"/>
    <w:rsid w:val="0071595C"/>
    <w:rsid w:val="00A720C0"/>
    <w:rsid w:val="00BC093F"/>
    <w:rsid w:val="00BD4967"/>
    <w:rsid w:val="00DD0B5D"/>
    <w:rsid w:val="00E42C25"/>
    <w:rsid w:val="00F07E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51C1E"/>
  <w15:chartTrackingRefBased/>
  <w15:docId w15:val="{A64B92E4-66A5-475A-9132-5F248D5D8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0C0"/>
    <w:pPr>
      <w:spacing w:after="0" w:line="480" w:lineRule="auto"/>
      <w:jc w:val="both"/>
    </w:pPr>
    <w:rPr>
      <w:rFonts w:ascii="Cambria" w:hAnsi="Cambria"/>
    </w:rPr>
  </w:style>
  <w:style w:type="paragraph" w:styleId="Heading3">
    <w:name w:val="heading 3"/>
    <w:basedOn w:val="Normal"/>
    <w:next w:val="Normal"/>
    <w:link w:val="Heading3Char"/>
    <w:uiPriority w:val="9"/>
    <w:unhideWhenUsed/>
    <w:qFormat/>
    <w:rsid w:val="00A720C0"/>
    <w:pPr>
      <w:keepNext/>
      <w:keepLines/>
      <w:spacing w:before="40"/>
      <w:outlineLvl w:val="2"/>
    </w:pPr>
    <w:rPr>
      <w:rFonts w:eastAsiaTheme="majorEastAsia"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720C0"/>
    <w:rPr>
      <w:rFonts w:ascii="Cambria" w:eastAsiaTheme="majorEastAsia" w:hAnsi="Cambria" w:cstheme="majorBidi"/>
      <w:b/>
      <w:sz w:val="24"/>
      <w:szCs w:val="24"/>
    </w:rPr>
  </w:style>
  <w:style w:type="character" w:styleId="CommentReference">
    <w:name w:val="annotation reference"/>
    <w:basedOn w:val="DefaultParagraphFont"/>
    <w:uiPriority w:val="99"/>
    <w:semiHidden/>
    <w:unhideWhenUsed/>
    <w:rsid w:val="00A720C0"/>
    <w:rPr>
      <w:sz w:val="16"/>
      <w:szCs w:val="16"/>
    </w:rPr>
  </w:style>
  <w:style w:type="paragraph" w:styleId="CommentText">
    <w:name w:val="annotation text"/>
    <w:basedOn w:val="Normal"/>
    <w:link w:val="CommentTextChar"/>
    <w:uiPriority w:val="99"/>
    <w:unhideWhenUsed/>
    <w:rsid w:val="00A720C0"/>
    <w:pPr>
      <w:spacing w:line="240" w:lineRule="auto"/>
    </w:pPr>
    <w:rPr>
      <w:sz w:val="20"/>
      <w:szCs w:val="20"/>
    </w:rPr>
  </w:style>
  <w:style w:type="character" w:customStyle="1" w:styleId="CommentTextChar">
    <w:name w:val="Comment Text Char"/>
    <w:basedOn w:val="DefaultParagraphFont"/>
    <w:link w:val="CommentText"/>
    <w:uiPriority w:val="99"/>
    <w:rsid w:val="00A720C0"/>
    <w:rPr>
      <w:rFonts w:ascii="Cambria" w:hAnsi="Cambria"/>
      <w:sz w:val="20"/>
      <w:szCs w:val="20"/>
    </w:rPr>
  </w:style>
  <w:style w:type="paragraph" w:styleId="BalloonText">
    <w:name w:val="Balloon Text"/>
    <w:basedOn w:val="Normal"/>
    <w:link w:val="BalloonTextChar"/>
    <w:uiPriority w:val="99"/>
    <w:semiHidden/>
    <w:unhideWhenUsed/>
    <w:rsid w:val="00A720C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0C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F07E4F"/>
    <w:rPr>
      <w:b/>
      <w:bCs/>
    </w:rPr>
  </w:style>
  <w:style w:type="character" w:customStyle="1" w:styleId="CommentSubjectChar">
    <w:name w:val="Comment Subject Char"/>
    <w:basedOn w:val="CommentTextChar"/>
    <w:link w:val="CommentSubject"/>
    <w:uiPriority w:val="99"/>
    <w:semiHidden/>
    <w:rsid w:val="00F07E4F"/>
    <w:rPr>
      <w:rFonts w:ascii="Cambria" w:hAnsi="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4F1DF9-AE09-442D-A4A2-415230748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4631</Words>
  <Characters>26397</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TU Delft</Company>
  <LinksUpToDate>false</LinksUpToDate>
  <CharactersWithSpaces>30967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Jonna Bouwknegt - TNW</dc:creator>
  <cp:keywords/>
  <dc:description/>
  <cp:lastModifiedBy>Jonna Bouwknegt</cp:lastModifiedBy>
  <cp:revision>5</cp:revision>
  <dcterms:created xsi:type="dcterms:W3CDTF">2021-07-25T11:31:00Z</dcterms:created>
  <dcterms:modified xsi:type="dcterms:W3CDTF">2021-07-28T18:47:00Z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http://www.zotero.org/styles/fems-yeast-research</vt:lpwstr>
  </property>
  <property fmtid="{D5CDD505-2E9C-101B-9397-08002B2CF9AE}" pid="11" name="Mendeley Recent Style Name 4_1">
    <vt:lpwstr>FEMS Yeast Research</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http://csl.mendeley.com/styles/485316391/FEMS-JB</vt:lpwstr>
  </property>
  <property fmtid="{D5CDD505-2E9C-101B-9397-08002B2CF9AE}" pid="15" name="Mendeley Recent Style Name 6_1">
    <vt:lpwstr>Oxford University Press SciMed (author-date) - Jonna Bouwknegt</vt:lpwstr>
  </property>
  <property fmtid="{D5CDD505-2E9C-101B-9397-08002B2CF9AE}" pid="16" name="Mendeley Recent Style Id 7_1">
    <vt:lpwstr>https://csl.mendeley.com/styles/485316391/FungalBiologyBiotechnology-JB</vt:lpwstr>
  </property>
  <property fmtid="{D5CDD505-2E9C-101B-9397-08002B2CF9AE}" pid="17" name="Mendeley Recent Style Name 7_1">
    <vt:lpwstr>Springer - Vancouver (brackets) - Jonna Bouwknegt</vt:lpwstr>
  </property>
  <property fmtid="{D5CDD505-2E9C-101B-9397-08002B2CF9AE}" pid="18" name="Mendeley Recent Style Id 8_1">
    <vt:lpwstr>http://csl.mendeley.com/styles/485316391/FungalBiologyBiotechnology-JB</vt:lpwstr>
  </property>
  <property fmtid="{D5CDD505-2E9C-101B-9397-08002B2CF9AE}" pid="19" name="Mendeley Recent Style Name 8_1">
    <vt:lpwstr>Springer - Vancouver (brackets) - Jonna Bouwknegt</vt:lpwstr>
  </property>
  <property fmtid="{D5CDD505-2E9C-101B-9397-08002B2CF9AE}" pid="20" name="Mendeley Recent Style Id 9_1">
    <vt:lpwstr>http://csl.mendeley.com/styles/485316391/ThesisJB</vt:lpwstr>
  </property>
  <property fmtid="{D5CDD505-2E9C-101B-9397-08002B2CF9AE}" pid="21" name="Mendeley Recent Style Name 9_1">
    <vt:lpwstr>Thesis_JB</vt:lpwstr>
  </property>
  <property fmtid="{D5CDD505-2E9C-101B-9397-08002B2CF9AE}" pid="22" name="Mendeley Document_1">
    <vt:lpwstr>True</vt:lpwstr>
  </property>
  <property fmtid="{D5CDD505-2E9C-101B-9397-08002B2CF9AE}" pid="23" name="Mendeley Unique User Id_1">
    <vt:lpwstr>63763217-e71b-3a38-ac9b-3af3c48f3f2f</vt:lpwstr>
  </property>
  <property fmtid="{D5CDD505-2E9C-101B-9397-08002B2CF9AE}" pid="24" name="Mendeley Citation Style_1">
    <vt:lpwstr>https://csl.mendeley.com/styles/485316391/FungalBiologyBiotechnology-JB</vt:lpwstr>
  </property>
</Properties>
</file>