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8F123" w14:textId="77777777" w:rsidR="00AC4CFC" w:rsidRPr="00AC4CFC" w:rsidRDefault="00AC4CFC" w:rsidP="00AC4CFC">
      <w:pPr>
        <w:rPr>
          <w:b/>
          <w:bCs/>
          <w:lang w:val="it-IT"/>
        </w:rPr>
      </w:pPr>
      <w:r w:rsidRPr="00AC4CFC">
        <w:rPr>
          <w:b/>
          <w:bCs/>
          <w:lang w:val="it-IT"/>
        </w:rPr>
        <w:t>APPENDIX A</w:t>
      </w:r>
    </w:p>
    <w:p w14:paraId="2027C7A6" w14:textId="77777777" w:rsidR="00AC4CFC" w:rsidRPr="00AC4CFC" w:rsidRDefault="00AC4CFC" w:rsidP="00AC4CFC">
      <w:pPr>
        <w:rPr>
          <w:b/>
          <w:bCs/>
          <w:lang w:val="it-IT"/>
        </w:rPr>
      </w:pPr>
      <w:r w:rsidRPr="00AC4CFC">
        <w:rPr>
          <w:b/>
          <w:bCs/>
          <w:lang w:val="it-IT"/>
        </w:rPr>
        <w:t>PRI ALGORITHM (PSEUDOCODE)</w:t>
      </w:r>
    </w:p>
    <w:p w14:paraId="3122EF6A" w14:textId="77777777" w:rsidR="00AC4CFC" w:rsidRPr="00AC4CFC" w:rsidRDefault="00AC4CFC" w:rsidP="00AC4CFC">
      <w:pPr>
        <w:rPr>
          <w:lang w:val="it-IT"/>
        </w:rPr>
      </w:pPr>
    </w:p>
    <w:p w14:paraId="2447939F" w14:textId="77777777" w:rsidR="00AC4CFC" w:rsidRPr="00AC4CFC" w:rsidRDefault="00AC4CFC" w:rsidP="00AC4CFC">
      <w:pPr>
        <w:rPr>
          <w:lang w:val="en-US"/>
        </w:rPr>
      </w:pPr>
      <w:r w:rsidRPr="00AC4CFC">
        <w:rPr>
          <w:lang w:val="en-US"/>
        </w:rPr>
        <w:t>Input: Graph G(</w:t>
      </w:r>
      <w:proofErr w:type="gramStart"/>
      <w:r w:rsidRPr="00AC4CFC">
        <w:rPr>
          <w:lang w:val="en-US"/>
        </w:rPr>
        <w:t>V,E</w:t>
      </w:r>
      <w:proofErr w:type="gramEnd"/>
      <w:r w:rsidRPr="00AC4CFC">
        <w:rPr>
          <w:lang w:val="en-US"/>
        </w:rPr>
        <w:t xml:space="preserve">), with parameters </w:t>
      </w:r>
      <w:proofErr w:type="spellStart"/>
      <w:r w:rsidRPr="00AC4CFC">
        <w:rPr>
          <w:lang w:val="en-US"/>
        </w:rPr>
        <w:t>p_i</w:t>
      </w:r>
      <w:proofErr w:type="spellEnd"/>
      <w:r w:rsidRPr="00AC4CFC">
        <w:rPr>
          <w:lang w:val="en-US"/>
        </w:rPr>
        <w:t xml:space="preserve">, </w:t>
      </w:r>
      <w:proofErr w:type="spellStart"/>
      <w:r w:rsidRPr="00AC4CFC">
        <w:rPr>
          <w:lang w:val="en-US"/>
        </w:rPr>
        <w:t>k_i</w:t>
      </w:r>
      <w:proofErr w:type="spellEnd"/>
      <w:r w:rsidRPr="00AC4CFC">
        <w:rPr>
          <w:lang w:val="en-US"/>
        </w:rPr>
        <w:t xml:space="preserve">, </w:t>
      </w:r>
      <w:proofErr w:type="spellStart"/>
      <w:r w:rsidRPr="00AC4CFC">
        <w:rPr>
          <w:lang w:val="en-US"/>
        </w:rPr>
        <w:t>r_i</w:t>
      </w:r>
      <w:proofErr w:type="spellEnd"/>
      <w:r w:rsidRPr="00AC4CFC">
        <w:rPr>
          <w:lang w:val="en-US"/>
        </w:rPr>
        <w:t xml:space="preserve">, </w:t>
      </w:r>
      <w:proofErr w:type="spellStart"/>
      <w:r w:rsidRPr="00AC4CFC">
        <w:rPr>
          <w:lang w:val="en-US"/>
        </w:rPr>
        <w:t>c_i</w:t>
      </w:r>
      <w:proofErr w:type="spellEnd"/>
      <w:r w:rsidRPr="00AC4CFC">
        <w:rPr>
          <w:lang w:val="en-US"/>
        </w:rPr>
        <w:t xml:space="preserve"> for each node </w:t>
      </w:r>
      <w:proofErr w:type="spellStart"/>
      <w:r w:rsidRPr="00AC4CFC">
        <w:rPr>
          <w:lang w:val="en-US"/>
        </w:rPr>
        <w:t>i</w:t>
      </w:r>
      <w:proofErr w:type="spellEnd"/>
    </w:p>
    <w:p w14:paraId="68F6F3A1" w14:textId="77777777" w:rsidR="00AC4CFC" w:rsidRPr="00AC4CFC" w:rsidRDefault="00AC4CFC" w:rsidP="00AC4CFC">
      <w:pPr>
        <w:rPr>
          <w:lang w:val="en-US"/>
        </w:rPr>
      </w:pPr>
      <w:r w:rsidRPr="00AC4CFC">
        <w:rPr>
          <w:lang w:val="en-US"/>
        </w:rPr>
        <w:t>Output: PRI value</w:t>
      </w:r>
    </w:p>
    <w:p w14:paraId="64ED6285" w14:textId="77777777" w:rsidR="00AC4CFC" w:rsidRPr="00AC4CFC" w:rsidRDefault="00AC4CFC" w:rsidP="00AC4CFC">
      <w:pPr>
        <w:rPr>
          <w:lang w:val="en-US"/>
        </w:rPr>
      </w:pPr>
    </w:p>
    <w:p w14:paraId="01E96BE6" w14:textId="77777777" w:rsidR="00AC4CFC" w:rsidRPr="00AC4CFC" w:rsidRDefault="00AC4CFC" w:rsidP="00AC4CFC">
      <w:pPr>
        <w:rPr>
          <w:lang w:val="en-US"/>
        </w:rPr>
      </w:pPr>
      <w:r w:rsidRPr="00AC4CFC">
        <w:rPr>
          <w:lang w:val="en-US"/>
        </w:rPr>
        <w:t>Initialize sum = 0</w:t>
      </w:r>
    </w:p>
    <w:p w14:paraId="72DD1963" w14:textId="77777777" w:rsidR="00AC4CFC" w:rsidRPr="00AC4CFC" w:rsidRDefault="00AC4CFC" w:rsidP="00AC4CFC">
      <w:pPr>
        <w:rPr>
          <w:lang w:val="en-US"/>
        </w:rPr>
      </w:pPr>
      <w:r w:rsidRPr="00AC4CFC">
        <w:rPr>
          <w:lang w:val="en-US"/>
        </w:rPr>
        <w:t xml:space="preserve">For each node </w:t>
      </w:r>
      <w:proofErr w:type="spellStart"/>
      <w:r w:rsidRPr="00AC4CFC">
        <w:rPr>
          <w:lang w:val="en-US"/>
        </w:rPr>
        <w:t>i</w:t>
      </w:r>
      <w:proofErr w:type="spellEnd"/>
      <w:r w:rsidRPr="00AC4CFC">
        <w:rPr>
          <w:lang w:val="en-US"/>
        </w:rPr>
        <w:t xml:space="preserve"> in V:</w:t>
      </w:r>
    </w:p>
    <w:p w14:paraId="2723EC12" w14:textId="77777777" w:rsidR="00AC4CFC" w:rsidRPr="00AC4CFC" w:rsidRDefault="00AC4CFC" w:rsidP="00AC4CFC">
      <w:pPr>
        <w:rPr>
          <w:lang w:val="en-US"/>
        </w:rPr>
      </w:pPr>
      <w:r w:rsidRPr="00AC4CFC">
        <w:rPr>
          <w:lang w:val="en-US"/>
        </w:rPr>
        <w:t xml:space="preserve">    </w:t>
      </w:r>
      <w:proofErr w:type="spellStart"/>
      <w:r w:rsidRPr="00AC4CFC">
        <w:rPr>
          <w:lang w:val="en-US"/>
        </w:rPr>
        <w:t>risk_i</w:t>
      </w:r>
      <w:proofErr w:type="spellEnd"/>
      <w:r w:rsidRPr="00AC4CFC">
        <w:rPr>
          <w:lang w:val="en-US"/>
        </w:rPr>
        <w:t xml:space="preserve"> = </w:t>
      </w:r>
      <w:proofErr w:type="spellStart"/>
      <w:r w:rsidRPr="00AC4CFC">
        <w:rPr>
          <w:lang w:val="en-US"/>
        </w:rPr>
        <w:t>p_i</w:t>
      </w:r>
      <w:proofErr w:type="spellEnd"/>
      <w:r w:rsidRPr="00AC4CFC">
        <w:rPr>
          <w:lang w:val="en-US"/>
        </w:rPr>
        <w:t xml:space="preserve"> * </w:t>
      </w:r>
      <w:proofErr w:type="spellStart"/>
      <w:r w:rsidRPr="00AC4CFC">
        <w:rPr>
          <w:lang w:val="en-US"/>
        </w:rPr>
        <w:t>k_i</w:t>
      </w:r>
      <w:proofErr w:type="spellEnd"/>
      <w:r w:rsidRPr="00AC4CFC">
        <w:rPr>
          <w:lang w:val="en-US"/>
        </w:rPr>
        <w:t xml:space="preserve"> * (1 - </w:t>
      </w:r>
      <w:proofErr w:type="spellStart"/>
      <w:r w:rsidRPr="00AC4CFC">
        <w:rPr>
          <w:lang w:val="en-US"/>
        </w:rPr>
        <w:t>r_i</w:t>
      </w:r>
      <w:proofErr w:type="spellEnd"/>
      <w:r w:rsidRPr="00AC4CFC">
        <w:rPr>
          <w:lang w:val="en-US"/>
        </w:rPr>
        <w:t xml:space="preserve">) * </w:t>
      </w:r>
      <w:proofErr w:type="spellStart"/>
      <w:r w:rsidRPr="00AC4CFC">
        <w:rPr>
          <w:lang w:val="en-US"/>
        </w:rPr>
        <w:t>c_i</w:t>
      </w:r>
      <w:proofErr w:type="spellEnd"/>
    </w:p>
    <w:p w14:paraId="282437BF" w14:textId="77777777" w:rsidR="00AC4CFC" w:rsidRPr="00AC4CFC" w:rsidRDefault="00AC4CFC" w:rsidP="00AC4CFC">
      <w:pPr>
        <w:rPr>
          <w:lang w:val="en-US"/>
        </w:rPr>
      </w:pPr>
      <w:r w:rsidRPr="00AC4CFC">
        <w:rPr>
          <w:lang w:val="en-US"/>
        </w:rPr>
        <w:t xml:space="preserve">    sum = sum + </w:t>
      </w:r>
      <w:proofErr w:type="spellStart"/>
      <w:r w:rsidRPr="00AC4CFC">
        <w:rPr>
          <w:lang w:val="en-US"/>
        </w:rPr>
        <w:t>risk_i</w:t>
      </w:r>
      <w:proofErr w:type="spellEnd"/>
    </w:p>
    <w:p w14:paraId="107B5FA0" w14:textId="77777777" w:rsidR="00AC4CFC" w:rsidRPr="00AC4CFC" w:rsidRDefault="00AC4CFC" w:rsidP="00AC4CFC">
      <w:pPr>
        <w:rPr>
          <w:lang w:val="it-IT"/>
        </w:rPr>
      </w:pPr>
      <w:r w:rsidRPr="00AC4CFC">
        <w:rPr>
          <w:lang w:val="it-IT"/>
        </w:rPr>
        <w:t>PRI = sum / N</w:t>
      </w:r>
    </w:p>
    <w:p w14:paraId="68102A4E" w14:textId="77777777" w:rsidR="00AC4CFC" w:rsidRPr="00AC4CFC" w:rsidRDefault="00AC4CFC" w:rsidP="00AC4CFC">
      <w:pPr>
        <w:rPr>
          <w:lang w:val="it-IT"/>
        </w:rPr>
      </w:pPr>
      <w:r w:rsidRPr="00AC4CFC">
        <w:rPr>
          <w:lang w:val="it-IT"/>
        </w:rPr>
        <w:t>Return PRI</w:t>
      </w:r>
    </w:p>
    <w:p w14:paraId="4F33E07B" w14:textId="77777777" w:rsidR="00AC4CFC" w:rsidRPr="00AC4CFC" w:rsidRDefault="00AC4CFC" w:rsidP="00AC4CFC">
      <w:pPr>
        <w:rPr>
          <w:b/>
          <w:bCs/>
          <w:lang w:val="it-IT"/>
        </w:rPr>
      </w:pPr>
    </w:p>
    <w:p w14:paraId="1437A8FA" w14:textId="77777777" w:rsidR="00AC4CFC" w:rsidRPr="00AC4CFC" w:rsidRDefault="00AC4CFC" w:rsidP="00AC4CFC">
      <w:pPr>
        <w:rPr>
          <w:b/>
          <w:bCs/>
          <w:lang w:val="it-IT"/>
        </w:rPr>
      </w:pPr>
      <w:r w:rsidRPr="00AC4CFC">
        <w:rPr>
          <w:b/>
          <w:bCs/>
          <w:lang w:val="it-IT"/>
        </w:rPr>
        <w:t>APPENDIX B</w:t>
      </w:r>
    </w:p>
    <w:p w14:paraId="365A2D94" w14:textId="77777777" w:rsidR="00AC4CFC" w:rsidRPr="00AC4CFC" w:rsidRDefault="00AC4CFC" w:rsidP="00AC4CFC">
      <w:pPr>
        <w:rPr>
          <w:b/>
          <w:bCs/>
          <w:lang w:val="en-US"/>
        </w:rPr>
      </w:pPr>
      <w:r w:rsidRPr="00AC4CFC">
        <w:rPr>
          <w:b/>
          <w:bCs/>
          <w:lang w:val="en-US"/>
        </w:rPr>
        <w:t>SIMULATION PARAMETERS</w:t>
      </w:r>
    </w:p>
    <w:p w14:paraId="3C93476E" w14:textId="77777777" w:rsidR="00AC4CFC" w:rsidRPr="00AC4CFC" w:rsidRDefault="00AC4CFC" w:rsidP="00AC4CFC">
      <w:pPr>
        <w:rPr>
          <w:lang w:val="en-US"/>
        </w:rPr>
      </w:pPr>
      <w:r w:rsidRPr="00AC4CFC">
        <w:rPr>
          <w:lang w:val="en-US"/>
        </w:rPr>
        <w:t>TABLE II. SIMULATION PARAMETERS AND NETWORK CONFIGURATIONS</w:t>
      </w:r>
    </w:p>
    <w:tbl>
      <w:tblPr>
        <w:tblW w:w="5000" w:type="pct"/>
        <w:tblLook w:val="0020" w:firstRow="1" w:lastRow="0" w:firstColumn="0" w:lastColumn="0" w:noHBand="0" w:noVBand="0"/>
      </w:tblPr>
      <w:tblGrid>
        <w:gridCol w:w="3027"/>
        <w:gridCol w:w="5999"/>
      </w:tblGrid>
      <w:tr w:rsidR="00AC4CFC" w:rsidRPr="00AC4CFC" w14:paraId="381EF293" w14:textId="77777777" w:rsidTr="00AC4CFC">
        <w:trPr>
          <w:tblHeader/>
        </w:trPr>
        <w:tc>
          <w:tcPr>
            <w:tcW w:w="0" w:type="auto"/>
            <w:hideMark/>
          </w:tcPr>
          <w:p w14:paraId="7928176E" w14:textId="77777777" w:rsidR="00AC4CFC" w:rsidRPr="00AC4CFC" w:rsidRDefault="00AC4CFC" w:rsidP="00AC4CFC">
            <w:pPr>
              <w:rPr>
                <w:i/>
                <w:iCs/>
                <w:lang w:val="en-US"/>
              </w:rPr>
            </w:pPr>
            <w:r w:rsidRPr="00AC4CFC">
              <w:rPr>
                <w:i/>
                <w:iCs/>
                <w:lang w:val="en-US"/>
              </w:rPr>
              <w:t>Parameter</w:t>
            </w:r>
          </w:p>
        </w:tc>
        <w:tc>
          <w:tcPr>
            <w:tcW w:w="0" w:type="auto"/>
            <w:hideMark/>
          </w:tcPr>
          <w:p w14:paraId="1217DA50" w14:textId="77777777" w:rsidR="00AC4CFC" w:rsidRPr="00AC4CFC" w:rsidRDefault="00AC4CFC" w:rsidP="00AC4CFC">
            <w:pPr>
              <w:rPr>
                <w:i/>
                <w:iCs/>
                <w:lang w:val="en-US"/>
              </w:rPr>
            </w:pPr>
            <w:r w:rsidRPr="00AC4CFC">
              <w:rPr>
                <w:i/>
                <w:iCs/>
                <w:lang w:val="en-US"/>
              </w:rPr>
              <w:t>Value / Distribution</w:t>
            </w:r>
          </w:p>
        </w:tc>
      </w:tr>
      <w:tr w:rsidR="00AC4CFC" w:rsidRPr="00AC4CFC" w14:paraId="014C83B1" w14:textId="77777777" w:rsidTr="00AC4CFC">
        <w:tc>
          <w:tcPr>
            <w:tcW w:w="0" w:type="auto"/>
            <w:hideMark/>
          </w:tcPr>
          <w:p w14:paraId="164CBE22" w14:textId="77777777" w:rsidR="00AC4CFC" w:rsidRPr="00AC4CFC" w:rsidRDefault="00AC4CFC" w:rsidP="00AC4CFC">
            <w:pPr>
              <w:rPr>
                <w:lang w:val="en-US"/>
              </w:rPr>
            </w:pPr>
            <w:r w:rsidRPr="00AC4CFC">
              <w:rPr>
                <w:lang w:val="en-US"/>
              </w:rPr>
              <w:t>Number of nodes (N)</w:t>
            </w:r>
          </w:p>
        </w:tc>
        <w:tc>
          <w:tcPr>
            <w:tcW w:w="0" w:type="auto"/>
            <w:hideMark/>
          </w:tcPr>
          <w:p w14:paraId="1926D1D4" w14:textId="77777777" w:rsidR="00AC4CFC" w:rsidRPr="00AC4CFC" w:rsidRDefault="00AC4CFC" w:rsidP="00AC4CFC">
            <w:pPr>
              <w:rPr>
                <w:lang w:val="en-US"/>
              </w:rPr>
            </w:pPr>
            <w:r w:rsidRPr="00AC4CFC">
              <w:rPr>
                <w:lang w:val="en-US"/>
              </w:rPr>
              <w:t>50, 100</w:t>
            </w:r>
          </w:p>
        </w:tc>
      </w:tr>
      <w:tr w:rsidR="00AC4CFC" w:rsidRPr="00AC4CFC" w14:paraId="4BF1F451" w14:textId="77777777" w:rsidTr="00AC4CFC">
        <w:tc>
          <w:tcPr>
            <w:tcW w:w="0" w:type="auto"/>
            <w:hideMark/>
          </w:tcPr>
          <w:p w14:paraId="6F64D053" w14:textId="77777777" w:rsidR="00AC4CFC" w:rsidRPr="00AC4CFC" w:rsidRDefault="00AC4CFC" w:rsidP="00AC4CFC">
            <w:pPr>
              <w:rPr>
                <w:lang w:val="en-US"/>
              </w:rPr>
            </w:pPr>
            <w:r w:rsidRPr="00AC4CFC">
              <w:rPr>
                <w:lang w:val="en-US"/>
              </w:rPr>
              <w:t>Error probability (</w:t>
            </w:r>
            <w:proofErr w:type="spellStart"/>
            <w:r w:rsidRPr="00AC4CFC">
              <w:rPr>
                <w:lang w:val="en-US"/>
              </w:rPr>
              <w:t>p_i</w:t>
            </w:r>
            <w:proofErr w:type="spellEnd"/>
            <w:r w:rsidRPr="00AC4CFC">
              <w:rPr>
                <w:lang w:val="en-US"/>
              </w:rPr>
              <w:t>)</w:t>
            </w:r>
          </w:p>
        </w:tc>
        <w:tc>
          <w:tcPr>
            <w:tcW w:w="0" w:type="auto"/>
            <w:hideMark/>
          </w:tcPr>
          <w:p w14:paraId="0998F4BF" w14:textId="77777777" w:rsidR="00AC4CFC" w:rsidRPr="00AC4CFC" w:rsidRDefault="00AC4CFC" w:rsidP="00AC4CFC">
            <w:pPr>
              <w:rPr>
                <w:lang w:val="en-US"/>
              </w:rPr>
            </w:pPr>
            <w:proofErr w:type="gramStart"/>
            <w:r w:rsidRPr="00AC4CFC">
              <w:rPr>
                <w:lang w:val="en-US"/>
              </w:rPr>
              <w:t>Uniform[</w:t>
            </w:r>
            <w:proofErr w:type="gramEnd"/>
            <w:r w:rsidRPr="00AC4CFC">
              <w:rPr>
                <w:lang w:val="en-US"/>
              </w:rPr>
              <w:t>0, 0.2]</w:t>
            </w:r>
          </w:p>
        </w:tc>
      </w:tr>
      <w:tr w:rsidR="00AC4CFC" w:rsidRPr="00AC4CFC" w14:paraId="3EC80F06" w14:textId="77777777" w:rsidTr="00AC4CFC">
        <w:tc>
          <w:tcPr>
            <w:tcW w:w="0" w:type="auto"/>
            <w:hideMark/>
          </w:tcPr>
          <w:p w14:paraId="1C36925B" w14:textId="77777777" w:rsidR="00AC4CFC" w:rsidRPr="00AC4CFC" w:rsidRDefault="00AC4CFC" w:rsidP="00AC4CFC">
            <w:pPr>
              <w:rPr>
                <w:lang w:val="en-US"/>
              </w:rPr>
            </w:pPr>
            <w:r w:rsidRPr="00AC4CFC">
              <w:rPr>
                <w:lang w:val="en-US"/>
              </w:rPr>
              <w:t>Resilience factor (</w:t>
            </w:r>
            <w:proofErr w:type="spellStart"/>
            <w:r w:rsidRPr="00AC4CFC">
              <w:rPr>
                <w:lang w:val="en-US"/>
              </w:rPr>
              <w:t>r_i</w:t>
            </w:r>
            <w:proofErr w:type="spellEnd"/>
            <w:r w:rsidRPr="00AC4CFC">
              <w:rPr>
                <w:lang w:val="en-US"/>
              </w:rPr>
              <w:t>)</w:t>
            </w:r>
          </w:p>
        </w:tc>
        <w:tc>
          <w:tcPr>
            <w:tcW w:w="0" w:type="auto"/>
            <w:hideMark/>
          </w:tcPr>
          <w:p w14:paraId="7499791C" w14:textId="77777777" w:rsidR="00AC4CFC" w:rsidRPr="00AC4CFC" w:rsidRDefault="00AC4CFC" w:rsidP="00AC4CFC">
            <w:pPr>
              <w:rPr>
                <w:lang w:val="en-US"/>
              </w:rPr>
            </w:pPr>
            <w:r w:rsidRPr="00AC4CFC">
              <w:rPr>
                <w:lang w:val="en-US"/>
              </w:rPr>
              <w:t>0.0, 0.3, 0.7, 1.0</w:t>
            </w:r>
          </w:p>
        </w:tc>
      </w:tr>
      <w:tr w:rsidR="00AC4CFC" w:rsidRPr="00AC4CFC" w14:paraId="0FA4025C" w14:textId="77777777" w:rsidTr="00AC4CFC">
        <w:tc>
          <w:tcPr>
            <w:tcW w:w="0" w:type="auto"/>
            <w:hideMark/>
          </w:tcPr>
          <w:p w14:paraId="1BF529BB" w14:textId="77777777" w:rsidR="00AC4CFC" w:rsidRPr="00AC4CFC" w:rsidRDefault="00AC4CFC" w:rsidP="00AC4CFC">
            <w:pPr>
              <w:rPr>
                <w:lang w:val="en-US"/>
              </w:rPr>
            </w:pPr>
            <w:r w:rsidRPr="00AC4CFC">
              <w:rPr>
                <w:lang w:val="en-US"/>
              </w:rPr>
              <w:t>Criticality factor (</w:t>
            </w:r>
            <w:proofErr w:type="spellStart"/>
            <w:r w:rsidRPr="00AC4CFC">
              <w:rPr>
                <w:lang w:val="en-US"/>
              </w:rPr>
              <w:t>c_i</w:t>
            </w:r>
            <w:proofErr w:type="spellEnd"/>
            <w:r w:rsidRPr="00AC4CFC">
              <w:rPr>
                <w:lang w:val="en-US"/>
              </w:rPr>
              <w:t>)</w:t>
            </w:r>
          </w:p>
        </w:tc>
        <w:tc>
          <w:tcPr>
            <w:tcW w:w="0" w:type="auto"/>
            <w:hideMark/>
          </w:tcPr>
          <w:p w14:paraId="274EA887" w14:textId="77777777" w:rsidR="00AC4CFC" w:rsidRPr="00AC4CFC" w:rsidRDefault="00AC4CFC" w:rsidP="00AC4CFC">
            <w:pPr>
              <w:rPr>
                <w:lang w:val="en-US"/>
              </w:rPr>
            </w:pPr>
            <w:r w:rsidRPr="00AC4CFC">
              <w:rPr>
                <w:lang w:val="en-US"/>
              </w:rPr>
              <w:t>1.0 (default), 1.2 (hospital), 2.0 (major airport)</w:t>
            </w:r>
          </w:p>
        </w:tc>
      </w:tr>
      <w:tr w:rsidR="00AC4CFC" w:rsidRPr="00AC4CFC" w14:paraId="31B1743C" w14:textId="77777777" w:rsidTr="00AC4CFC">
        <w:tc>
          <w:tcPr>
            <w:tcW w:w="0" w:type="auto"/>
            <w:hideMark/>
          </w:tcPr>
          <w:p w14:paraId="21FB498F" w14:textId="77777777" w:rsidR="00AC4CFC" w:rsidRPr="00AC4CFC" w:rsidRDefault="00AC4CFC" w:rsidP="00AC4CFC">
            <w:pPr>
              <w:rPr>
                <w:lang w:val="en-US"/>
              </w:rPr>
            </w:pPr>
            <w:r w:rsidRPr="00AC4CFC">
              <w:rPr>
                <w:lang w:val="en-US"/>
              </w:rPr>
              <w:t>Topology (Healthcare)</w:t>
            </w:r>
          </w:p>
        </w:tc>
        <w:tc>
          <w:tcPr>
            <w:tcW w:w="0" w:type="auto"/>
            <w:hideMark/>
          </w:tcPr>
          <w:p w14:paraId="4041A706" w14:textId="77777777" w:rsidR="00AC4CFC" w:rsidRPr="00AC4CFC" w:rsidRDefault="00AC4CFC" w:rsidP="00AC4CFC">
            <w:pPr>
              <w:rPr>
                <w:lang w:val="en-US"/>
              </w:rPr>
            </w:pPr>
            <w:r w:rsidRPr="00AC4CFC">
              <w:rPr>
                <w:lang w:val="en-US"/>
              </w:rPr>
              <w:t>Erdős–Rényi, Star</w:t>
            </w:r>
          </w:p>
        </w:tc>
      </w:tr>
      <w:tr w:rsidR="00AC4CFC" w:rsidRPr="00AC4CFC" w14:paraId="7109C3A3" w14:textId="77777777" w:rsidTr="00AC4CFC">
        <w:tc>
          <w:tcPr>
            <w:tcW w:w="0" w:type="auto"/>
            <w:hideMark/>
          </w:tcPr>
          <w:p w14:paraId="7FC50094" w14:textId="77777777" w:rsidR="00AC4CFC" w:rsidRPr="00AC4CFC" w:rsidRDefault="00AC4CFC" w:rsidP="00AC4CFC">
            <w:pPr>
              <w:rPr>
                <w:lang w:val="en-US"/>
              </w:rPr>
            </w:pPr>
            <w:r w:rsidRPr="00AC4CFC">
              <w:rPr>
                <w:lang w:val="en-US"/>
              </w:rPr>
              <w:t>Topology (Aviation)</w:t>
            </w:r>
          </w:p>
        </w:tc>
        <w:tc>
          <w:tcPr>
            <w:tcW w:w="0" w:type="auto"/>
            <w:hideMark/>
          </w:tcPr>
          <w:p w14:paraId="43B4255A" w14:textId="77777777" w:rsidR="00AC4CFC" w:rsidRPr="00AC4CFC" w:rsidRDefault="00AC4CFC" w:rsidP="00AC4CFC">
            <w:pPr>
              <w:rPr>
                <w:lang w:val="en-US"/>
              </w:rPr>
            </w:pPr>
            <w:r w:rsidRPr="00AC4CFC">
              <w:rPr>
                <w:lang w:val="en-US"/>
              </w:rPr>
              <w:t>Hub-and-spoke, 10–20% hubs</w:t>
            </w:r>
          </w:p>
        </w:tc>
      </w:tr>
      <w:tr w:rsidR="00AC4CFC" w:rsidRPr="00AC4CFC" w14:paraId="65B19E79" w14:textId="77777777" w:rsidTr="00AC4CFC">
        <w:tc>
          <w:tcPr>
            <w:tcW w:w="0" w:type="auto"/>
            <w:hideMark/>
          </w:tcPr>
          <w:p w14:paraId="1EA32B2B" w14:textId="77777777" w:rsidR="00AC4CFC" w:rsidRPr="00AC4CFC" w:rsidRDefault="00AC4CFC" w:rsidP="00AC4CFC">
            <w:pPr>
              <w:rPr>
                <w:lang w:val="en-US"/>
              </w:rPr>
            </w:pPr>
            <w:r w:rsidRPr="00AC4CFC">
              <w:rPr>
                <w:lang w:val="en-US"/>
              </w:rPr>
              <w:t>Simulation runs</w:t>
            </w:r>
          </w:p>
        </w:tc>
        <w:tc>
          <w:tcPr>
            <w:tcW w:w="0" w:type="auto"/>
            <w:hideMark/>
          </w:tcPr>
          <w:p w14:paraId="74BBDA46" w14:textId="77777777" w:rsidR="00AC4CFC" w:rsidRPr="00AC4CFC" w:rsidRDefault="00AC4CFC" w:rsidP="00AC4CFC">
            <w:pPr>
              <w:rPr>
                <w:lang w:val="en-US"/>
              </w:rPr>
            </w:pPr>
            <w:r w:rsidRPr="00AC4CFC">
              <w:rPr>
                <w:lang w:val="en-US"/>
              </w:rPr>
              <w:t>1000 (Monte Carlo)</w:t>
            </w:r>
          </w:p>
        </w:tc>
      </w:tr>
    </w:tbl>
    <w:p w14:paraId="6A196949" w14:textId="77777777" w:rsidR="00AC4CFC" w:rsidRPr="00AC4CFC" w:rsidRDefault="00AC4CFC" w:rsidP="00AC4CFC">
      <w:pPr>
        <w:rPr>
          <w:lang w:val="en-US"/>
        </w:rPr>
      </w:pPr>
    </w:p>
    <w:p w14:paraId="6BE913D9" w14:textId="77777777" w:rsidR="00AC4CFC" w:rsidRPr="00AC4CFC" w:rsidRDefault="00AC4CFC" w:rsidP="00AC4CFC">
      <w:pPr>
        <w:rPr>
          <w:b/>
          <w:bCs/>
          <w:lang w:val="en-US"/>
        </w:rPr>
      </w:pPr>
      <w:r w:rsidRPr="00AC4CFC">
        <w:rPr>
          <w:b/>
          <w:bCs/>
          <w:lang w:val="en-US"/>
        </w:rPr>
        <w:t>APPENDIX C</w:t>
      </w:r>
    </w:p>
    <w:p w14:paraId="67AB4F1C" w14:textId="77777777" w:rsidR="00AC4CFC" w:rsidRPr="00AC4CFC" w:rsidRDefault="00AC4CFC" w:rsidP="00AC4CFC">
      <w:pPr>
        <w:rPr>
          <w:i/>
          <w:iCs/>
          <w:lang w:val="en-US"/>
        </w:rPr>
      </w:pPr>
      <w:r w:rsidRPr="00AC4CFC">
        <w:rPr>
          <w:b/>
          <w:bCs/>
          <w:lang w:val="en-US"/>
        </w:rPr>
        <w:t>BASELINE COMPARISON RESULTS</w:t>
      </w:r>
    </w:p>
    <w:p w14:paraId="3206D8F0" w14:textId="5C8BA9A2" w:rsidR="00AC4CFC" w:rsidRPr="00AC4CFC" w:rsidRDefault="00AC4CFC" w:rsidP="00AC4CFC">
      <w:pPr>
        <w:rPr>
          <w:i/>
          <w:iCs/>
          <w:lang w:val="en-US"/>
        </w:rPr>
      </w:pPr>
      <w:r w:rsidRPr="00AC4CFC">
        <w:rPr>
          <w:i/>
          <w:lang w:val="en-US"/>
        </w:rPr>
        <w:lastRenderedPageBreak/>
        <w:drawing>
          <wp:inline distT="0" distB="0" distL="0" distR="0" wp14:anchorId="0D1BC071" wp14:editId="38E5A22F">
            <wp:extent cx="4314825" cy="2257425"/>
            <wp:effectExtent l="0" t="0" r="9525" b="9525"/>
            <wp:docPr id="18610753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14825" cy="2257425"/>
                    </a:xfrm>
                    <a:prstGeom prst="rect">
                      <a:avLst/>
                    </a:prstGeom>
                    <a:noFill/>
                    <a:ln>
                      <a:noFill/>
                    </a:ln>
                  </pic:spPr>
                </pic:pic>
              </a:graphicData>
            </a:graphic>
          </wp:inline>
        </w:drawing>
      </w:r>
    </w:p>
    <w:p w14:paraId="4BBD3B04" w14:textId="77777777" w:rsidR="00AC4CFC" w:rsidRPr="00AC4CFC" w:rsidRDefault="00AC4CFC" w:rsidP="00AC4CFC">
      <w:pPr>
        <w:rPr>
          <w:i/>
          <w:iCs/>
          <w:lang w:val="en-US"/>
        </w:rPr>
      </w:pPr>
      <w:r w:rsidRPr="00AC4CFC">
        <w:rPr>
          <w:i/>
          <w:iCs/>
          <w:lang w:val="en-US"/>
        </w:rPr>
        <w:t>Figure 5. PRI vs Classical Centralities Performance Comparison. Precision@10% results show PRI outperforms degree centrality by 15-25% in heterogeneous resilience scenarios while matching performance in uniform scenarios, confirming the framework’s advantage in realistic infrastructure settings.</w:t>
      </w:r>
    </w:p>
    <w:p w14:paraId="358DDB66" w14:textId="77777777" w:rsidR="00AC4CFC" w:rsidRPr="00AC4CFC" w:rsidRDefault="00AC4CFC" w:rsidP="00AC4CFC">
      <w:pPr>
        <w:rPr>
          <w:b/>
          <w:bCs/>
          <w:lang w:val="en-US"/>
        </w:rPr>
      </w:pPr>
    </w:p>
    <w:p w14:paraId="1E26B4D1" w14:textId="77777777" w:rsidR="00AC4CFC" w:rsidRPr="00AC4CFC" w:rsidRDefault="00AC4CFC" w:rsidP="00AC4CFC">
      <w:pPr>
        <w:rPr>
          <w:b/>
          <w:bCs/>
          <w:lang w:val="en-US"/>
        </w:rPr>
      </w:pPr>
      <w:r w:rsidRPr="00AC4CFC">
        <w:rPr>
          <w:b/>
          <w:bCs/>
          <w:lang w:val="en-US"/>
        </w:rPr>
        <w:t>APPENDIX D</w:t>
      </w:r>
    </w:p>
    <w:p w14:paraId="4DF38AD2" w14:textId="77777777" w:rsidR="00AC4CFC" w:rsidRPr="00AC4CFC" w:rsidRDefault="00AC4CFC" w:rsidP="00AC4CFC">
      <w:pPr>
        <w:rPr>
          <w:b/>
          <w:bCs/>
          <w:lang w:val="en-US"/>
        </w:rPr>
      </w:pPr>
      <w:r w:rsidRPr="00AC4CFC">
        <w:rPr>
          <w:b/>
          <w:bCs/>
          <w:lang w:val="en-US"/>
        </w:rPr>
        <w:t>SENSITIVITY ANALYSIS AND SYNTHETIC LITHUANIA NETWORK</w:t>
      </w:r>
    </w:p>
    <w:p w14:paraId="13216C6A" w14:textId="77777777" w:rsidR="00AC4CFC" w:rsidRPr="00AC4CFC" w:rsidRDefault="00AC4CFC" w:rsidP="00AC4CFC">
      <w:pPr>
        <w:rPr>
          <w:b/>
          <w:bCs/>
          <w:lang w:val="en-US"/>
        </w:rPr>
      </w:pPr>
    </w:p>
    <w:p w14:paraId="0448D4FC" w14:textId="77777777" w:rsidR="00AC4CFC" w:rsidRPr="00AC4CFC" w:rsidRDefault="00AC4CFC" w:rsidP="00AC4CFC">
      <w:pPr>
        <w:rPr>
          <w:b/>
          <w:bCs/>
          <w:lang w:val="en-US"/>
        </w:rPr>
      </w:pPr>
    </w:p>
    <w:p w14:paraId="791F7D0B" w14:textId="2FFD1289" w:rsidR="00AC4CFC" w:rsidRPr="00AC4CFC" w:rsidRDefault="00AC4CFC" w:rsidP="00AC4CFC">
      <w:pPr>
        <w:rPr>
          <w:b/>
          <w:bCs/>
          <w:lang w:val="en-US"/>
        </w:rPr>
      </w:pPr>
      <w:r w:rsidRPr="00AC4CFC">
        <w:rPr>
          <w:b/>
          <w:lang w:val="en-US"/>
        </w:rPr>
        <w:drawing>
          <wp:inline distT="0" distB="0" distL="0" distR="0" wp14:anchorId="7CB25988" wp14:editId="3E6B287D">
            <wp:extent cx="4314825" cy="2771775"/>
            <wp:effectExtent l="0" t="0" r="9525" b="9525"/>
            <wp:docPr id="21267254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4825" cy="2771775"/>
                    </a:xfrm>
                    <a:prstGeom prst="rect">
                      <a:avLst/>
                    </a:prstGeom>
                    <a:noFill/>
                    <a:ln>
                      <a:noFill/>
                    </a:ln>
                  </pic:spPr>
                </pic:pic>
              </a:graphicData>
            </a:graphic>
          </wp:inline>
        </w:drawing>
      </w:r>
    </w:p>
    <w:p w14:paraId="480D035C" w14:textId="77777777" w:rsidR="00AC4CFC" w:rsidRPr="00AC4CFC" w:rsidRDefault="00AC4CFC" w:rsidP="00AC4CFC">
      <w:pPr>
        <w:rPr>
          <w:i/>
          <w:iCs/>
          <w:lang w:val="en-US"/>
        </w:rPr>
      </w:pPr>
      <w:r w:rsidRPr="00AC4CFC">
        <w:rPr>
          <w:i/>
          <w:iCs/>
          <w:lang w:val="en-US"/>
        </w:rPr>
        <w:t>Figure 6. Sensitivity of PRI to hub fraction variation. To test robustness, we varied the hub fraction between 0.10, 0.15, and 0.20. Results confirmed that PRI values scale consistently with the proportion of hubs, demonstrating stability of the framework across different network configurations.</w:t>
      </w:r>
    </w:p>
    <w:p w14:paraId="3646BDB5" w14:textId="77777777" w:rsidR="00AC4CFC" w:rsidRPr="00AC4CFC" w:rsidRDefault="00AC4CFC" w:rsidP="00AC4CFC">
      <w:pPr>
        <w:rPr>
          <w:b/>
          <w:bCs/>
          <w:lang w:val="en-US"/>
        </w:rPr>
      </w:pPr>
    </w:p>
    <w:p w14:paraId="52E8A810" w14:textId="77777777" w:rsidR="00AC4CFC" w:rsidRPr="00AC4CFC" w:rsidRDefault="00AC4CFC" w:rsidP="00AC4CFC">
      <w:pPr>
        <w:rPr>
          <w:b/>
          <w:bCs/>
          <w:lang w:val="en-US"/>
        </w:rPr>
      </w:pPr>
    </w:p>
    <w:p w14:paraId="42844973" w14:textId="7E91EE63" w:rsidR="00AC4CFC" w:rsidRPr="00AC4CFC" w:rsidRDefault="00AC4CFC" w:rsidP="00AC4CFC">
      <w:pPr>
        <w:rPr>
          <w:i/>
          <w:iCs/>
          <w:lang w:val="en-US"/>
        </w:rPr>
      </w:pPr>
      <w:r w:rsidRPr="00AC4CFC">
        <w:rPr>
          <w:i/>
          <w:lang w:val="en-US"/>
        </w:rPr>
        <w:drawing>
          <wp:inline distT="0" distB="0" distL="0" distR="0" wp14:anchorId="6121B63B" wp14:editId="4A78278B">
            <wp:extent cx="4324350" cy="3390900"/>
            <wp:effectExtent l="0" t="0" r="0" b="0"/>
            <wp:docPr id="1592079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4350" cy="3390900"/>
                    </a:xfrm>
                    <a:prstGeom prst="rect">
                      <a:avLst/>
                    </a:prstGeom>
                    <a:noFill/>
                    <a:ln>
                      <a:noFill/>
                    </a:ln>
                  </pic:spPr>
                </pic:pic>
              </a:graphicData>
            </a:graphic>
          </wp:inline>
        </w:drawing>
      </w:r>
    </w:p>
    <w:p w14:paraId="6802A03C" w14:textId="77777777" w:rsidR="00AC4CFC" w:rsidRPr="00AC4CFC" w:rsidRDefault="00AC4CFC" w:rsidP="00AC4CFC">
      <w:pPr>
        <w:rPr>
          <w:i/>
          <w:iCs/>
          <w:lang w:val="en-US"/>
        </w:rPr>
      </w:pPr>
    </w:p>
    <w:p w14:paraId="47CA075F" w14:textId="77777777" w:rsidR="00AC4CFC" w:rsidRPr="00AC4CFC" w:rsidRDefault="00AC4CFC" w:rsidP="00AC4CFC">
      <w:pPr>
        <w:rPr>
          <w:i/>
          <w:iCs/>
          <w:lang w:val="en-US"/>
        </w:rPr>
      </w:pPr>
      <w:r w:rsidRPr="00AC4CFC">
        <w:rPr>
          <w:i/>
          <w:iCs/>
          <w:lang w:val="en-US"/>
        </w:rPr>
        <w:t>Figure 7. Synthetic Lithuania Aviation Network. Lithuania network reconstruction using synthetic topology based on population centers and documented aviation routes produces PRI estimates of approximately 0.026, consistent with the observed 22-fold escalation pattern and validating the framework’s applicability when comprehensive datasets are unavailable.</w:t>
      </w:r>
    </w:p>
    <w:p w14:paraId="1003BD04"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CFC"/>
    <w:rsid w:val="00767E38"/>
    <w:rsid w:val="00866F7D"/>
    <w:rsid w:val="00AC4CFC"/>
    <w:rsid w:val="00E869F9"/>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71C59"/>
  <w15:chartTrackingRefBased/>
  <w15:docId w15:val="{FF5E1713-8FDD-4BA8-B0FE-56045C10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4C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4C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4C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4C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4C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4C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4C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4C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4C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C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4C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4C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4C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4C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4C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4C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4C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4CFC"/>
    <w:rPr>
      <w:rFonts w:eastAsiaTheme="majorEastAsia" w:cstheme="majorBidi"/>
      <w:color w:val="272727" w:themeColor="text1" w:themeTint="D8"/>
    </w:rPr>
  </w:style>
  <w:style w:type="paragraph" w:styleId="Title">
    <w:name w:val="Title"/>
    <w:basedOn w:val="Normal"/>
    <w:next w:val="Normal"/>
    <w:link w:val="TitleChar"/>
    <w:uiPriority w:val="10"/>
    <w:qFormat/>
    <w:rsid w:val="00AC4C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4C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4C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4C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4CFC"/>
    <w:pPr>
      <w:spacing w:before="160"/>
      <w:jc w:val="center"/>
    </w:pPr>
    <w:rPr>
      <w:i/>
      <w:iCs/>
      <w:color w:val="404040" w:themeColor="text1" w:themeTint="BF"/>
    </w:rPr>
  </w:style>
  <w:style w:type="character" w:customStyle="1" w:styleId="QuoteChar">
    <w:name w:val="Quote Char"/>
    <w:basedOn w:val="DefaultParagraphFont"/>
    <w:link w:val="Quote"/>
    <w:uiPriority w:val="29"/>
    <w:rsid w:val="00AC4CFC"/>
    <w:rPr>
      <w:i/>
      <w:iCs/>
      <w:color w:val="404040" w:themeColor="text1" w:themeTint="BF"/>
    </w:rPr>
  </w:style>
  <w:style w:type="paragraph" w:styleId="ListParagraph">
    <w:name w:val="List Paragraph"/>
    <w:basedOn w:val="Normal"/>
    <w:uiPriority w:val="34"/>
    <w:qFormat/>
    <w:rsid w:val="00AC4CFC"/>
    <w:pPr>
      <w:ind w:left="720"/>
      <w:contextualSpacing/>
    </w:pPr>
  </w:style>
  <w:style w:type="character" w:styleId="IntenseEmphasis">
    <w:name w:val="Intense Emphasis"/>
    <w:basedOn w:val="DefaultParagraphFont"/>
    <w:uiPriority w:val="21"/>
    <w:qFormat/>
    <w:rsid w:val="00AC4CFC"/>
    <w:rPr>
      <w:i/>
      <w:iCs/>
      <w:color w:val="0F4761" w:themeColor="accent1" w:themeShade="BF"/>
    </w:rPr>
  </w:style>
  <w:style w:type="paragraph" w:styleId="IntenseQuote">
    <w:name w:val="Intense Quote"/>
    <w:basedOn w:val="Normal"/>
    <w:next w:val="Normal"/>
    <w:link w:val="IntenseQuoteChar"/>
    <w:uiPriority w:val="30"/>
    <w:qFormat/>
    <w:rsid w:val="00AC4C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4CFC"/>
    <w:rPr>
      <w:i/>
      <w:iCs/>
      <w:color w:val="0F4761" w:themeColor="accent1" w:themeShade="BF"/>
    </w:rPr>
  </w:style>
  <w:style w:type="character" w:styleId="IntenseReference">
    <w:name w:val="Intense Reference"/>
    <w:basedOn w:val="DefaultParagraphFont"/>
    <w:uiPriority w:val="32"/>
    <w:qFormat/>
    <w:rsid w:val="00AC4C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066772">
      <w:bodyDiv w:val="1"/>
      <w:marLeft w:val="0"/>
      <w:marRight w:val="0"/>
      <w:marTop w:val="0"/>
      <w:marBottom w:val="0"/>
      <w:divBdr>
        <w:top w:val="none" w:sz="0" w:space="0" w:color="auto"/>
        <w:left w:val="none" w:sz="0" w:space="0" w:color="auto"/>
        <w:bottom w:val="none" w:sz="0" w:space="0" w:color="auto"/>
        <w:right w:val="none" w:sz="0" w:space="0" w:color="auto"/>
      </w:divBdr>
    </w:div>
    <w:div w:id="165013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264</Words>
  <Characters>1506</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2025-09-17T08:37:00Z</dcterms:created>
  <dcterms:modified xsi:type="dcterms:W3CDTF">2025-09-17T08:37:00Z</dcterms:modified>
</cp:coreProperties>
</file>