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9B7" w:rsidRPr="0053219D" w:rsidRDefault="00C229B7" w:rsidP="00C229B7">
      <w:pPr>
        <w:pStyle w:val="NoSpacing"/>
        <w:rPr>
          <w:lang w:val="en-US"/>
        </w:rPr>
      </w:pPr>
      <w:r>
        <w:rPr>
          <w:b/>
          <w:bCs/>
          <w:lang w:val="en-US"/>
        </w:rPr>
        <w:t>e</w:t>
      </w:r>
      <w:r w:rsidRPr="00EB7D6A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1.</w:t>
      </w:r>
      <w:r>
        <w:rPr>
          <w:lang w:val="en-US"/>
        </w:rPr>
        <w:t xml:space="preserve"> Imputability scoring</w:t>
      </w:r>
    </w:p>
    <w:tbl>
      <w:tblPr>
        <w:tblW w:w="0" w:type="auto"/>
        <w:tblBorders>
          <w:top w:val="single" w:sz="2" w:space="0" w:color="666666"/>
          <w:bottom w:val="single" w:sz="2" w:space="0" w:color="666666"/>
          <w:insideH w:val="single" w:sz="2" w:space="0" w:color="666666"/>
          <w:insideV w:val="single" w:sz="2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946"/>
      </w:tblGrid>
      <w:tr w:rsidR="00C229B7" w:rsidRPr="00EB7D6A" w:rsidTr="002B3373">
        <w:trPr>
          <w:trHeight w:val="267"/>
        </w:trPr>
        <w:tc>
          <w:tcPr>
            <w:tcW w:w="2093" w:type="dxa"/>
            <w:tcBorders>
              <w:top w:val="single" w:sz="12" w:space="0" w:color="000000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Imputability</w:t>
            </w:r>
          </w:p>
        </w:tc>
        <w:tc>
          <w:tcPr>
            <w:tcW w:w="6946" w:type="dxa"/>
            <w:tcBorders>
              <w:top w:val="single" w:sz="12" w:space="0" w:color="000000"/>
              <w:left w:val="nil"/>
              <w:bottom w:val="single" w:sz="12" w:space="0" w:color="666666"/>
            </w:tcBorders>
            <w:shd w:val="clear" w:color="auto" w:fill="FFFFFF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Definition</w:t>
            </w:r>
          </w:p>
        </w:tc>
      </w:tr>
      <w:tr w:rsidR="00C229B7" w:rsidRPr="00EB7D6A" w:rsidTr="002B3373">
        <w:trPr>
          <w:trHeight w:val="526"/>
        </w:trPr>
        <w:tc>
          <w:tcPr>
            <w:tcW w:w="209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Definite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sz w:val="18"/>
                <w:szCs w:val="18"/>
              </w:rPr>
            </w:pPr>
            <w:r w:rsidRPr="00FE4478">
              <w:rPr>
                <w:sz w:val="18"/>
                <w:szCs w:val="18"/>
              </w:rPr>
              <w:t>when there is conclusive evidence beyond reasonable doubt that the adverse event can be attributed to the transfusion</w:t>
            </w:r>
          </w:p>
        </w:tc>
      </w:tr>
      <w:tr w:rsidR="00C229B7" w:rsidRPr="00EB7D6A" w:rsidTr="002B3373">
        <w:trPr>
          <w:trHeight w:val="295"/>
        </w:trPr>
        <w:tc>
          <w:tcPr>
            <w:tcW w:w="209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Probable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rPr>
                <w:iCs/>
                <w:sz w:val="18"/>
                <w:szCs w:val="18"/>
              </w:rPr>
            </w:pPr>
            <w:r w:rsidRPr="00FE4478">
              <w:rPr>
                <w:iCs/>
                <w:sz w:val="18"/>
                <w:szCs w:val="18"/>
              </w:rPr>
              <w:t xml:space="preserve">when the evidence is clearly in favor of attributing the adverse event to the transfusion </w:t>
            </w:r>
          </w:p>
        </w:tc>
      </w:tr>
      <w:tr w:rsidR="00C229B7" w:rsidRPr="00EB7D6A" w:rsidTr="002B3373">
        <w:trPr>
          <w:trHeight w:val="412"/>
        </w:trPr>
        <w:tc>
          <w:tcPr>
            <w:tcW w:w="209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Possible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rPr>
                <w:sz w:val="18"/>
                <w:szCs w:val="18"/>
              </w:rPr>
            </w:pPr>
            <w:r w:rsidRPr="00FE4478">
              <w:rPr>
                <w:sz w:val="18"/>
                <w:szCs w:val="18"/>
              </w:rPr>
              <w:t xml:space="preserve">when the evidence is indeterminate for attributing the adverse event to the transfusion or an alternate cause </w:t>
            </w:r>
          </w:p>
        </w:tc>
      </w:tr>
      <w:tr w:rsidR="00C229B7" w:rsidRPr="00EB7D6A" w:rsidTr="002B3373">
        <w:trPr>
          <w:trHeight w:val="562"/>
        </w:trPr>
        <w:tc>
          <w:tcPr>
            <w:tcW w:w="209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Dou</w:t>
            </w:r>
            <w:r w:rsidRPr="00FE4478">
              <w:rPr>
                <w:b/>
                <w:bCs/>
                <w:sz w:val="18"/>
                <w:szCs w:val="18"/>
                <w:lang w:val="en-US"/>
              </w:rPr>
              <w:t>btful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rPr>
                <w:sz w:val="18"/>
                <w:szCs w:val="18"/>
              </w:rPr>
            </w:pPr>
            <w:r w:rsidRPr="00FE4478">
              <w:rPr>
                <w:sz w:val="18"/>
                <w:szCs w:val="18"/>
              </w:rPr>
              <w:t xml:space="preserve">when the evidence is clearly in favor of attributing the adverse event to causes other than the transfusion </w:t>
            </w:r>
          </w:p>
        </w:tc>
      </w:tr>
      <w:tr w:rsidR="00C229B7" w:rsidRPr="00E21F12" w:rsidTr="002B3373">
        <w:trPr>
          <w:trHeight w:val="66"/>
        </w:trPr>
        <w:tc>
          <w:tcPr>
            <w:tcW w:w="2093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E</w:t>
            </w:r>
            <w:r w:rsidRPr="00FE4478">
              <w:rPr>
                <w:b/>
                <w:bCs/>
                <w:sz w:val="18"/>
                <w:szCs w:val="18"/>
                <w:lang w:val="en-US"/>
              </w:rPr>
              <w:t>xcluded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rPr>
                <w:sz w:val="18"/>
                <w:szCs w:val="18"/>
              </w:rPr>
            </w:pPr>
            <w:r w:rsidRPr="00FE4478">
              <w:rPr>
                <w:sz w:val="18"/>
                <w:szCs w:val="18"/>
              </w:rPr>
              <w:t xml:space="preserve">when there is conclusive evidence beyond reasonable doubt that the adverse event can be attributed to causes other than the transfusion </w:t>
            </w:r>
          </w:p>
        </w:tc>
      </w:tr>
    </w:tbl>
    <w:p w:rsidR="00C229B7" w:rsidRPr="00B45967" w:rsidRDefault="00C229B7" w:rsidP="00C229B7">
      <w:pPr>
        <w:spacing w:after="200" w:line="276" w:lineRule="auto"/>
        <w:rPr>
          <w:sz w:val="21"/>
          <w:szCs w:val="21"/>
          <w:lang w:val="en-US"/>
        </w:rPr>
      </w:pPr>
      <w:r w:rsidRPr="00B45967">
        <w:rPr>
          <w:sz w:val="21"/>
          <w:szCs w:val="21"/>
          <w:lang w:val="en-US"/>
        </w:rPr>
        <w:t xml:space="preserve">Adapted from: International Society of Blood Transfusion – Working Party on Haemovigilance, 2013. </w:t>
      </w:r>
      <w:r w:rsidRPr="00B45967">
        <w:rPr>
          <w:noProof/>
          <w:sz w:val="21"/>
          <w:szCs w:val="21"/>
          <w:lang w:val="en-US"/>
        </w:rPr>
        <w:t>[15]</w:t>
      </w: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Default="00C229B7" w:rsidP="00C229B7">
      <w:pPr>
        <w:spacing w:after="200" w:line="276" w:lineRule="auto"/>
        <w:rPr>
          <w:sz w:val="22"/>
          <w:szCs w:val="22"/>
          <w:lang w:val="en-US"/>
        </w:rPr>
      </w:pPr>
    </w:p>
    <w:p w:rsidR="00C229B7" w:rsidRPr="0053219D" w:rsidRDefault="00C229B7" w:rsidP="00C229B7">
      <w:pPr>
        <w:pStyle w:val="NoSpacing"/>
        <w:rPr>
          <w:lang w:val="en-US"/>
        </w:rPr>
      </w:pPr>
      <w:r>
        <w:rPr>
          <w:b/>
          <w:bCs/>
          <w:lang w:val="en-US"/>
        </w:rPr>
        <w:t>e</w:t>
      </w:r>
      <w:r w:rsidRPr="00EB7D6A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2.</w:t>
      </w:r>
      <w:r>
        <w:rPr>
          <w:lang w:val="en-US"/>
        </w:rPr>
        <w:t xml:space="preserve"> TRALI patient characteristics</w:t>
      </w:r>
    </w:p>
    <w:tbl>
      <w:tblPr>
        <w:tblW w:w="0" w:type="auto"/>
        <w:tblBorders>
          <w:top w:val="single" w:sz="2" w:space="0" w:color="666666"/>
          <w:bottom w:val="single" w:sz="2" w:space="0" w:color="666666"/>
          <w:insideH w:val="single" w:sz="2" w:space="0" w:color="666666"/>
          <w:insideV w:val="single" w:sz="2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5"/>
      </w:tblGrid>
      <w:tr w:rsidR="00C229B7" w:rsidRPr="00EB7D6A" w:rsidTr="002B3373">
        <w:trPr>
          <w:trHeight w:val="320"/>
        </w:trPr>
        <w:tc>
          <w:tcPr>
            <w:tcW w:w="3828" w:type="dxa"/>
            <w:vMerge w:val="restart"/>
            <w:tcBorders>
              <w:top w:val="single" w:sz="12" w:space="0" w:color="000000"/>
              <w:bottom w:val="single" w:sz="12" w:space="0" w:color="666666"/>
              <w:right w:val="nil"/>
            </w:tcBorders>
            <w:shd w:val="clear" w:color="auto" w:fill="FFFFFF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Period</w:t>
            </w:r>
          </w:p>
        </w:tc>
        <w:tc>
          <w:tcPr>
            <w:tcW w:w="1275" w:type="dxa"/>
            <w:vMerge w:val="restart"/>
            <w:tcBorders>
              <w:top w:val="single" w:sz="12" w:space="0" w:color="000000"/>
              <w:left w:val="nil"/>
              <w:bottom w:val="single" w:sz="12" w:space="0" w:color="666666"/>
            </w:tcBorders>
            <w:shd w:val="clear" w:color="auto" w:fill="FFFFFF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p-value:</w:t>
            </w:r>
          </w:p>
        </w:tc>
      </w:tr>
      <w:tr w:rsidR="00C229B7" w:rsidRPr="00EB7D6A" w:rsidTr="002B3373">
        <w:trPr>
          <w:trHeight w:val="320"/>
        </w:trPr>
        <w:tc>
          <w:tcPr>
            <w:tcW w:w="3828" w:type="dxa"/>
            <w:vMerge/>
            <w:tcBorders>
              <w:right w:val="nil"/>
            </w:tcBorders>
            <w:shd w:val="clear" w:color="auto" w:fill="CCCCCC"/>
            <w:vAlign w:val="center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qFFP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b/>
                <w:bCs/>
                <w:sz w:val="18"/>
                <w:szCs w:val="18"/>
                <w:lang w:val="en-US"/>
              </w:rPr>
              <w:t>SDP</w:t>
            </w:r>
          </w:p>
        </w:tc>
        <w:tc>
          <w:tcPr>
            <w:tcW w:w="1275" w:type="dxa"/>
            <w:vMerge/>
            <w:tcBorders>
              <w:left w:val="nil"/>
            </w:tcBorders>
            <w:shd w:val="clear" w:color="auto" w:fill="CCCCCC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TRALI patients, 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81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Patients transfused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iCs/>
                <w:color w:val="FF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Units per transfused patient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23 (12 – 40)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22 (11 – 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0.870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RBC units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13 (8 – 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11 (7 – 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0.742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Plasma units per patient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7 (2 – 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4 (4 – 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0.741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PLT units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5 (3 – 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6 (3 – 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0.709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Products transfused (n)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284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229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iCs/>
                <w:sz w:val="18"/>
                <w:szCs w:val="18"/>
                <w:lang w:val="en-US"/>
              </w:rPr>
            </w:pPr>
            <w:r w:rsidRPr="00FE4478">
              <w:rPr>
                <w:iCs/>
                <w:sz w:val="18"/>
                <w:szCs w:val="18"/>
                <w:lang w:val="en-US"/>
              </w:rPr>
              <w:t>0.015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RBCs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141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iCs/>
                <w:sz w:val="18"/>
                <w:szCs w:val="18"/>
                <w:lang w:val="en-US"/>
              </w:rPr>
            </w:pPr>
            <w:r w:rsidRPr="00FE4478">
              <w:rPr>
                <w:iCs/>
                <w:sz w:val="18"/>
                <w:szCs w:val="18"/>
                <w:lang w:val="en-US"/>
              </w:rPr>
              <w:t>0.012</w:t>
            </w:r>
          </w:p>
        </w:tc>
      </w:tr>
      <w:tr w:rsidR="00C229B7" w:rsidRPr="00EB7D6A" w:rsidTr="002B3373">
        <w:trPr>
          <w:trHeight w:val="245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PLTs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iCs/>
                <w:sz w:val="18"/>
                <w:szCs w:val="18"/>
                <w:lang w:val="en-US"/>
              </w:rPr>
            </w:pPr>
            <w:r w:rsidRPr="00FE4478">
              <w:rPr>
                <w:iCs/>
                <w:sz w:val="18"/>
                <w:szCs w:val="18"/>
                <w:lang w:val="en-US"/>
              </w:rPr>
              <w:t>0.677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Plasma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iCs/>
                <w:color w:val="FF0000"/>
                <w:sz w:val="18"/>
                <w:szCs w:val="18"/>
                <w:lang w:val="en-US"/>
              </w:rPr>
            </w:pPr>
            <w:r w:rsidRPr="00FE4478">
              <w:rPr>
                <w:iCs/>
                <w:color w:val="000000"/>
                <w:sz w:val="18"/>
                <w:szCs w:val="18"/>
                <w:lang w:val="en-US"/>
              </w:rPr>
              <w:t>0.134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Plasma units (vol. corrected)*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iCs/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iCs/>
                <w:color w:val="000000"/>
                <w:sz w:val="18"/>
                <w:szCs w:val="18"/>
                <w:lang w:val="en-US"/>
              </w:rPr>
              <w:t>&lt;0.001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Type of admission,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0.234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Medical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3 (30%)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6 (67%)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Emergency surgery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4 (40%)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3 (33%)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Planned surgery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3 (30%)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Comorbidities,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Chronic renal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COPD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C229B7" w:rsidRPr="00EB7D6A" w:rsidTr="002B3373">
        <w:trPr>
          <w:trHeight w:val="245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Hematological malignancy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2 (22%)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0.207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Immunological insufficiency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2 (22%)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0.213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Diabetes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0.476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History of heart failure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1.000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Cirrhosis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1.000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rPr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sz w:val="18"/>
                <w:szCs w:val="18"/>
                <w:lang w:val="en-US"/>
              </w:rPr>
              <w:t>Risk factors,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Direct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596" w:hanging="12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Pneumonia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2 (22%)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0.203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596" w:hanging="12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Aspiration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4"/>
              </w:numPr>
              <w:spacing w:line="276" w:lineRule="auto"/>
              <w:ind w:left="596" w:hanging="12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Inhalation: smoke/drowning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13" w:hanging="141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Indirect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5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5"/>
              </w:numPr>
              <w:spacing w:line="276" w:lineRule="auto"/>
              <w:ind w:left="596" w:hanging="14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Sepsis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2 (22%)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0.584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5"/>
              </w:numPr>
              <w:spacing w:line="276" w:lineRule="auto"/>
              <w:ind w:left="596" w:hanging="14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Trauma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1.000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5"/>
              </w:numPr>
              <w:spacing w:line="276" w:lineRule="auto"/>
              <w:ind w:left="596" w:hanging="14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Pancreatitis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0.476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5"/>
              </w:numPr>
              <w:spacing w:line="276" w:lineRule="auto"/>
              <w:ind w:left="596" w:hanging="14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Drug overdose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0.476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13" w:hanging="124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6"/>
              </w:numPr>
              <w:spacing w:line="276" w:lineRule="auto"/>
              <w:ind w:left="596" w:hanging="14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Cardiac surgery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1.000</w:t>
            </w:r>
          </w:p>
        </w:tc>
      </w:tr>
      <w:tr w:rsidR="00C229B7" w:rsidRPr="00EB7D6A" w:rsidTr="002B3373">
        <w:trPr>
          <w:trHeight w:val="244"/>
        </w:trPr>
        <w:tc>
          <w:tcPr>
            <w:tcW w:w="3828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</w:tcPr>
          <w:p w:rsidR="00C229B7" w:rsidRPr="00FE4478" w:rsidRDefault="00C229B7" w:rsidP="00C229B7">
            <w:pPr>
              <w:pStyle w:val="ListParagraph"/>
              <w:numPr>
                <w:ilvl w:val="1"/>
                <w:numId w:val="6"/>
              </w:numPr>
              <w:spacing w:line="276" w:lineRule="auto"/>
              <w:ind w:left="596" w:hanging="142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FE4478">
              <w:rPr>
                <w:rFonts w:ascii="Times New Roman" w:hAnsi="Times New Roman"/>
                <w:sz w:val="18"/>
                <w:szCs w:val="18"/>
                <w:lang w:val="en-US"/>
              </w:rPr>
              <w:t>Cardiac Arrest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C229B7" w:rsidRPr="00FE4478" w:rsidRDefault="00C229B7" w:rsidP="002B3373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 (11%)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:rsidR="00C229B7" w:rsidRPr="00FE4478" w:rsidRDefault="00C229B7" w:rsidP="002B3373">
            <w:pPr>
              <w:spacing w:line="276" w:lineRule="auto"/>
              <w:ind w:right="243"/>
              <w:jc w:val="right"/>
              <w:rPr>
                <w:color w:val="000000"/>
                <w:sz w:val="18"/>
                <w:szCs w:val="18"/>
                <w:lang w:val="en-US"/>
              </w:rPr>
            </w:pPr>
            <w:r w:rsidRPr="00FE4478">
              <w:rPr>
                <w:color w:val="000000"/>
                <w:sz w:val="18"/>
                <w:szCs w:val="18"/>
                <w:lang w:val="en-US"/>
              </w:rPr>
              <w:t>1.000</w:t>
            </w:r>
          </w:p>
        </w:tc>
      </w:tr>
    </w:tbl>
    <w:p w:rsidR="00C229B7" w:rsidRPr="0020148F" w:rsidRDefault="00C229B7" w:rsidP="00C229B7">
      <w:pPr>
        <w:pStyle w:val="Manuscriptstyle"/>
        <w:spacing w:line="276" w:lineRule="auto"/>
        <w:rPr>
          <w:sz w:val="20"/>
          <w:szCs w:val="20"/>
          <w:lang w:val="en-US"/>
        </w:rPr>
      </w:pPr>
      <w:r w:rsidRPr="0020148F">
        <w:rPr>
          <w:sz w:val="20"/>
          <w:szCs w:val="20"/>
          <w:lang w:val="en-US"/>
        </w:rPr>
        <w:t xml:space="preserve">Data presented as mean ± SD or median (IQR); </w:t>
      </w:r>
      <w:r w:rsidRPr="00BD0B00">
        <w:rPr>
          <w:sz w:val="20"/>
          <w:szCs w:val="20"/>
          <w:lang w:val="en-US"/>
        </w:rPr>
        <w:t xml:space="preserve">Abbreviations: </w:t>
      </w:r>
      <w:r w:rsidRPr="00BD0B00">
        <w:rPr>
          <w:i/>
          <w:sz w:val="20"/>
          <w:szCs w:val="20"/>
          <w:lang w:val="en-US"/>
        </w:rPr>
        <w:t>RBC:</w:t>
      </w:r>
      <w:r w:rsidRPr="00BD0B00">
        <w:rPr>
          <w:sz w:val="20"/>
          <w:szCs w:val="20"/>
          <w:lang w:val="en-US"/>
        </w:rPr>
        <w:t xml:space="preserve"> red blood cells; </w:t>
      </w:r>
      <w:r w:rsidRPr="00BD0B00">
        <w:rPr>
          <w:i/>
          <w:sz w:val="20"/>
          <w:szCs w:val="20"/>
          <w:lang w:val="en-US"/>
        </w:rPr>
        <w:t>PLT</w:t>
      </w:r>
      <w:r w:rsidRPr="00BD0B00">
        <w:rPr>
          <w:sz w:val="20"/>
          <w:szCs w:val="20"/>
          <w:lang w:val="en-US"/>
        </w:rPr>
        <w:t xml:space="preserve">: platelet transfusion; </w:t>
      </w:r>
      <w:r w:rsidRPr="00BD0B00">
        <w:rPr>
          <w:i/>
          <w:sz w:val="20"/>
          <w:szCs w:val="20"/>
          <w:lang w:val="en-US"/>
        </w:rPr>
        <w:t>qFFP:</w:t>
      </w:r>
      <w:r w:rsidRPr="00BD0B00">
        <w:rPr>
          <w:sz w:val="20"/>
          <w:szCs w:val="20"/>
          <w:lang w:val="en-US"/>
        </w:rPr>
        <w:t xml:space="preserve"> quarantine single unit fresh frozen plasma; </w:t>
      </w:r>
      <w:r w:rsidRPr="00BD0B00">
        <w:rPr>
          <w:i/>
          <w:sz w:val="20"/>
          <w:szCs w:val="20"/>
          <w:lang w:val="en-US"/>
        </w:rPr>
        <w:t xml:space="preserve">SDP: </w:t>
      </w:r>
      <w:r w:rsidRPr="00BD0B00">
        <w:rPr>
          <w:sz w:val="20"/>
          <w:szCs w:val="20"/>
          <w:lang w:val="en-US"/>
        </w:rPr>
        <w:t xml:space="preserve">solvent/detergent treated pooled plasma; </w:t>
      </w:r>
      <w:r w:rsidRPr="00BD0B00">
        <w:rPr>
          <w:i/>
          <w:iCs/>
          <w:sz w:val="20"/>
          <w:szCs w:val="20"/>
          <w:lang w:val="en-US"/>
        </w:rPr>
        <w:t>COPD:</w:t>
      </w:r>
      <w:r w:rsidRPr="00BD0B00">
        <w:rPr>
          <w:sz w:val="20"/>
          <w:szCs w:val="20"/>
          <w:lang w:val="en-US"/>
        </w:rPr>
        <w:t xml:space="preserve"> chronic obstructive pulmonary disease.</w:t>
      </w:r>
    </w:p>
    <w:p w:rsidR="00C229B7" w:rsidRDefault="00C229B7" w:rsidP="00C229B7">
      <w:pPr>
        <w:pStyle w:val="NoSpacing"/>
        <w:spacing w:line="480" w:lineRule="auto"/>
        <w:rPr>
          <w:lang w:val="en-US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21945"/>
    <w:multiLevelType w:val="hybridMultilevel"/>
    <w:tmpl w:val="30A69686"/>
    <w:lvl w:ilvl="0" w:tplc="3AF8B9C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AF8B9C2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E313F"/>
    <w:multiLevelType w:val="hybridMultilevel"/>
    <w:tmpl w:val="044E8AD6"/>
    <w:lvl w:ilvl="0" w:tplc="3AF8B9C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AF8B9C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F7F47"/>
    <w:multiLevelType w:val="hybridMultilevel"/>
    <w:tmpl w:val="20F0DA24"/>
    <w:lvl w:ilvl="0" w:tplc="3AF8B9C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4222C14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C2845"/>
    <w:multiLevelType w:val="hybridMultilevel"/>
    <w:tmpl w:val="D8E667E0"/>
    <w:lvl w:ilvl="0" w:tplc="DD104A72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0051D"/>
    <w:multiLevelType w:val="hybridMultilevel"/>
    <w:tmpl w:val="CB947596"/>
    <w:lvl w:ilvl="0" w:tplc="3AF8B9C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AF8B9C2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253E6F"/>
    <w:multiLevelType w:val="hybridMultilevel"/>
    <w:tmpl w:val="0FCE961C"/>
    <w:lvl w:ilvl="0" w:tplc="DD104A72">
      <w:start w:val="6"/>
      <w:numFmt w:val="bullet"/>
      <w:lvlText w:val="-"/>
      <w:lvlJc w:val="left"/>
      <w:pPr>
        <w:ind w:left="3904" w:hanging="360"/>
      </w:pPr>
      <w:rPr>
        <w:rFonts w:ascii="Calibri" w:eastAsia="Calibri" w:hAnsi="Calibri" w:cs="Calibri" w:hint="default"/>
      </w:rPr>
    </w:lvl>
    <w:lvl w:ilvl="1" w:tplc="04090001">
      <w:start w:val="1"/>
      <w:numFmt w:val="bullet"/>
      <w:lvlText w:val=""/>
      <w:lvlJc w:val="left"/>
      <w:pPr>
        <w:ind w:left="462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6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9B7"/>
    <w:rsid w:val="003A0A23"/>
    <w:rsid w:val="009C003D"/>
    <w:rsid w:val="00C229B7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A6CA21-E9F4-4499-B24C-CA246880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229B7"/>
    <w:pPr>
      <w:spacing w:after="0" w:line="240" w:lineRule="auto"/>
    </w:pPr>
    <w:rPr>
      <w:rFonts w:ascii="Times New Roman" w:eastAsia="Calibri" w:hAnsi="Times New Roman" w:cs="Times New Roman"/>
      <w:sz w:val="24"/>
      <w:lang w:val="nl-NL"/>
    </w:rPr>
  </w:style>
  <w:style w:type="paragraph" w:customStyle="1" w:styleId="Manuscriptstyle">
    <w:name w:val="Manuscript style"/>
    <w:link w:val="ManuscriptstyleChar"/>
    <w:uiPriority w:val="1"/>
    <w:qFormat/>
    <w:rsid w:val="00C229B7"/>
    <w:pPr>
      <w:spacing w:after="0" w:line="480" w:lineRule="auto"/>
    </w:pPr>
    <w:rPr>
      <w:rFonts w:ascii="Times New Roman" w:eastAsia="Calibri" w:hAnsi="Times New Roman" w:cs="Times New Roman"/>
      <w:lang w:val="nl-NL"/>
    </w:rPr>
  </w:style>
  <w:style w:type="character" w:customStyle="1" w:styleId="ManuscriptstyleChar">
    <w:name w:val="Manuscript style Char"/>
    <w:link w:val="Manuscriptstyle"/>
    <w:uiPriority w:val="1"/>
    <w:rsid w:val="00C229B7"/>
    <w:rPr>
      <w:rFonts w:ascii="Times New Roman" w:eastAsia="Calibri" w:hAnsi="Times New Roman" w:cs="Times New Roman"/>
      <w:lang w:val="nl-NL"/>
    </w:rPr>
  </w:style>
  <w:style w:type="paragraph" w:styleId="ListParagraph">
    <w:name w:val="List Paragraph"/>
    <w:basedOn w:val="Normal"/>
    <w:uiPriority w:val="34"/>
    <w:qFormat/>
    <w:rsid w:val="00C229B7"/>
    <w:pPr>
      <w:spacing w:line="480" w:lineRule="auto"/>
      <w:ind w:left="720"/>
      <w:contextualSpacing/>
    </w:pPr>
    <w:rPr>
      <w:rFonts w:ascii="Calibri" w:eastAsia="Calibri" w:hAnsi="Calibri"/>
      <w:szCs w:val="22"/>
      <w:lang w:val="nl-NL" w:eastAsia="en-US"/>
    </w:rPr>
  </w:style>
  <w:style w:type="character" w:customStyle="1" w:styleId="NoSpacingChar">
    <w:name w:val="No Spacing Char"/>
    <w:link w:val="NoSpacing"/>
    <w:uiPriority w:val="1"/>
    <w:rsid w:val="00C229B7"/>
    <w:rPr>
      <w:rFonts w:ascii="Times New Roman" w:eastAsia="Calibri" w:hAnsi="Times New Roman" w:cs="Times New Roman"/>
      <w:sz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1964</Characters>
  <Application>Microsoft Office Word</Application>
  <DocSecurity>0</DocSecurity>
  <Lines>16</Lines>
  <Paragraphs>4</Paragraphs>
  <ScaleCrop>false</ScaleCrop>
  <Company>Springer Nature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2021-08-01T17:59:00Z</dcterms:created>
  <dcterms:modified xsi:type="dcterms:W3CDTF">2021-08-01T17:59:00Z</dcterms:modified>
</cp:coreProperties>
</file>