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b/>
          <w:bCs/>
        </w:rPr>
        <w:t>Supplementary Information</w:t>
      </w:r>
    </w:p>
    <w:p/>
    <w:p>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The impact of different phases of the El Niño-Southern Oscillation phenomenon on Goiás State rainfalls and temperature characteristics across three decades</w:t>
      </w:r>
    </w:p>
    <w:p>
      <w:pPr>
        <w:spacing w:line="480" w:lineRule="auto"/>
        <w:jc w:val="center"/>
        <w:rPr>
          <w:rFonts w:hint="default" w:ascii="Times New Roman" w:hAnsi="Times New Roman" w:cs="Times New Roman"/>
          <w:b/>
          <w:bCs/>
          <w:sz w:val="24"/>
          <w:szCs w:val="24"/>
          <w:lang w:val="pt-PT"/>
        </w:rPr>
      </w:pPr>
      <w:r>
        <w:rPr>
          <w:rFonts w:ascii="Times New Roman" w:hAnsi="Times New Roman" w:cs="Times New Roman"/>
          <w:sz w:val="24"/>
          <w:szCs w:val="24"/>
          <w:lang w:val="pt-BR"/>
        </w:rPr>
        <w:t>David Henriques da Matta</w:t>
      </w:r>
      <w:r>
        <w:rPr>
          <w:rFonts w:ascii="Times New Roman" w:hAnsi="Times New Roman" w:cs="Times New Roman"/>
          <w:sz w:val="24"/>
          <w:szCs w:val="24"/>
          <w:vertAlign w:val="superscript"/>
          <w:lang w:val="pt-PT"/>
        </w:rPr>
        <w:t>1</w:t>
      </w:r>
      <w:r>
        <w:rPr>
          <w:rFonts w:ascii="Times New Roman" w:hAnsi="Times New Roman" w:cs="Times New Roman"/>
          <w:sz w:val="24"/>
          <w:szCs w:val="24"/>
          <w:lang w:val="pt-BR"/>
        </w:rPr>
        <w:t xml:space="preserve">; </w:t>
      </w:r>
      <w:r>
        <w:rPr>
          <w:rFonts w:ascii="Times New Roman" w:hAnsi="Times New Roman" w:cs="Times New Roman"/>
          <w:sz w:val="24"/>
          <w:szCs w:val="24"/>
          <w:lang w:val="pt-PT"/>
        </w:rPr>
        <w:t>Caio Augusto dos Santos Coelho</w:t>
      </w:r>
      <w:r>
        <w:rPr>
          <w:rFonts w:ascii="Times New Roman" w:hAnsi="Times New Roman" w:cs="Times New Roman"/>
          <w:sz w:val="24"/>
          <w:szCs w:val="24"/>
          <w:vertAlign w:val="superscript"/>
          <w:lang w:val="pt-PT"/>
        </w:rPr>
        <w:t>2</w:t>
      </w:r>
      <w:r>
        <w:rPr>
          <w:rFonts w:ascii="Times New Roman" w:hAnsi="Times New Roman" w:cs="Times New Roman"/>
          <w:sz w:val="24"/>
          <w:szCs w:val="24"/>
          <w:lang w:val="pt-PT"/>
        </w:rPr>
        <w:t xml:space="preserve">; </w:t>
      </w:r>
      <w:r>
        <w:rPr>
          <w:rFonts w:ascii="Times New Roman" w:hAnsi="Times New Roman" w:cs="Times New Roman"/>
          <w:sz w:val="24"/>
          <w:szCs w:val="24"/>
          <w:lang w:val="pt-BR"/>
        </w:rPr>
        <w:t>Leydson Lara dos Santos</w:t>
      </w:r>
      <w:r>
        <w:rPr>
          <w:rFonts w:ascii="Times New Roman" w:hAnsi="Times New Roman" w:cs="Times New Roman"/>
          <w:sz w:val="24"/>
          <w:szCs w:val="24"/>
          <w:vertAlign w:val="superscript"/>
          <w:lang w:val="pt-PT"/>
        </w:rPr>
        <w:t>1</w:t>
      </w:r>
      <w:r>
        <w:rPr>
          <w:rFonts w:ascii="Times New Roman" w:hAnsi="Times New Roman" w:cs="Times New Roman"/>
          <w:sz w:val="24"/>
          <w:szCs w:val="24"/>
          <w:lang w:val="pt-BR"/>
        </w:rPr>
        <w:t xml:space="preserve">; </w:t>
      </w:r>
      <w:r>
        <w:rPr>
          <w:rFonts w:ascii="Times New Roman" w:hAnsi="Times New Roman" w:cs="Times New Roman"/>
          <w:sz w:val="24"/>
          <w:szCs w:val="24"/>
          <w:lang w:val="pt-PT"/>
        </w:rPr>
        <w:t>Luis Fernando Stone</w:t>
      </w:r>
      <w:r>
        <w:rPr>
          <w:rFonts w:ascii="Times New Roman" w:hAnsi="Times New Roman" w:cs="Times New Roman"/>
          <w:sz w:val="24"/>
          <w:szCs w:val="24"/>
          <w:vertAlign w:val="superscript"/>
          <w:lang w:val="pt-PT"/>
        </w:rPr>
        <w:t>3</w:t>
      </w:r>
      <w:r>
        <w:rPr>
          <w:rFonts w:ascii="Times New Roman" w:hAnsi="Times New Roman" w:cs="Times New Roman"/>
          <w:sz w:val="24"/>
          <w:szCs w:val="24"/>
          <w:lang w:val="pt-PT"/>
        </w:rPr>
        <w:t xml:space="preserve">; </w:t>
      </w:r>
      <w:r>
        <w:rPr>
          <w:rFonts w:ascii="Times New Roman" w:hAnsi="Times New Roman" w:cs="Times New Roman"/>
          <w:sz w:val="24"/>
          <w:szCs w:val="24"/>
          <w:lang w:val="pt-BR"/>
        </w:rPr>
        <w:t>Alexandre</w:t>
      </w:r>
      <w:r>
        <w:rPr>
          <w:rFonts w:ascii="Times New Roman" w:hAnsi="Times New Roman" w:cs="Times New Roman"/>
          <w:sz w:val="24"/>
          <w:szCs w:val="24"/>
          <w:lang w:val="pt-PT"/>
        </w:rPr>
        <w:t xml:space="preserve"> Bryan Heinemann</w:t>
      </w:r>
      <w:r>
        <w:rPr>
          <w:rFonts w:ascii="Times New Roman" w:hAnsi="Times New Roman" w:cs="Times New Roman"/>
          <w:sz w:val="24"/>
          <w:szCs w:val="24"/>
          <w:vertAlign w:val="superscript"/>
          <w:lang w:val="pt-PT"/>
        </w:rPr>
        <w:t>3</w:t>
      </w:r>
      <w:r>
        <w:rPr>
          <w:rFonts w:hint="default" w:ascii="Times New Roman" w:hAnsi="Times New Roman" w:cs="Times New Roman"/>
          <w:sz w:val="24"/>
          <w:szCs w:val="24"/>
          <w:vertAlign w:val="superscript"/>
          <w:lang w:val="pt-PT"/>
        </w:rPr>
        <w:t>*</w:t>
      </w:r>
    </w:p>
    <w:p>
      <w:pPr>
        <w:spacing w:line="240" w:lineRule="auto"/>
        <w:rPr>
          <w:rFonts w:ascii="Times New Roman" w:hAnsi="Times New Roman" w:cs="Times New Roman"/>
          <w:sz w:val="24"/>
          <w:szCs w:val="24"/>
          <w:lang w:val="pt-PT"/>
        </w:rPr>
      </w:pPr>
    </w:p>
    <w:p>
      <w:pPr>
        <w:spacing w:after="0" w:line="360" w:lineRule="auto"/>
        <w:jc w:val="both"/>
        <w:rPr>
          <w:rFonts w:ascii="Times New Roman" w:hAnsi="Times New Roman" w:cs="Times New Roman"/>
          <w:bCs/>
          <w:iCs/>
          <w:sz w:val="24"/>
          <w:szCs w:val="24"/>
          <w:lang w:val="pt-PT"/>
        </w:rPr>
      </w:pPr>
      <w:r>
        <w:rPr>
          <w:rFonts w:ascii="Times New Roman" w:hAnsi="Times New Roman" w:cs="Times New Roman"/>
          <w:bCs/>
          <w:iCs/>
          <w:sz w:val="24"/>
          <w:szCs w:val="24"/>
          <w:vertAlign w:val="superscript"/>
        </w:rPr>
        <w:t>1</w:t>
      </w:r>
      <w:r>
        <w:rPr>
          <w:rFonts w:ascii="Times New Roman" w:hAnsi="Times New Roman" w:cs="Times New Roman"/>
          <w:bCs/>
          <w:iCs/>
          <w:sz w:val="24"/>
          <w:szCs w:val="24"/>
        </w:rPr>
        <w:t xml:space="preserve"> Federal University of Goiás (UFG), Institute of Mathematics and Statistics (IME), Campus II -Av. </w:t>
      </w:r>
      <w:r>
        <w:rPr>
          <w:rFonts w:ascii="Times New Roman" w:hAnsi="Times New Roman" w:cs="Times New Roman"/>
          <w:bCs/>
          <w:iCs/>
          <w:sz w:val="24"/>
          <w:szCs w:val="24"/>
          <w:lang w:val="pt-BR"/>
        </w:rPr>
        <w:t>Esperança, s/n Instituto de Matemática e Estatística, Samambaia, Goiânia GO, 74001-970, e-mail:</w:t>
      </w:r>
      <w:r>
        <w:rPr>
          <w:rFonts w:ascii="Times New Roman" w:hAnsi="Times New Roman" w:cs="Times New Roman"/>
          <w:bCs/>
          <w:iCs/>
          <w:sz w:val="24"/>
          <w:szCs w:val="24"/>
          <w:lang w:val="pt-PT"/>
        </w:rPr>
        <w:t xml:space="preserve"> </w:t>
      </w:r>
      <w:r>
        <w:rPr>
          <w:rFonts w:ascii="Times New Roman" w:hAnsi="Times New Roman" w:cs="Times New Roman"/>
          <w:sz w:val="24"/>
          <w:szCs w:val="24"/>
          <w:lang w:val="pt-BR"/>
        </w:rPr>
        <w:t>dhmatta@ufg.br</w:t>
      </w:r>
      <w:r>
        <w:rPr>
          <w:rFonts w:ascii="Times New Roman" w:hAnsi="Times New Roman" w:cs="Times New Roman"/>
          <w:bCs/>
          <w:iCs/>
          <w:sz w:val="24"/>
          <w:szCs w:val="24"/>
          <w:lang w:val="pt-BR"/>
        </w:rPr>
        <w:t>;</w:t>
      </w:r>
      <w:r>
        <w:rPr>
          <w:rFonts w:ascii="Times New Roman" w:hAnsi="Times New Roman" w:cs="Times New Roman"/>
          <w:bCs/>
          <w:iCs/>
          <w:sz w:val="24"/>
          <w:szCs w:val="24"/>
          <w:lang w:val="pt-PT"/>
        </w:rPr>
        <w:t xml:space="preserve"> consult.leydson@gmail.com </w:t>
      </w:r>
    </w:p>
    <w:p>
      <w:pPr>
        <w:spacing w:after="0" w:line="360" w:lineRule="auto"/>
        <w:jc w:val="both"/>
        <w:rPr>
          <w:rFonts w:ascii="Times New Roman" w:hAnsi="Times New Roman" w:cs="Times New Roman"/>
          <w:sz w:val="24"/>
          <w:szCs w:val="24"/>
          <w:lang w:val="pt-PT"/>
        </w:rPr>
      </w:pPr>
      <w:r>
        <w:rPr>
          <w:rFonts w:ascii="Times New Roman" w:hAnsi="Times New Roman" w:cs="Times New Roman"/>
          <w:sz w:val="24"/>
          <w:szCs w:val="24"/>
          <w:vertAlign w:val="superscript"/>
          <w:lang w:val="pt-PT"/>
        </w:rPr>
        <w:t>2</w:t>
      </w:r>
      <w:r>
        <w:rPr>
          <w:rFonts w:ascii="Times New Roman" w:hAnsi="Times New Roman" w:cs="Times New Roman"/>
          <w:sz w:val="24"/>
          <w:szCs w:val="24"/>
          <w:lang w:val="pt-PT"/>
        </w:rPr>
        <w:t xml:space="preserve"> Centro de Previsão de Tempo e Estudos Climáticos (CPTEC), Instituto Nacional de Pesquisas Espaciais (INPE), Rodovia Presidente Dutra, Km 40, SP-RJ, Cachoeira Paulista, SP, 12630-000, Brazil, email: caio.coelho@inpe.br</w:t>
      </w:r>
    </w:p>
    <w:p>
      <w:pPr>
        <w:spacing w:after="0" w:line="360" w:lineRule="auto"/>
        <w:jc w:val="both"/>
        <w:rPr>
          <w:rFonts w:ascii="Times New Roman" w:hAnsi="Times New Roman" w:cs="Times New Roman"/>
          <w:bCs/>
          <w:iCs/>
          <w:sz w:val="24"/>
          <w:szCs w:val="24"/>
          <w:lang w:val="pt-BR"/>
        </w:rPr>
      </w:pPr>
      <w:r>
        <w:rPr>
          <w:rFonts w:ascii="Times New Roman" w:hAnsi="Times New Roman" w:cs="Times New Roman"/>
          <w:sz w:val="24"/>
          <w:szCs w:val="24"/>
          <w:vertAlign w:val="superscript"/>
          <w:lang w:val="pt-PT"/>
        </w:rPr>
        <w:t>3</w:t>
      </w:r>
      <w:r>
        <w:rPr>
          <w:rFonts w:ascii="Times New Roman" w:hAnsi="Times New Roman" w:cs="Times New Roman"/>
          <w:sz w:val="24"/>
          <w:szCs w:val="24"/>
          <w:lang w:val="pt-PT"/>
        </w:rPr>
        <w:t xml:space="preserve"> </w:t>
      </w:r>
      <w:r>
        <w:rPr>
          <w:rFonts w:ascii="Times New Roman" w:hAnsi="Times New Roman" w:cs="Times New Roman"/>
          <w:bCs/>
          <w:iCs/>
          <w:sz w:val="24"/>
          <w:szCs w:val="24"/>
          <w:lang w:val="pt-BR"/>
        </w:rPr>
        <w:t>Embrapa Arroz e Feijão</w:t>
      </w:r>
      <w:r>
        <w:rPr>
          <w:rFonts w:ascii="Times New Roman" w:hAnsi="Times New Roman" w:cs="Times New Roman"/>
          <w:bCs/>
          <w:iCs/>
          <w:sz w:val="24"/>
          <w:szCs w:val="24"/>
          <w:lang w:val="pt-PT"/>
        </w:rPr>
        <w:t>,</w:t>
      </w:r>
      <w:r>
        <w:rPr>
          <w:rFonts w:ascii="Times New Roman" w:hAnsi="Times New Roman" w:cs="Times New Roman"/>
          <w:bCs/>
          <w:iCs/>
          <w:sz w:val="24"/>
          <w:szCs w:val="24"/>
          <w:lang w:val="pt-BR"/>
        </w:rPr>
        <w:t xml:space="preserve"> Rodovia GO-462 km 12 Zona Rural, 75375-000 Santo Antônio de Goiás, GO, Brazil, e-mail: </w:t>
      </w:r>
      <w:r>
        <w:rPr>
          <w:rFonts w:ascii="Times New Roman" w:hAnsi="Times New Roman" w:cs="Times New Roman"/>
          <w:bCs/>
          <w:iCs/>
          <w:sz w:val="24"/>
          <w:szCs w:val="24"/>
          <w:lang w:val="pt-PT"/>
        </w:rPr>
        <w:t xml:space="preserve">Luis.stone@embrapa.br; </w:t>
      </w:r>
      <w:r>
        <w:rPr>
          <w:rFonts w:ascii="Times New Roman" w:hAnsi="Times New Roman" w:cs="Times New Roman"/>
          <w:bCs/>
          <w:iCs/>
          <w:sz w:val="24"/>
          <w:szCs w:val="24"/>
          <w:lang w:val="pt-BR"/>
        </w:rPr>
        <w:t>alexandre.heinemann@embrapa.br</w:t>
      </w:r>
      <w:r>
        <w:rPr>
          <w:rFonts w:ascii="Times New Roman" w:hAnsi="Times New Roman" w:cs="Times New Roman"/>
          <w:bCs/>
          <w:iCs/>
          <w:sz w:val="24"/>
          <w:szCs w:val="24"/>
          <w:lang w:val="pt-PT"/>
        </w:rPr>
        <w:t xml:space="preserve"> (ORCID: https://orcid.org/0000-0002-7037-488X)</w:t>
      </w:r>
      <w:r>
        <w:rPr>
          <w:rFonts w:ascii="Times New Roman" w:hAnsi="Times New Roman" w:cs="Times New Roman"/>
          <w:bCs/>
          <w:iCs/>
          <w:sz w:val="24"/>
          <w:szCs w:val="24"/>
          <w:lang w:val="pt-BR"/>
        </w:rPr>
        <w:t xml:space="preserve"> </w:t>
      </w:r>
    </w:p>
    <w:p>
      <w:pPr>
        <w:spacing w:after="0" w:line="360" w:lineRule="auto"/>
        <w:jc w:val="both"/>
        <w:rPr>
          <w:rFonts w:ascii="Times New Roman" w:hAnsi="Times New Roman" w:cs="Times New Roman"/>
          <w:bCs/>
          <w:iCs/>
          <w:sz w:val="24"/>
          <w:szCs w:val="24"/>
          <w:lang w:val="pt-PT"/>
        </w:rPr>
      </w:pPr>
    </w:p>
    <w:p>
      <w:pPr>
        <w:spacing w:after="0" w:line="360" w:lineRule="auto"/>
        <w:jc w:val="left"/>
        <w:rPr>
          <w:rFonts w:ascii="Times New Roman" w:hAnsi="Times New Roman" w:cs="Times New Roman"/>
          <w:bCs/>
          <w:iCs/>
          <w:sz w:val="24"/>
          <w:szCs w:val="24"/>
        </w:rPr>
      </w:pPr>
      <w:r>
        <w:rPr>
          <w:rFonts w:ascii="Times New Roman" w:hAnsi="Times New Roman" w:cs="Times New Roman"/>
          <w:bCs/>
          <w:iCs/>
          <w:sz w:val="24"/>
          <w:szCs w:val="24"/>
        </w:rPr>
        <w:t>*</w:t>
      </w:r>
      <w:r>
        <w:rPr>
          <w:rFonts w:ascii="Times New Roman" w:hAnsi="Times New Roman" w:cs="Times New Roman"/>
          <w:b/>
          <w:bCs/>
          <w:sz w:val="24"/>
          <w:szCs w:val="24"/>
        </w:rPr>
        <w:t>Corresponding author:</w:t>
      </w:r>
      <w:r>
        <w:rPr>
          <w:rFonts w:ascii="Times New Roman" w:hAnsi="Times New Roman" w:cs="Times New Roman"/>
          <w:b/>
          <w:iCs/>
          <w:sz w:val="24"/>
          <w:szCs w:val="24"/>
        </w:rPr>
        <w:t xml:space="preserve"> </w:t>
      </w:r>
      <w:r>
        <w:rPr>
          <w:rFonts w:hint="default" w:ascii="Times New Roman" w:hAnsi="Times New Roman" w:cs="Times New Roman"/>
          <w:b w:val="0"/>
          <w:bCs/>
          <w:iCs/>
          <w:sz w:val="24"/>
          <w:szCs w:val="24"/>
          <w:lang w:val="pt-PT"/>
        </w:rPr>
        <w:t>Alexandre Bryan Heinemann (</w:t>
      </w:r>
      <w:r>
        <w:rPr>
          <w:rFonts w:ascii="Times New Roman" w:hAnsi="Times New Roman" w:cs="Times New Roman"/>
          <w:b w:val="0"/>
          <w:bCs/>
          <w:iCs/>
          <w:sz w:val="24"/>
          <w:szCs w:val="24"/>
        </w:rPr>
        <w:t>alexandre.heinemann@embrapa.br</w:t>
      </w:r>
      <w:r>
        <w:rPr>
          <w:rFonts w:hint="default" w:ascii="Times New Roman" w:hAnsi="Times New Roman" w:cs="Times New Roman"/>
          <w:b w:val="0"/>
          <w:bCs/>
          <w:iCs/>
          <w:sz w:val="24"/>
          <w:szCs w:val="24"/>
          <w:lang w:val="pt-PT"/>
        </w:rPr>
        <w:t>)</w:t>
      </w:r>
      <w:r>
        <w:rPr>
          <w:rFonts w:ascii="Times New Roman" w:hAnsi="Times New Roman" w:cs="Times New Roman"/>
          <w:b w:val="0"/>
          <w:bCs/>
          <w:iCs/>
          <w:sz w:val="24"/>
          <w:szCs w:val="24"/>
        </w:rPr>
        <w:t xml:space="preserve"> ;</w:t>
      </w:r>
      <w:r>
        <w:rPr>
          <w:rFonts w:ascii="Times New Roman" w:hAnsi="Times New Roman" w:cs="Times New Roman"/>
          <w:bCs/>
          <w:iCs/>
          <w:sz w:val="24"/>
          <w:szCs w:val="24"/>
        </w:rPr>
        <w:t xml:space="preserve"> Tel: +55 62 35332153</w:t>
      </w:r>
    </w:p>
    <w:p>
      <w:pPr>
        <w:spacing w:line="360" w:lineRule="auto"/>
        <w:rPr>
          <w:rFonts w:ascii="Times New Roman" w:hAnsi="Times New Roman" w:cs="Times New Roman"/>
          <w:sz w:val="24"/>
          <w:szCs w:val="24"/>
        </w:rPr>
      </w:pPr>
    </w:p>
    <w:p>
      <w:pPr>
        <w:spacing w:line="480" w:lineRule="auto"/>
        <w:rPr>
          <w:rFonts w:ascii="Times New Roman" w:hAnsi="Times New Roman" w:cs="Times New Roman"/>
          <w:sz w:val="24"/>
          <w:szCs w:val="24"/>
        </w:rPr>
      </w:pPr>
    </w:p>
    <w:p>
      <w:pPr>
        <w:spacing w:line="480" w:lineRule="auto"/>
        <w:rPr>
          <w:rFonts w:ascii="Times New Roman" w:hAnsi="Times New Roman" w:cs="Times New Roman"/>
          <w:sz w:val="24"/>
          <w:szCs w:val="24"/>
        </w:rPr>
      </w:pPr>
      <w:r>
        <w:rPr>
          <w:rFonts w:ascii="Times New Roman" w:hAnsi="Times New Roman" w:cs="Times New Roman"/>
          <w:sz w:val="24"/>
          <w:szCs w:val="24"/>
        </w:rPr>
        <w:t xml:space="preserve">Target Journal: Theoretical and Applied Climatology </w:t>
      </w:r>
    </w:p>
    <w:p>
      <w:pPr>
        <w:rPr>
          <w:lang w:val="pt-PT"/>
        </w:rPr>
      </w:pPr>
      <w:r>
        <w:rPr>
          <w:lang w:val="pt-BR" w:eastAsia="pt-BR"/>
        </w:rPr>
        <w:drawing>
          <wp:inline distT="0" distB="0" distL="114300" distR="114300">
            <wp:extent cx="5055870" cy="7584440"/>
            <wp:effectExtent l="0" t="0" r="11430" b="16510"/>
            <wp:docPr id="2" name="Picture 2" descr="Figure_S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Picture 2" descr="Figure_S1"/>
                    <pic:cNvPicPr>
                      <a:picLocks noChangeAspect="true"/>
                    </pic:cNvPicPr>
                  </pic:nvPicPr>
                  <pic:blipFill>
                    <a:blip r:embed="rId6"/>
                    <a:stretch>
                      <a:fillRect/>
                    </a:stretch>
                  </pic:blipFill>
                  <pic:spPr>
                    <a:xfrm>
                      <a:off x="0" y="0"/>
                      <a:ext cx="5055870" cy="7584440"/>
                    </a:xfrm>
                    <a:prstGeom prst="rect">
                      <a:avLst/>
                    </a:prstGeom>
                  </pic:spPr>
                </pic:pic>
              </a:graphicData>
            </a:graphic>
          </wp:inline>
        </w:drawing>
      </w:r>
    </w:p>
    <w:p>
      <w:pPr>
        <w:rPr>
          <w:rFonts w:hint="default" w:ascii="Times New Roman" w:hAnsi="Times New Roman" w:cs="Times New Roman"/>
          <w:sz w:val="24"/>
          <w:szCs w:val="24"/>
        </w:rPr>
      </w:pPr>
      <w:r>
        <w:rPr>
          <w:rFonts w:hint="default" w:ascii="Times New Roman" w:hAnsi="Times New Roman" w:cs="Times New Roman"/>
          <w:sz w:val="24"/>
          <w:szCs w:val="24"/>
        </w:rPr>
        <w:t>Figure S1. Each color represents 26 (weeks) equidistant points (rainfed season curve) for accumulated precipitation data set, in mm, for a respective rainfed season</w:t>
      </w:r>
      <w:r>
        <w:rPr>
          <w:rFonts w:hint="default" w:ascii="Times New Roman" w:hAnsi="Times New Roman" w:cs="Times New Roman"/>
          <w:sz w:val="24"/>
          <w:szCs w:val="24"/>
          <w:lang w:val="pt-PT"/>
        </w:rPr>
        <w:t xml:space="preserve"> (Octuber to March)</w:t>
      </w:r>
      <w:r>
        <w:rPr>
          <w:rFonts w:hint="default" w:ascii="Times New Roman" w:hAnsi="Times New Roman" w:cs="Times New Roman"/>
          <w:sz w:val="24"/>
          <w:szCs w:val="24"/>
        </w:rPr>
        <w:t>, ENSO conditions (El Niño, La Niña, and Neutral, rows) and weather station (Goiás - joint analysis). The number in the right panel represents the rainfed seasons curves for each ENSO condition (El Niño, La Niña, and Neutral, columns). Table 1 describes the same number of season curves.</w:t>
      </w:r>
      <w:r>
        <w:rPr>
          <w:rFonts w:hint="default" w:ascii="Times New Roman" w:hAnsi="Times New Roman" w:cs="Times New Roman"/>
          <w:sz w:val="24"/>
          <w:szCs w:val="24"/>
        </w:rPr>
        <w:br w:type="page"/>
      </w:r>
    </w:p>
    <w:p/>
    <w:p/>
    <w:p/>
    <w:p>
      <w:pPr>
        <w:rPr>
          <w:lang w:val="pt-PT"/>
        </w:rPr>
      </w:pPr>
      <w:r>
        <w:rPr>
          <w:lang w:val="pt-BR" w:eastAsia="pt-BR"/>
        </w:rPr>
        <w:drawing>
          <wp:inline distT="0" distB="0" distL="114300" distR="114300">
            <wp:extent cx="5269865" cy="4610735"/>
            <wp:effectExtent l="0" t="0" r="6985" b="18415"/>
            <wp:docPr id="6" name="Picture 6" descr="Figure_1S_prec_comp_2_2_goias"/>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Picture 6" descr="Figure_1S_prec_comp_2_2_goias"/>
                    <pic:cNvPicPr>
                      <a:picLocks noChangeAspect="true"/>
                    </pic:cNvPicPr>
                  </pic:nvPicPr>
                  <pic:blipFill>
                    <a:blip r:embed="rId7"/>
                    <a:stretch>
                      <a:fillRect/>
                    </a:stretch>
                  </pic:blipFill>
                  <pic:spPr>
                    <a:xfrm>
                      <a:off x="0" y="0"/>
                      <a:ext cx="5269865" cy="4610735"/>
                    </a:xfrm>
                    <a:prstGeom prst="rect">
                      <a:avLst/>
                    </a:prstGeom>
                  </pic:spPr>
                </pic:pic>
              </a:graphicData>
            </a:graphic>
          </wp:inline>
        </w:drawing>
      </w:r>
    </w:p>
    <w:p>
      <w:pPr>
        <w:rPr>
          <w:rFonts w:ascii="Times New Roman" w:hAnsi="Times New Roman" w:cs="Times New Roman"/>
          <w:sz w:val="24"/>
          <w:szCs w:val="24"/>
        </w:rPr>
      </w:pPr>
      <w:r>
        <w:rPr>
          <w:rFonts w:ascii="Times New Roman" w:hAnsi="Times New Roman" w:cs="Times New Roman"/>
          <w:sz w:val="24"/>
          <w:szCs w:val="24"/>
        </w:rPr>
        <w:t>Figure S2. Graphic illustration of the hypothesis test based on simultaneous confidence bands (SCB) for mean functional estimates for accumulated rainfalls (mm) in three investigated periods (rows) and ENSO conditions (El Niño/La Niña; El Niño/Neutral and La Niña/Neutral, columns) considering only the joint analysis (Goiás).</w:t>
      </w:r>
    </w:p>
    <w:p>
      <w:pPr>
        <w:rPr>
          <w:rFonts w:ascii="Times New Roman" w:hAnsi="Times New Roman" w:cs="Times New Roman"/>
          <w:sz w:val="24"/>
          <w:szCs w:val="24"/>
        </w:rPr>
      </w:pPr>
      <w:r>
        <w:rPr>
          <w:rFonts w:ascii="Times New Roman" w:hAnsi="Times New Roman" w:cs="Times New Roman"/>
          <w:sz w:val="24"/>
          <w:szCs w:val="24"/>
        </w:rPr>
        <w:br w:type="page"/>
      </w:r>
    </w:p>
    <w:p>
      <w:pPr>
        <w:rPr>
          <w:rFonts w:ascii="Times New Roman" w:hAnsi="Times New Roman" w:cs="Times New Roman"/>
          <w:sz w:val="24"/>
          <w:szCs w:val="24"/>
          <w:lang w:val="pt-PT"/>
        </w:rPr>
      </w:pPr>
      <w:r>
        <w:rPr>
          <w:rFonts w:ascii="Times New Roman" w:hAnsi="Times New Roman" w:cs="Times New Roman"/>
          <w:sz w:val="24"/>
          <w:szCs w:val="24"/>
          <w:lang w:val="pt-BR" w:eastAsia="pt-BR"/>
        </w:rPr>
        <w:drawing>
          <wp:inline distT="0" distB="0" distL="114300" distR="114300">
            <wp:extent cx="5269865" cy="4610735"/>
            <wp:effectExtent l="0" t="0" r="6985" b="18415"/>
            <wp:docPr id="8" name="Picture 8" descr="Figure_1S_Tmax_comp_2_2_goias"/>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Picture 8" descr="Figure_1S_Tmax_comp_2_2_goias"/>
                    <pic:cNvPicPr>
                      <a:picLocks noChangeAspect="true"/>
                    </pic:cNvPicPr>
                  </pic:nvPicPr>
                  <pic:blipFill>
                    <a:blip r:embed="rId8"/>
                    <a:stretch>
                      <a:fillRect/>
                    </a:stretch>
                  </pic:blipFill>
                  <pic:spPr>
                    <a:xfrm>
                      <a:off x="0" y="0"/>
                      <a:ext cx="5269865" cy="4610735"/>
                    </a:xfrm>
                    <a:prstGeom prst="rect">
                      <a:avLst/>
                    </a:prstGeom>
                  </pic:spPr>
                </pic:pic>
              </a:graphicData>
            </a:graphic>
          </wp:inline>
        </w:drawing>
      </w:r>
    </w:p>
    <w:p>
      <w:pPr>
        <w:rPr>
          <w:rFonts w:ascii="Times New Roman" w:hAnsi="Times New Roman" w:cs="Times New Roman"/>
          <w:sz w:val="24"/>
          <w:szCs w:val="24"/>
        </w:rPr>
      </w:pPr>
      <w:r>
        <w:rPr>
          <w:rFonts w:ascii="Times New Roman" w:hAnsi="Times New Roman" w:cs="Times New Roman"/>
          <w:sz w:val="24"/>
          <w:szCs w:val="24"/>
        </w:rPr>
        <w:t>Figure S3. Graphic illustration of hypothesis test based on simultaneous confidence bands (SCB) for mean functional estimates for maximum temperature (ºC) across three investigated periods (rows) and ENSO conditions (El Niño/La Niña; El Niño/Neutral and La Niña/Neutral (columns) considering only the joint analysis (Goiás).</w:t>
      </w:r>
    </w:p>
    <w:p>
      <w:pPr>
        <w:rPr>
          <w:rFonts w:ascii="Times New Roman" w:hAnsi="Times New Roman" w:cs="Times New Roman"/>
          <w:sz w:val="24"/>
          <w:szCs w:val="24"/>
        </w:rPr>
      </w:pPr>
    </w:p>
    <w:p>
      <w:pPr>
        <w:rPr>
          <w:rFonts w:ascii="Times New Roman" w:hAnsi="Times New Roman" w:cs="Times New Roman"/>
          <w:sz w:val="24"/>
          <w:szCs w:val="24"/>
        </w:rPr>
      </w:pPr>
    </w:p>
    <w:p>
      <w:pPr>
        <w:rPr>
          <w:rFonts w:ascii="Times New Roman" w:hAnsi="Times New Roman" w:cs="Times New Roman"/>
          <w:sz w:val="24"/>
          <w:szCs w:val="24"/>
        </w:rPr>
      </w:pPr>
      <w:r>
        <w:rPr>
          <w:rFonts w:ascii="Times New Roman" w:hAnsi="Times New Roman" w:cs="Times New Roman"/>
          <w:sz w:val="24"/>
          <w:szCs w:val="24"/>
        </w:rPr>
        <w:br w:type="page"/>
      </w:r>
    </w:p>
    <w:p>
      <w:pPr>
        <w:rPr>
          <w:rFonts w:ascii="Times New Roman" w:hAnsi="Times New Roman" w:cs="Times New Roman"/>
          <w:sz w:val="24"/>
          <w:szCs w:val="24"/>
        </w:rPr>
      </w:pPr>
      <w:r>
        <w:rPr>
          <w:rFonts w:ascii="Times New Roman" w:hAnsi="Times New Roman" w:cs="Times New Roman"/>
          <w:sz w:val="24"/>
          <w:szCs w:val="24"/>
        </w:rPr>
        <w:t xml:space="preserve"> </w:t>
      </w:r>
    </w:p>
    <w:p>
      <w:pPr>
        <w:rPr>
          <w:rFonts w:ascii="Times New Roman" w:hAnsi="Times New Roman" w:cs="Times New Roman"/>
          <w:sz w:val="24"/>
          <w:szCs w:val="24"/>
          <w:lang w:val="pt-PT"/>
        </w:rPr>
      </w:pPr>
      <w:r>
        <w:rPr>
          <w:rFonts w:ascii="Times New Roman" w:hAnsi="Times New Roman" w:cs="Times New Roman"/>
          <w:sz w:val="24"/>
          <w:szCs w:val="24"/>
          <w:lang w:val="pt-BR" w:eastAsia="pt-BR"/>
        </w:rPr>
        <w:drawing>
          <wp:inline distT="0" distB="0" distL="114300" distR="114300">
            <wp:extent cx="5269865" cy="4610735"/>
            <wp:effectExtent l="0" t="0" r="6985" b="18415"/>
            <wp:docPr id="11" name="Picture 11" descr="Figure_1S_Tmin_comp_2_2_goias"/>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Picture 11" descr="Figure_1S_Tmin_comp_2_2_goias"/>
                    <pic:cNvPicPr>
                      <a:picLocks noChangeAspect="true"/>
                    </pic:cNvPicPr>
                  </pic:nvPicPr>
                  <pic:blipFill>
                    <a:blip r:embed="rId9"/>
                    <a:stretch>
                      <a:fillRect/>
                    </a:stretch>
                  </pic:blipFill>
                  <pic:spPr>
                    <a:xfrm>
                      <a:off x="0" y="0"/>
                      <a:ext cx="5269865" cy="4610735"/>
                    </a:xfrm>
                    <a:prstGeom prst="rect">
                      <a:avLst/>
                    </a:prstGeom>
                  </pic:spPr>
                </pic:pic>
              </a:graphicData>
            </a:graphic>
          </wp:inline>
        </w:drawing>
      </w:r>
    </w:p>
    <w:p>
      <w:pPr>
        <w:rPr>
          <w:rFonts w:ascii="Times New Roman" w:hAnsi="Times New Roman" w:cs="Times New Roman"/>
          <w:sz w:val="24"/>
          <w:szCs w:val="24"/>
        </w:rPr>
      </w:pPr>
      <w:r>
        <w:rPr>
          <w:rFonts w:ascii="Times New Roman" w:hAnsi="Times New Roman" w:cs="Times New Roman"/>
          <w:sz w:val="24"/>
          <w:szCs w:val="24"/>
        </w:rPr>
        <w:t>Figure S4. Graphic illustration of hypothesis test based on the simultaneous confidence bands (SCB) for mean functional estimates for minimum temperature (ºC) across three investigated periods (rows) and ENSO conditions (El Niño/La Niña; El Niño/Neutral and La Niña/Neutral - columns) considering only the joint analysis (Goiás).</w:t>
      </w:r>
    </w:p>
    <w:p>
      <w:pPr>
        <w:rPr>
          <w:rFonts w:hint="default" w:ascii="Times New Roman" w:hAnsi="Times New Roman" w:cs="Times New Roman"/>
          <w:sz w:val="24"/>
          <w:szCs w:val="24"/>
          <w:lang w:val="pt-PT"/>
        </w:rPr>
      </w:pPr>
      <w:bookmarkStart w:id="0" w:name="_GoBack"/>
      <w:bookmarkEnd w:id="0"/>
    </w:p>
    <w:sectPr>
      <w:pgSz w:w="11906" w:h="16838"/>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Droid Sans Fallback"/>
    <w:panose1 w:val="00000000000000000000"/>
    <w:charset w:val="86"/>
    <w:family w:val="auto"/>
    <w:pitch w:val="default"/>
    <w:sig w:usb0="00000000" w:usb1="00000000" w:usb2="00000000" w:usb3="00000000" w:csb0="00000000" w:csb1="00000000"/>
  </w:font>
  <w:font w:name="Arial">
    <w:panose1 w:val="020B0604020202020204"/>
    <w:charset w:val="00"/>
    <w:family w:val="swiss"/>
    <w:pitch w:val="default"/>
    <w:sig w:usb0="00007A87" w:usb1="80000000" w:usb2="00000008" w:usb3="00000000" w:csb0="400001FF" w:csb1="FFFF0000"/>
  </w:font>
  <w:font w:name="黑体">
    <w:altName w:val="Droid Sans Fallback"/>
    <w:panose1 w:val="02010600030101010101"/>
    <w:charset w:val="00"/>
    <w:family w:val="auto"/>
    <w:pitch w:val="default"/>
    <w:sig w:usb0="00000001" w:usb1="080E0000" w:usb2="00000010" w:usb3="00000000" w:csb0="00040000" w:csb1="00000000"/>
  </w:font>
  <w:font w:name="Courier New">
    <w:panose1 w:val="02070309020205020404"/>
    <w:charset w:val="00"/>
    <w:family w:val="modern"/>
    <w:pitch w:val="default"/>
    <w:sig w:usb0="00007A87" w:usb1="80000000" w:usb2="00000008" w:usb3="00000000" w:csb0="400001FF" w:csb1="FFFF0000"/>
  </w:font>
  <w:font w:name="Wingdings">
    <w:altName w:val="Andale Mono"/>
    <w:panose1 w:val="05000000000000000000"/>
    <w:charset w:val="00"/>
    <w:family w:val="auto"/>
    <w:pitch w:val="default"/>
    <w:sig w:usb0="00000000" w:usb1="10000000" w:usb2="00000000" w:usb3="00000000" w:csb0="80000000" w:csb1="00000000"/>
  </w:font>
  <w:font w:name="Calibri">
    <w:altName w:val="Trebuchet MS"/>
    <w:panose1 w:val="020F0502020204030204"/>
    <w:charset w:val="00"/>
    <w:family w:val="swiss"/>
    <w:pitch w:val="default"/>
    <w:sig w:usb0="00000000" w:usb1="00000000" w:usb2="00000001" w:usb3="00000000" w:csb0="0000019F" w:csb1="00000000"/>
  </w:font>
  <w:font w:name="SimSun">
    <w:altName w:val="Droid Sans Fallback"/>
    <w:panose1 w:val="02010600030101010101"/>
    <w:charset w:val="86"/>
    <w:family w:val="auto"/>
    <w:pitch w:val="default"/>
    <w:sig w:usb0="00000000" w:usb1="00000000" w:usb2="00000016" w:usb3="00000000" w:csb0="00040001" w:csb1="00000000"/>
  </w:font>
  <w:font w:name="Tahoma">
    <w:altName w:val="DejaVu Sans"/>
    <w:panose1 w:val="020B0604030504040204"/>
    <w:charset w:val="00"/>
    <w:family w:val="swiss"/>
    <w:pitch w:val="default"/>
    <w:sig w:usb0="00000000" w:usb1="00000000" w:usb2="00000029" w:usb3="00000000" w:csb0="000101FF" w:csb1="00000000"/>
  </w:font>
  <w:font w:name="Droid Sans Fallback">
    <w:panose1 w:val="020B0502000000000001"/>
    <w:charset w:val="86"/>
    <w:family w:val="auto"/>
    <w:pitch w:val="default"/>
    <w:sig w:usb0="910002FF" w:usb1="2BDFFCFB" w:usb2="00000036" w:usb3="00000000" w:csb0="203F01FF" w:csb1="D7FF0000"/>
  </w:font>
  <w:font w:name="Trebuchet MS">
    <w:panose1 w:val="020B0603020202020204"/>
    <w:charset w:val="00"/>
    <w:family w:val="auto"/>
    <w:pitch w:val="default"/>
    <w:sig w:usb0="00000287" w:usb1="00000000" w:usb2="00000000" w:usb3="00000000" w:csb0="2000009F" w:csb1="00000000"/>
  </w:font>
  <w:font w:name="DejaVu Sans">
    <w:panose1 w:val="020B0603030804020204"/>
    <w:charset w:val="00"/>
    <w:family w:val="auto"/>
    <w:pitch w:val="default"/>
    <w:sig w:usb0="E7006EFF" w:usb1="D200FDFF" w:usb2="0A246029" w:usb3="0400200C" w:csb0="600001FF" w:csb1="DFFF0000"/>
  </w:font>
  <w:font w:name="Andale Mono">
    <w:panose1 w:val="020B0509000000000004"/>
    <w:charset w:val="00"/>
    <w:family w:val="auto"/>
    <w:pitch w:val="default"/>
    <w:sig w:usb0="00000287" w:usb1="00000000" w:usb2="00000000" w:usb3="00000000" w:csb0="6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20"/>
  <w:embedSystemFonts/>
  <w:bordersDoNotSurroundHeader w:val="true"/>
  <w:bordersDoNotSurroundFooter w:val="true"/>
  <w:documentProtection w:enforcement="0"/>
  <w:defaultTabStop w:val="420"/>
  <w:hyphenationZone w:val="42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DBF3BC"/>
    <w:rsid w:val="00072BB0"/>
    <w:rsid w:val="0032152E"/>
    <w:rsid w:val="003E0984"/>
    <w:rsid w:val="005C19B1"/>
    <w:rsid w:val="00726F69"/>
    <w:rsid w:val="007515F8"/>
    <w:rsid w:val="00792905"/>
    <w:rsid w:val="007B2EAE"/>
    <w:rsid w:val="007F34E1"/>
    <w:rsid w:val="00854803"/>
    <w:rsid w:val="009379EE"/>
    <w:rsid w:val="00994C35"/>
    <w:rsid w:val="00A10DEB"/>
    <w:rsid w:val="00B07408"/>
    <w:rsid w:val="00DE47F9"/>
    <w:rsid w:val="00E25E9E"/>
    <w:rsid w:val="00E32001"/>
    <w:rsid w:val="00E74B4E"/>
    <w:rsid w:val="00F16F3E"/>
    <w:rsid w:val="00F42CEA"/>
    <w:rsid w:val="00F5614E"/>
    <w:rsid w:val="257B8E44"/>
    <w:rsid w:val="37CBC077"/>
    <w:rsid w:val="4D7BCB22"/>
    <w:rsid w:val="4FDD7230"/>
    <w:rsid w:val="557F059D"/>
    <w:rsid w:val="5ADF3026"/>
    <w:rsid w:val="5EBF1785"/>
    <w:rsid w:val="62EA6BA6"/>
    <w:rsid w:val="675F3C8B"/>
    <w:rsid w:val="6E5FEB49"/>
    <w:rsid w:val="753C1862"/>
    <w:rsid w:val="7C2E7DC7"/>
    <w:rsid w:val="7DA5D1AB"/>
    <w:rsid w:val="7DB6C276"/>
    <w:rsid w:val="7DDF5948"/>
    <w:rsid w:val="7DF8ABEE"/>
    <w:rsid w:val="7E2CEFF4"/>
    <w:rsid w:val="7EFB1A7D"/>
    <w:rsid w:val="7F97F63D"/>
    <w:rsid w:val="7FBFEBD6"/>
    <w:rsid w:val="7FCAEC8A"/>
    <w:rsid w:val="B5B7BB26"/>
    <w:rsid w:val="B5BC073C"/>
    <w:rsid w:val="D9F9A3E1"/>
    <w:rsid w:val="DBBE04C4"/>
    <w:rsid w:val="DF97AADA"/>
    <w:rsid w:val="DFBDDA31"/>
    <w:rsid w:val="DFDF938F"/>
    <w:rsid w:val="F78F8515"/>
    <w:rsid w:val="FBF72A8C"/>
    <w:rsid w:val="FD3D3A8B"/>
    <w:rsid w:val="FE95EE91"/>
    <w:rsid w:val="FF5D8B43"/>
    <w:rsid w:val="FF9511BA"/>
    <w:rsid w:val="FFBF47AF"/>
    <w:rsid w:val="FFDBF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uiPriority="0" w:name="header"/>
    <w:lsdException w:uiPriority="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9"/>
    <w:qFormat/>
    <w:uiPriority w:val="0"/>
    <w:pPr>
      <w:spacing w:after="0" w:line="240" w:lineRule="auto"/>
    </w:pPr>
    <w:rPr>
      <w:rFonts w:ascii="Tahoma" w:hAnsi="Tahoma" w:cs="Tahoma"/>
      <w:sz w:val="16"/>
      <w:szCs w:val="16"/>
    </w:rPr>
  </w:style>
  <w:style w:type="character" w:styleId="5">
    <w:name w:val="annotation reference"/>
    <w:basedOn w:val="2"/>
    <w:qFormat/>
    <w:uiPriority w:val="0"/>
    <w:rPr>
      <w:sz w:val="16"/>
      <w:szCs w:val="16"/>
    </w:rPr>
  </w:style>
  <w:style w:type="paragraph" w:styleId="6">
    <w:name w:val="annotation text"/>
    <w:basedOn w:val="1"/>
    <w:link w:val="10"/>
    <w:qFormat/>
    <w:uiPriority w:val="0"/>
    <w:pPr>
      <w:spacing w:line="240" w:lineRule="auto"/>
    </w:pPr>
  </w:style>
  <w:style w:type="paragraph" w:styleId="7">
    <w:name w:val="annotation subject"/>
    <w:basedOn w:val="6"/>
    <w:next w:val="6"/>
    <w:link w:val="11"/>
    <w:qFormat/>
    <w:uiPriority w:val="0"/>
    <w:rPr>
      <w:b/>
      <w:bCs/>
    </w:rPr>
  </w:style>
  <w:style w:type="character" w:styleId="8">
    <w:name w:val="Hyperlink"/>
    <w:basedOn w:val="2"/>
    <w:qFormat/>
    <w:uiPriority w:val="0"/>
    <w:rPr>
      <w:color w:val="0000FF"/>
      <w:u w:val="single"/>
    </w:rPr>
  </w:style>
  <w:style w:type="character" w:customStyle="1" w:styleId="9">
    <w:name w:val="Texto de balão Char"/>
    <w:basedOn w:val="2"/>
    <w:link w:val="4"/>
    <w:qFormat/>
    <w:uiPriority w:val="0"/>
    <w:rPr>
      <w:rFonts w:ascii="Tahoma" w:hAnsi="Tahoma" w:cs="Tahoma"/>
      <w:sz w:val="16"/>
      <w:szCs w:val="16"/>
      <w:lang w:val="en-US" w:eastAsia="zh-CN"/>
    </w:rPr>
  </w:style>
  <w:style w:type="character" w:customStyle="1" w:styleId="10">
    <w:name w:val="Texto de comentário Char"/>
    <w:basedOn w:val="2"/>
    <w:link w:val="6"/>
    <w:qFormat/>
    <w:uiPriority w:val="0"/>
    <w:rPr>
      <w:lang w:val="en-US" w:eastAsia="zh-CN"/>
    </w:rPr>
  </w:style>
  <w:style w:type="character" w:customStyle="1" w:styleId="11">
    <w:name w:val="Assunto do comentário Char"/>
    <w:basedOn w:val="10"/>
    <w:link w:val="7"/>
    <w:qFormat/>
    <w:uiPriority w:val="0"/>
    <w:rPr>
      <w:b/>
      <w:bCs/>
      <w:lang w:val="en-US" w:eastAsia="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tiff"/><Relationship Id="rId8" Type="http://schemas.openxmlformats.org/officeDocument/2006/relationships/image" Target="media/image3.tiff"/><Relationship Id="rId7" Type="http://schemas.openxmlformats.org/officeDocument/2006/relationships/image" Target="media/image2.tiff"/><Relationship Id="rId6" Type="http://schemas.openxmlformats.org/officeDocument/2006/relationships/image" Target="media/image1.tiff"/><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414</Words>
  <Characters>2237</Characters>
  <Lines>18</Lines>
  <Paragraphs>5</Paragraphs>
  <TotalTime>0</TotalTime>
  <ScaleCrop>false</ScaleCrop>
  <LinksUpToDate>false</LinksUpToDate>
  <CharactersWithSpaces>2646</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2021-07-28T08:22:00Z</dcterms:created>
  <dc:creator>alexandre</dc:creator>
  <cp:lastModifiedBy>alexandre</cp:lastModifiedBy>
  <dcterms:modified xsi:type="dcterms:W3CDTF">2021-07-29T10:00:48Z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1033-11.1.0.10161</vt:lpwstr>
  </property>
</Properties>
</file>